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r>
        <w:rPr>
          <w:rFonts w:ascii="Calibri" w:hAnsi="Calibri"/>
          <w:b/>
          <w:color w:val="C6A646"/>
          <w:sz w:val="20"/>
        </w:rPr>
        <w:t>CAREER PORTABILITY</w:t>
      </w:r>
    </w:p>
    <w:tbl>
      <w:tblPr>
        <w:tblW w:type="dxa" w:w="10166"/>
        <w:tblLook w:firstColumn="1" w:firstRow="1" w:lastColumn="0" w:lastRow="0" w:noHBand="0" w:noVBand="1" w:val="04A0"/>
        <w:tblLayout w:type="fixed"/>
        <w:tblInd w:w="0" w:type="dxa"/>
        <w:tblBorders>
          <w:top w:val="single" w:sz="0" w:space="0" w:color="10264B"/>
          <w:left w:val="single" w:sz="0" w:space="0" w:color="10264B"/>
          <w:bottom w:val="single" w:sz="0" w:space="0" w:color="10264B"/>
          <w:right w:val="single" w:sz="0" w:space="0" w:color="10264B"/>
          <w:insideH w:val="single" w:sz="0" w:space="0" w:color="10264B"/>
          <w:insideV w:val="single" w:sz="0" w:space="0" w:color="10264B"/>
        </w:tblBorders>
      </w:tblPr>
      <w:tblGrid>
        <w:gridCol w:w="10166"/>
      </w:tblGrid>
      <w:tr>
        <w:tc>
          <w:tcPr>
            <w:tcW w:type="dxa" w:w="10166"/>
            <w:tcMar>
              <w:top w:w="650" w:type="dxa"/>
              <w:start w:w="500" w:type="dxa"/>
              <w:bottom w:w="650" w:type="dxa"/>
              <w:end w:w="500" w:type="dxa"/>
            </w:tcMar>
            <w:vAlign w:val="top"/>
            <w:shd w:fill="10264B"/>
          </w:tcPr>
          <w:p>
            <w:pPr>
              <w:spacing w:after="260"/>
            </w:pPr>
            <w:r>
              <w:rPr>
                <w:rFonts w:ascii="Calibri" w:hAnsi="Calibri"/>
                <w:b/>
                <w:color w:val="FFFFFF"/>
                <w:sz w:val="56"/>
              </w:rPr>
              <w:t>YOUTUBE AUDIENCE &amp;</w:t>
              <w:br/>
              <w:t>20-VIDEO ROADMAP AUDIT</w:t>
            </w:r>
          </w:p>
          <w:p>
            <w:pPr>
              <w:spacing w:after="520"/>
            </w:pPr>
            <w:r>
              <w:rPr>
                <w:rFonts w:ascii="Calibri" w:hAnsi="Calibri"/>
                <w:color w:val="DCE5F1"/>
                <w:sz w:val="29"/>
              </w:rPr>
              <w:t>Who the channel is for, why it matters now, and what the next twenty videos should do</w:t>
            </w:r>
          </w:p>
          <w:p>
            <w:pPr>
              <w:spacing w:after="80"/>
            </w:pPr>
            <w:r>
              <w:rPr>
                <w:rFonts w:ascii="Calibri" w:hAnsi="Calibri"/>
                <w:b/>
                <w:color w:val="C6A646"/>
                <w:sz w:val="22"/>
              </w:rPr>
              <w:t>Prepared for Temidayo Afonja</w:t>
            </w:r>
          </w:p>
          <w:p>
            <w:r>
              <w:rPr>
                <w:rFonts w:ascii="Calibri" w:hAnsi="Calibri"/>
                <w:color w:val="DCE5F1"/>
                <w:sz w:val="20"/>
              </w:rPr>
              <w:t>28 August 2026  |  Editorial source of truth</w:t>
            </w:r>
          </w:p>
        </w:tc>
      </w:tr>
    </w:tbl>
    <w:p>
      <w:pPr>
        <w:spacing w:after="400"/>
      </w:pPr>
    </w:p>
    <w:tbl>
      <w:tblPr>
        <w:tblW w:type="dxa" w:w="9360"/>
        <w:jc w:val="center"/>
        <w:tblLook w:firstColumn="1" w:firstRow="1" w:lastColumn="0" w:lastRow="0" w:noHBand="0" w:noVBand="1" w:val="04A0"/>
        <w:tblLayout w:type="fixed"/>
        <w:tblInd w:w="0" w:type="dxa"/>
        <w:tblBorders>
          <w:top w:val="single" w:sz="0" w:space="0" w:color="F7F3EA"/>
          <w:left w:val="single" w:sz="0" w:space="0" w:color="F7F3EA"/>
          <w:bottom w:val="single" w:sz="0" w:space="0" w:color="F7F3EA"/>
          <w:right w:val="single" w:sz="0" w:space="0" w:color="F7F3EA"/>
          <w:insideH w:val="single" w:sz="0" w:space="0" w:color="F7F3EA"/>
          <w:insideV w:val="single" w:sz="0" w:space="0" w:color="F7F3EA"/>
        </w:tblBorders>
      </w:tblPr>
      <w:tblGrid>
        <w:gridCol w:w="180"/>
        <w:gridCol w:w="9180"/>
      </w:tblGrid>
      <w:tr>
        <w:trPr>
          <w:cantSplit/>
        </w:trPr>
        <w:tc>
          <w:tcPr>
            <w:tcW w:type="dxa" w:w="180"/>
            <w:tcMar>
              <w:top w:w="100" w:type="dxa"/>
              <w:start w:w="0" w:type="dxa"/>
              <w:bottom w:w="100" w:type="dxa"/>
              <w:end w:w="0" w:type="dxa"/>
            </w:tcMar>
            <w:vAlign w:val="top"/>
            <w:shd w:fill="C6A646"/>
          </w:tcPr>
          <w:p/>
        </w:tc>
        <w:tc>
          <w:tcPr>
            <w:tcW w:type="dxa" w:w="9180"/>
            <w:tcMar>
              <w:top w:w="130" w:type="dxa"/>
              <w:start w:w="160" w:type="dxa"/>
              <w:bottom w:w="130" w:type="dxa"/>
              <w:end w:w="160" w:type="dxa"/>
            </w:tcMar>
            <w:vAlign w:val="top"/>
            <w:shd w:fill="F7F3EA"/>
          </w:tcPr>
          <w:p>
            <w:pPr>
              <w:spacing w:after="60"/>
            </w:pPr>
            <w:r>
              <w:rPr>
                <w:rFonts w:ascii="Calibri" w:hAnsi="Calibri"/>
                <w:b/>
                <w:color w:val="C6A646"/>
                <w:sz w:val="18"/>
              </w:rPr>
              <w:t>CORE DECISION</w:t>
            </w:r>
          </w:p>
          <w:p>
            <w:pPr>
              <w:spacing w:after="0" w:line="276" w:lineRule="auto"/>
            </w:pPr>
            <w:r>
              <w:rPr>
                <w:rFonts w:ascii="Calibri" w:hAnsi="Calibri"/>
                <w:color w:val="18263A"/>
                <w:sz w:val="21"/>
              </w:rPr>
              <w:t>Keep career portability as the public front door. Use a senior corporate woman aged roughly 40–55 as the internal editorial persona, while keeping titles wide enough for adjacent experienced professionals. Preserve the approved Videos 4–6; revise the later sequence where generic interview advice and an overconcentrated AI run dilute the niche.</w:t>
            </w:r>
          </w:p>
        </w:tc>
      </w:tr>
    </w:tbl>
    <w:p>
      <w:pPr>
        <w:spacing w:before="440"/>
        <w:jc w:val="center"/>
      </w:pPr>
      <w:r>
        <w:rPr>
          <w:rFonts w:ascii="Calibri" w:hAnsi="Calibri"/>
          <w:b/>
          <w:color w:val="10264B"/>
          <w:sz w:val="21"/>
        </w:rPr>
        <w:t>Career Portability = public promise   •   Capability Formation = deeper method</w:t>
      </w:r>
    </w:p>
    <w:p>
      <w:r>
        <w:br w:type="page"/>
      </w:r>
    </w:p>
    <w:p>
      <w:pPr>
        <w:keepNext/>
        <w:spacing w:after="60"/>
      </w:pPr>
      <w:r>
        <w:rPr>
          <w:rFonts w:ascii="Calibri" w:hAnsi="Calibri"/>
          <w:b/>
          <w:color w:val="C6A646"/>
          <w:sz w:val="18"/>
        </w:rPr>
        <w:t>NAVIGATION</w:t>
      </w:r>
    </w:p>
    <w:p>
      <w:pPr>
        <w:pStyle w:val="Heading1"/>
        <w:keepNext/>
      </w:pPr>
      <w:r>
        <w:rPr>
          <w:rFonts w:ascii="Calibri" w:hAnsi="Calibri"/>
          <w:b/>
          <w:color w:val="10264B"/>
          <w:sz w:val="32"/>
        </w:rPr>
        <w:t>What is in this audit</w:t>
      </w:r>
    </w:p>
    <w:tbl>
      <w:tblPr>
        <w:tblW w:type="dxa" w:w="9360"/>
        <w:jc w:val="center"/>
        <w:tblLook w:firstColumn="1" w:firstRow="1" w:lastColumn="0" w:lastRow="0" w:noHBand="0" w:noVBand="1" w:val="04A0"/>
        <w:tblLayout w:type="fixed"/>
        <w:tblInd w:w="120" w:type="dxa"/>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Pr>
      <w:tblGrid>
        <w:gridCol w:w="1250"/>
        <w:gridCol w:w="8110"/>
      </w:tblGrid>
      <w:tr>
        <w:trPr>
          <w:tblHeader w:val="true"/>
          <w:cantSplit/>
        </w:trPr>
        <w:tc>
          <w:tcPr>
            <w:tcW w:type="dxa" w:w="1250"/>
            <w:tcMar>
              <w:top w:w="80" w:type="dxa"/>
              <w:start w:w="100" w:type="dxa"/>
              <w:bottom w:w="80" w:type="dxa"/>
              <w:end w:w="100" w:type="dxa"/>
            </w:tcMar>
            <w:vAlign w:val="top"/>
            <w:shd w:fill="10264B"/>
          </w:tcPr>
          <w:p>
            <w:pPr>
              <w:spacing w:after="0" w:line="240" w:lineRule="auto"/>
            </w:pPr>
            <w:r/>
            <w:r>
              <w:rPr>
                <w:rFonts w:ascii="Calibri" w:hAnsi="Calibri"/>
                <w:b/>
                <w:color w:val="FFFFFF"/>
                <w:sz w:val="20"/>
              </w:rPr>
              <w:t>Section</w:t>
            </w:r>
          </w:p>
        </w:tc>
        <w:tc>
          <w:tcPr>
            <w:tcW w:type="dxa" w:w="8110"/>
            <w:tcMar>
              <w:top w:w="80" w:type="dxa"/>
              <w:start w:w="100" w:type="dxa"/>
              <w:bottom w:w="80" w:type="dxa"/>
              <w:end w:w="100" w:type="dxa"/>
            </w:tcMar>
            <w:vAlign w:val="top"/>
            <w:shd w:fill="10264B"/>
          </w:tcPr>
          <w:p>
            <w:pPr>
              <w:spacing w:after="0" w:line="240" w:lineRule="auto"/>
            </w:pPr>
            <w:r/>
            <w:r>
              <w:rPr>
                <w:rFonts w:ascii="Calibri" w:hAnsi="Calibri"/>
                <w:b/>
                <w:color w:val="FFFFFF"/>
                <w:sz w:val="20"/>
              </w:rPr>
              <w:t>Purpose</w:t>
            </w:r>
          </w:p>
        </w:tc>
      </w:tr>
      <w:tr>
        <w:trPr>
          <w:cantSplit/>
        </w:trPr>
        <w:tc>
          <w:tcPr>
            <w:tcW w:type="dxa" w:w="1250"/>
            <w:tcMar>
              <w:top w:w="80" w:type="dxa"/>
              <w:start w:w="100" w:type="dxa"/>
              <w:bottom w:w="80" w:type="dxa"/>
              <w:end w:w="100" w:type="dxa"/>
            </w:tcMar>
            <w:vAlign w:val="top"/>
          </w:tcPr>
          <w:p>
            <w:pPr>
              <w:spacing w:before="0" w:after="30" w:line="245" w:lineRule="auto"/>
            </w:pPr>
            <w:r>
              <w:rPr>
                <w:rFonts w:ascii="Calibri" w:hAnsi="Calibri"/>
                <w:color w:val="18263A"/>
                <w:sz w:val="20"/>
              </w:rPr>
              <w:t>01</w:t>
            </w:r>
          </w:p>
        </w:tc>
        <w:tc>
          <w:tcPr>
            <w:tcW w:type="dxa" w:w="8110"/>
            <w:tcMar>
              <w:top w:w="80" w:type="dxa"/>
              <w:start w:w="100" w:type="dxa"/>
              <w:bottom w:w="80" w:type="dxa"/>
              <w:end w:w="100" w:type="dxa"/>
            </w:tcMar>
            <w:vAlign w:val="top"/>
          </w:tcPr>
          <w:p>
            <w:pPr>
              <w:spacing w:before="0" w:after="30" w:line="245" w:lineRule="auto"/>
            </w:pPr>
            <w:r>
              <w:rPr>
                <w:rFonts w:ascii="Calibri" w:hAnsi="Calibri"/>
                <w:color w:val="18263A"/>
                <w:sz w:val="20"/>
              </w:rPr>
              <w:t>Executive decision and positioning</w:t>
            </w:r>
          </w:p>
        </w:tc>
      </w:tr>
      <w:tr>
        <w:trPr>
          <w:cantSplit/>
        </w:trPr>
        <w:tc>
          <w:tcPr>
            <w:tcW w:type="dxa" w:w="1250"/>
            <w:tcMar>
              <w:top w:w="80" w:type="dxa"/>
              <w:start w:w="100" w:type="dxa"/>
              <w:bottom w:w="80" w:type="dxa"/>
              <w:end w:w="100" w:type="dxa"/>
            </w:tcMar>
            <w:vAlign w:val="top"/>
          </w:tcPr>
          <w:p>
            <w:pPr>
              <w:spacing w:before="0" w:after="30" w:line="245" w:lineRule="auto"/>
            </w:pPr>
            <w:r>
              <w:rPr>
                <w:rFonts w:ascii="Calibri" w:hAnsi="Calibri"/>
                <w:color w:val="18263A"/>
                <w:sz w:val="20"/>
              </w:rPr>
              <w:t>02</w:t>
            </w:r>
          </w:p>
        </w:tc>
        <w:tc>
          <w:tcPr>
            <w:tcW w:type="dxa" w:w="8110"/>
            <w:tcMar>
              <w:top w:w="80" w:type="dxa"/>
              <w:start w:w="100" w:type="dxa"/>
              <w:bottom w:w="80" w:type="dxa"/>
              <w:end w:w="100" w:type="dxa"/>
            </w:tcMar>
            <w:vAlign w:val="top"/>
          </w:tcPr>
          <w:p>
            <w:pPr>
              <w:spacing w:before="0" w:after="30" w:line="245" w:lineRule="auto"/>
            </w:pPr>
            <w:r>
              <w:rPr>
                <w:rFonts w:ascii="Calibri" w:hAnsi="Calibri"/>
                <w:color w:val="18263A"/>
                <w:sz w:val="20"/>
              </w:rPr>
              <w:t>Audience validation and research findings</w:t>
            </w:r>
          </w:p>
        </w:tc>
      </w:tr>
      <w:tr>
        <w:trPr>
          <w:cantSplit/>
        </w:trPr>
        <w:tc>
          <w:tcPr>
            <w:tcW w:type="dxa" w:w="1250"/>
            <w:tcMar>
              <w:top w:w="80" w:type="dxa"/>
              <w:start w:w="100" w:type="dxa"/>
              <w:bottom w:w="80" w:type="dxa"/>
              <w:end w:w="100" w:type="dxa"/>
            </w:tcMar>
            <w:vAlign w:val="top"/>
          </w:tcPr>
          <w:p>
            <w:pPr>
              <w:spacing w:before="0" w:after="30" w:line="245" w:lineRule="auto"/>
            </w:pPr>
            <w:r>
              <w:rPr>
                <w:rFonts w:ascii="Calibri" w:hAnsi="Calibri"/>
                <w:color w:val="18263A"/>
                <w:sz w:val="20"/>
              </w:rPr>
              <w:t>03</w:t>
            </w:r>
          </w:p>
        </w:tc>
        <w:tc>
          <w:tcPr>
            <w:tcW w:type="dxa" w:w="8110"/>
            <w:tcMar>
              <w:top w:w="80" w:type="dxa"/>
              <w:start w:w="100" w:type="dxa"/>
              <w:bottom w:w="80" w:type="dxa"/>
              <w:end w:w="100" w:type="dxa"/>
            </w:tcMar>
            <w:vAlign w:val="top"/>
          </w:tcPr>
          <w:p>
            <w:pPr>
              <w:spacing w:before="0" w:after="30" w:line="245" w:lineRule="auto"/>
            </w:pPr>
            <w:r>
              <w:rPr>
                <w:rFonts w:ascii="Calibri" w:hAnsi="Calibri"/>
                <w:color w:val="18263A"/>
                <w:sz w:val="20"/>
              </w:rPr>
              <w:t>Videos 1–3: keep, correct and publish</w:t>
            </w:r>
          </w:p>
        </w:tc>
      </w:tr>
      <w:tr>
        <w:trPr>
          <w:cantSplit/>
        </w:trPr>
        <w:tc>
          <w:tcPr>
            <w:tcW w:type="dxa" w:w="1250"/>
            <w:tcMar>
              <w:top w:w="80" w:type="dxa"/>
              <w:start w:w="100" w:type="dxa"/>
              <w:bottom w:w="80" w:type="dxa"/>
              <w:end w:w="100" w:type="dxa"/>
            </w:tcMar>
            <w:vAlign w:val="top"/>
          </w:tcPr>
          <w:p>
            <w:pPr>
              <w:spacing w:before="0" w:after="30" w:line="245" w:lineRule="auto"/>
            </w:pPr>
            <w:r>
              <w:rPr>
                <w:rFonts w:ascii="Calibri" w:hAnsi="Calibri"/>
                <w:color w:val="18263A"/>
                <w:sz w:val="20"/>
              </w:rPr>
              <w:t>04</w:t>
            </w:r>
          </w:p>
        </w:tc>
        <w:tc>
          <w:tcPr>
            <w:tcW w:type="dxa" w:w="8110"/>
            <w:tcMar>
              <w:top w:w="80" w:type="dxa"/>
              <w:start w:w="100" w:type="dxa"/>
              <w:bottom w:w="80" w:type="dxa"/>
              <w:end w:w="100" w:type="dxa"/>
            </w:tcMar>
            <w:vAlign w:val="top"/>
          </w:tcPr>
          <w:p>
            <w:pPr>
              <w:spacing w:before="0" w:after="30" w:line="245" w:lineRule="auto"/>
            </w:pPr>
            <w:r>
              <w:rPr>
                <w:rFonts w:ascii="Calibri" w:hAnsi="Calibri"/>
                <w:color w:val="18263A"/>
                <w:sz w:val="20"/>
              </w:rPr>
              <w:t>Current 20-video audit</w:t>
            </w:r>
          </w:p>
        </w:tc>
      </w:tr>
      <w:tr>
        <w:trPr>
          <w:cantSplit/>
        </w:trPr>
        <w:tc>
          <w:tcPr>
            <w:tcW w:type="dxa" w:w="1250"/>
            <w:tcMar>
              <w:top w:w="80" w:type="dxa"/>
              <w:start w:w="100" w:type="dxa"/>
              <w:bottom w:w="80" w:type="dxa"/>
              <w:end w:w="100" w:type="dxa"/>
            </w:tcMar>
            <w:vAlign w:val="top"/>
          </w:tcPr>
          <w:p>
            <w:pPr>
              <w:spacing w:before="0" w:after="30" w:line="245" w:lineRule="auto"/>
            </w:pPr>
            <w:r>
              <w:rPr>
                <w:rFonts w:ascii="Calibri" w:hAnsi="Calibri"/>
                <w:color w:val="18263A"/>
                <w:sz w:val="20"/>
              </w:rPr>
              <w:t>05</w:t>
            </w:r>
          </w:p>
        </w:tc>
        <w:tc>
          <w:tcPr>
            <w:tcW w:type="dxa" w:w="8110"/>
            <w:tcMar>
              <w:top w:w="80" w:type="dxa"/>
              <w:start w:w="100" w:type="dxa"/>
              <w:bottom w:w="80" w:type="dxa"/>
              <w:end w:w="100" w:type="dxa"/>
            </w:tcMar>
            <w:vAlign w:val="top"/>
          </w:tcPr>
          <w:p>
            <w:pPr>
              <w:spacing w:before="0" w:after="30" w:line="245" w:lineRule="auto"/>
            </w:pPr>
            <w:r>
              <w:rPr>
                <w:rFonts w:ascii="Calibri" w:hAnsi="Calibri"/>
                <w:color w:val="18263A"/>
                <w:sz w:val="20"/>
              </w:rPr>
              <w:t>Revised Videos 4–23 roadmap</w:t>
            </w:r>
          </w:p>
        </w:tc>
      </w:tr>
      <w:tr>
        <w:trPr>
          <w:cantSplit/>
        </w:trPr>
        <w:tc>
          <w:tcPr>
            <w:tcW w:type="dxa" w:w="1250"/>
            <w:tcMar>
              <w:top w:w="80" w:type="dxa"/>
              <w:start w:w="100" w:type="dxa"/>
              <w:bottom w:w="80" w:type="dxa"/>
              <w:end w:w="100" w:type="dxa"/>
            </w:tcMar>
            <w:vAlign w:val="top"/>
          </w:tcPr>
          <w:p>
            <w:pPr>
              <w:spacing w:before="0" w:after="30" w:line="245" w:lineRule="auto"/>
            </w:pPr>
            <w:r>
              <w:rPr>
                <w:rFonts w:ascii="Calibri" w:hAnsi="Calibri"/>
                <w:color w:val="18263A"/>
                <w:sz w:val="20"/>
              </w:rPr>
              <w:t>06</w:t>
            </w:r>
          </w:p>
        </w:tc>
        <w:tc>
          <w:tcPr>
            <w:tcW w:type="dxa" w:w="8110"/>
            <w:tcMar>
              <w:top w:w="80" w:type="dxa"/>
              <w:start w:w="100" w:type="dxa"/>
              <w:bottom w:w="80" w:type="dxa"/>
              <w:end w:w="100" w:type="dxa"/>
            </w:tcMar>
            <w:vAlign w:val="top"/>
          </w:tcPr>
          <w:p>
            <w:pPr>
              <w:spacing w:before="0" w:after="30" w:line="245" w:lineRule="auto"/>
            </w:pPr>
            <w:r>
              <w:rPr>
                <w:rFonts w:ascii="Calibri" w:hAnsi="Calibri"/>
                <w:color w:val="18263A"/>
                <w:sz w:val="20"/>
              </w:rPr>
              <w:t>Channel copy, CTA routing and editorial architecture</w:t>
            </w:r>
          </w:p>
        </w:tc>
      </w:tr>
      <w:tr>
        <w:trPr>
          <w:cantSplit/>
        </w:trPr>
        <w:tc>
          <w:tcPr>
            <w:tcW w:type="dxa" w:w="1250"/>
            <w:tcMar>
              <w:top w:w="80" w:type="dxa"/>
              <w:start w:w="100" w:type="dxa"/>
              <w:bottom w:w="80" w:type="dxa"/>
              <w:end w:w="100" w:type="dxa"/>
            </w:tcMar>
            <w:vAlign w:val="top"/>
          </w:tcPr>
          <w:p>
            <w:pPr>
              <w:spacing w:before="0" w:after="30" w:line="245" w:lineRule="auto"/>
            </w:pPr>
            <w:r>
              <w:rPr>
                <w:rFonts w:ascii="Calibri" w:hAnsi="Calibri"/>
                <w:color w:val="18263A"/>
                <w:sz w:val="20"/>
              </w:rPr>
              <w:t>07</w:t>
            </w:r>
          </w:p>
        </w:tc>
        <w:tc>
          <w:tcPr>
            <w:tcW w:type="dxa" w:w="8110"/>
            <w:tcMar>
              <w:top w:w="80" w:type="dxa"/>
              <w:start w:w="100" w:type="dxa"/>
              <w:bottom w:w="80" w:type="dxa"/>
              <w:end w:w="100" w:type="dxa"/>
            </w:tcMar>
            <w:vAlign w:val="top"/>
          </w:tcPr>
          <w:p>
            <w:pPr>
              <w:spacing w:before="0" w:after="30" w:line="245" w:lineRule="auto"/>
            </w:pPr>
            <w:r>
              <w:rPr>
                <w:rFonts w:ascii="Calibri" w:hAnsi="Calibri"/>
                <w:color w:val="18263A"/>
                <w:sz w:val="20"/>
              </w:rPr>
              <w:t>Missing evidence and questions</w:t>
            </w:r>
          </w:p>
        </w:tc>
      </w:tr>
      <w:tr>
        <w:trPr>
          <w:cantSplit/>
        </w:trPr>
        <w:tc>
          <w:tcPr>
            <w:tcW w:type="dxa" w:w="1250"/>
            <w:tcMar>
              <w:top w:w="80" w:type="dxa"/>
              <w:start w:w="100" w:type="dxa"/>
              <w:bottom w:w="80" w:type="dxa"/>
              <w:end w:w="100" w:type="dxa"/>
            </w:tcMar>
            <w:vAlign w:val="top"/>
          </w:tcPr>
          <w:p>
            <w:pPr>
              <w:spacing w:before="0" w:after="30" w:line="245" w:lineRule="auto"/>
            </w:pPr>
            <w:r>
              <w:rPr>
                <w:rFonts w:ascii="Calibri" w:hAnsi="Calibri"/>
                <w:color w:val="18263A"/>
                <w:sz w:val="20"/>
              </w:rPr>
              <w:t>08</w:t>
            </w:r>
          </w:p>
        </w:tc>
        <w:tc>
          <w:tcPr>
            <w:tcW w:type="dxa" w:w="8110"/>
            <w:tcMar>
              <w:top w:w="80" w:type="dxa"/>
              <w:start w:w="100" w:type="dxa"/>
              <w:bottom w:w="80" w:type="dxa"/>
              <w:end w:w="100" w:type="dxa"/>
            </w:tcMar>
            <w:vAlign w:val="top"/>
          </w:tcPr>
          <w:p>
            <w:pPr>
              <w:spacing w:before="0" w:after="30" w:line="245" w:lineRule="auto"/>
            </w:pPr>
            <w:r>
              <w:rPr>
                <w:rFonts w:ascii="Calibri" w:hAnsi="Calibri"/>
                <w:color w:val="18263A"/>
                <w:sz w:val="20"/>
              </w:rPr>
              <w:t>Return-to-editorial summary</w:t>
            </w:r>
          </w:p>
        </w:tc>
      </w:tr>
      <w:tr>
        <w:trPr>
          <w:cantSplit/>
        </w:trPr>
        <w:tc>
          <w:tcPr>
            <w:tcW w:type="dxa" w:w="1250"/>
            <w:tcMar>
              <w:top w:w="80" w:type="dxa"/>
              <w:start w:w="100" w:type="dxa"/>
              <w:bottom w:w="80" w:type="dxa"/>
              <w:end w:w="100" w:type="dxa"/>
            </w:tcMar>
            <w:vAlign w:val="top"/>
          </w:tcPr>
          <w:p>
            <w:pPr>
              <w:spacing w:before="0" w:after="30" w:line="245" w:lineRule="auto"/>
            </w:pPr>
            <w:r>
              <w:rPr>
                <w:rFonts w:ascii="Calibri" w:hAnsi="Calibri"/>
                <w:color w:val="18263A"/>
                <w:sz w:val="20"/>
              </w:rPr>
              <w:t>A</w:t>
            </w:r>
          </w:p>
        </w:tc>
        <w:tc>
          <w:tcPr>
            <w:tcW w:type="dxa" w:w="8110"/>
            <w:tcMar>
              <w:top w:w="80" w:type="dxa"/>
              <w:start w:w="100" w:type="dxa"/>
              <w:bottom w:w="80" w:type="dxa"/>
              <w:end w:w="100" w:type="dxa"/>
            </w:tcMar>
            <w:vAlign w:val="top"/>
          </w:tcPr>
          <w:p>
            <w:pPr>
              <w:spacing w:before="0" w:after="30" w:line="245" w:lineRule="auto"/>
            </w:pPr>
            <w:r>
              <w:rPr>
                <w:rFonts w:ascii="Calibri" w:hAnsi="Calibri"/>
                <w:color w:val="18263A"/>
                <w:sz w:val="20"/>
              </w:rPr>
              <w:t>Discussion scan and sources</w:t>
            </w:r>
          </w:p>
        </w:tc>
      </w:tr>
    </w:tbl>
    <w:p>
      <w:pPr>
        <w:spacing w:after="0"/>
      </w:pPr>
    </w:p>
    <w:tbl>
      <w:tblPr>
        <w:tblW w:type="dxa" w:w="9360"/>
        <w:jc w:val="center"/>
        <w:tblLook w:firstColumn="1" w:firstRow="1" w:lastColumn="0" w:lastRow="0" w:noHBand="0" w:noVBand="1" w:val="04A0"/>
        <w:tblLayout w:type="fixed"/>
        <w:tblInd w:w="0" w:type="dxa"/>
        <w:tblBorders>
          <w:top w:val="single" w:sz="0" w:space="0" w:color="F2E7BD"/>
          <w:left w:val="single" w:sz="0" w:space="0" w:color="F2E7BD"/>
          <w:bottom w:val="single" w:sz="0" w:space="0" w:color="F2E7BD"/>
          <w:right w:val="single" w:sz="0" w:space="0" w:color="F2E7BD"/>
          <w:insideH w:val="single" w:sz="0" w:space="0" w:color="F2E7BD"/>
          <w:insideV w:val="single" w:sz="0" w:space="0" w:color="F2E7BD"/>
        </w:tblBorders>
      </w:tblPr>
      <w:tblGrid>
        <w:gridCol w:w="180"/>
        <w:gridCol w:w="9180"/>
      </w:tblGrid>
      <w:tr>
        <w:trPr>
          <w:cantSplit/>
        </w:trPr>
        <w:tc>
          <w:tcPr>
            <w:tcW w:type="dxa" w:w="180"/>
            <w:tcMar>
              <w:top w:w="100" w:type="dxa"/>
              <w:start w:w="0" w:type="dxa"/>
              <w:bottom w:w="100" w:type="dxa"/>
              <w:end w:w="0" w:type="dxa"/>
            </w:tcMar>
            <w:vAlign w:val="top"/>
            <w:shd w:fill="C94C1B"/>
          </w:tcPr>
          <w:p/>
        </w:tc>
        <w:tc>
          <w:tcPr>
            <w:tcW w:type="dxa" w:w="9180"/>
            <w:tcMar>
              <w:top w:w="130" w:type="dxa"/>
              <w:start w:w="160" w:type="dxa"/>
              <w:bottom w:w="130" w:type="dxa"/>
              <w:end w:w="160" w:type="dxa"/>
            </w:tcMar>
            <w:vAlign w:val="top"/>
            <w:shd w:fill="F2E7BD"/>
          </w:tcPr>
          <w:p>
            <w:pPr>
              <w:spacing w:after="60"/>
            </w:pPr>
            <w:r>
              <w:rPr>
                <w:rFonts w:ascii="Calibri" w:hAnsi="Calibri"/>
                <w:b/>
                <w:color w:val="C94C1B"/>
                <w:sz w:val="18"/>
              </w:rPr>
              <w:t>SOURCE-OF-TRUTH CORRECTION</w:t>
            </w:r>
          </w:p>
          <w:p>
            <w:pPr>
              <w:spacing w:after="0" w:line="276" w:lineRule="auto"/>
            </w:pPr>
            <w:r>
              <w:rPr>
                <w:rFonts w:ascii="Calibri" w:hAnsi="Calibri"/>
                <w:color w:val="18263A"/>
                <w:sz w:val="21"/>
              </w:rPr>
              <w:t>The research brief lists Keep the Proof for Video 1. The approved recording, editor brief and finished Video 1 route to the Capability Formation Field Kit. Do not change the recorded CTA. The audit treats the approved production evidence as authoritative.</w:t>
            </w:r>
          </w:p>
        </w:tc>
      </w:tr>
    </w:tbl>
    <w:p>
      <w:pPr>
        <w:keepLines w:val="0"/>
        <w:spacing w:before="0" w:after="120" w:line="300" w:lineRule="auto"/>
      </w:pPr>
      <w:r>
        <w:rPr>
          <w:rFonts w:ascii="Calibri" w:hAnsi="Calibri"/>
          <w:b/>
          <w:color w:val="18263A"/>
          <w:sz w:val="22"/>
        </w:rPr>
        <w:t>How to read the recommendations</w:t>
      </w:r>
      <w:r>
        <w:rPr>
          <w:rFonts w:ascii="Calibri" w:hAnsi="Calibri"/>
          <w:i w:val="0"/>
          <w:color w:val="18263A"/>
          <w:sz w:val="22"/>
        </w:rPr>
      </w:r>
    </w:p>
    <w:p>
      <w:pPr>
        <w:pStyle w:val="AuditBullet"/>
        <w:spacing w:after="80" w:line="288" w:lineRule="auto"/>
      </w:pPr>
      <w:r>
        <w:rPr>
          <w:rFonts w:ascii="Calibri" w:hAnsi="Calibri"/>
          <w:color w:val="18263A"/>
          <w:sz w:val="21"/>
        </w:rPr>
        <w:t>“Keep” means the strategic job and production decision remain intact.</w:t>
      </w:r>
    </w:p>
    <w:p>
      <w:pPr>
        <w:pStyle w:val="AuditBullet"/>
        <w:spacing w:after="80" w:line="288" w:lineRule="auto"/>
      </w:pPr>
      <w:r>
        <w:rPr>
          <w:rFonts w:ascii="Calibri" w:hAnsi="Calibri"/>
          <w:color w:val="18263A"/>
          <w:sz w:val="21"/>
        </w:rPr>
        <w:t>“Retitle” means the idea stays but the search doorway or promise becomes more specific.</w:t>
      </w:r>
    </w:p>
    <w:p>
      <w:pPr>
        <w:pStyle w:val="AuditBullet"/>
        <w:spacing w:after="80" w:line="288" w:lineRule="auto"/>
      </w:pPr>
      <w:r>
        <w:rPr>
          <w:rFonts w:ascii="Calibri" w:hAnsi="Calibri"/>
          <w:color w:val="18263A"/>
          <w:sz w:val="21"/>
        </w:rPr>
        <w:t>“Move later” means the topic is useful but does not earn a place in this first viewer-first sequence.</w:t>
      </w:r>
    </w:p>
    <w:p>
      <w:pPr>
        <w:pStyle w:val="AuditBullet"/>
        <w:spacing w:after="80" w:line="288" w:lineRule="auto"/>
      </w:pPr>
      <w:r>
        <w:rPr>
          <w:rFonts w:ascii="Calibri" w:hAnsi="Calibri"/>
          <w:color w:val="18263A"/>
          <w:sz w:val="21"/>
        </w:rPr>
        <w:t>A proposed story is not permission to invent detail. Where a causal link or result is not documented, the report names the question that must be answered before scripting.</w:t>
      </w:r>
    </w:p>
    <w:p>
      <w:r>
        <w:br w:type="page"/>
      </w:r>
    </w:p>
    <w:p>
      <w:pPr>
        <w:keepNext/>
        <w:spacing w:after="60"/>
      </w:pPr>
      <w:r>
        <w:rPr>
          <w:rFonts w:ascii="Calibri" w:hAnsi="Calibri"/>
          <w:b/>
          <w:color w:val="C6A646"/>
          <w:sz w:val="18"/>
        </w:rPr>
        <w:t>01  /  EXECUTIVE DECISION</w:t>
      </w:r>
    </w:p>
    <w:p>
      <w:pPr>
        <w:pStyle w:val="Heading1"/>
        <w:keepNext/>
      </w:pPr>
      <w:r>
        <w:rPr>
          <w:rFonts w:ascii="Calibri" w:hAnsi="Calibri"/>
          <w:b/>
          <w:color w:val="10264B"/>
          <w:sz w:val="32"/>
        </w:rPr>
        <w:t>Narrow the editorial persona; keep the public doorway open</w:t>
      </w:r>
    </w:p>
    <w:p>
      <w:pPr>
        <w:keepLines w:val="0"/>
        <w:spacing w:before="0" w:after="120" w:line="300" w:lineRule="auto"/>
      </w:pPr>
      <w:r>
        <w:rPr>
          <w:rFonts w:ascii="Calibri" w:hAnsi="Calibri"/>
          <w:i w:val="0"/>
          <w:color w:val="18263A"/>
          <w:sz w:val="22"/>
        </w:rPr>
        <w:t>The refined audience is strategically stronger. The internal editorial persona should be a senior corporate woman, generally 40–55, with 15–25 years of experience and meaningful financial, family and reputational stakes. She is not looking for inspiration to “reinvent herself.” She is trying to determine which parts of her accumulated value still count when the context changes—and what she must genuinely learn again.</w:t>
      </w:r>
    </w:p>
    <w:tbl>
      <w:tblPr>
        <w:tblW w:type="dxa" w:w="9360"/>
        <w:jc w:val="center"/>
        <w:tblLook w:firstColumn="1" w:firstRow="1" w:lastColumn="0" w:lastRow="0" w:noHBand="0" w:noVBand="1" w:val="04A0"/>
        <w:tblLayout w:type="fixed"/>
        <w:tblInd w:w="0" w:type="dxa"/>
        <w:tblBorders>
          <w:top w:val="single" w:sz="0" w:space="0" w:color="E9EFF6"/>
          <w:left w:val="single" w:sz="0" w:space="0" w:color="E9EFF6"/>
          <w:bottom w:val="single" w:sz="0" w:space="0" w:color="E9EFF6"/>
          <w:right w:val="single" w:sz="0" w:space="0" w:color="E9EFF6"/>
          <w:insideH w:val="single" w:sz="0" w:space="0" w:color="E9EFF6"/>
          <w:insideV w:val="single" w:sz="0" w:space="0" w:color="E9EFF6"/>
        </w:tblBorders>
      </w:tblPr>
      <w:tblGrid>
        <w:gridCol w:w="180"/>
        <w:gridCol w:w="9180"/>
      </w:tblGrid>
      <w:tr>
        <w:trPr>
          <w:cantSplit/>
        </w:trPr>
        <w:tc>
          <w:tcPr>
            <w:tcW w:type="dxa" w:w="180"/>
            <w:tcMar>
              <w:top w:w="100" w:type="dxa"/>
              <w:start w:w="0" w:type="dxa"/>
              <w:bottom w:w="100" w:type="dxa"/>
              <w:end w:w="0" w:type="dxa"/>
            </w:tcMar>
            <w:vAlign w:val="top"/>
            <w:shd w:fill="10264B"/>
          </w:tcPr>
          <w:p/>
        </w:tc>
        <w:tc>
          <w:tcPr>
            <w:tcW w:type="dxa" w:w="9180"/>
            <w:tcMar>
              <w:top w:w="130" w:type="dxa"/>
              <w:start w:w="160" w:type="dxa"/>
              <w:bottom w:w="130" w:type="dxa"/>
              <w:end w:w="160" w:type="dxa"/>
            </w:tcMar>
            <w:vAlign w:val="top"/>
            <w:shd w:fill="E9EFF6"/>
          </w:tcPr>
          <w:p>
            <w:pPr>
              <w:spacing w:after="60"/>
            </w:pPr>
            <w:r>
              <w:rPr>
                <w:rFonts w:ascii="Calibri" w:hAnsi="Calibri"/>
                <w:b/>
                <w:color w:val="10264B"/>
                <w:sz w:val="18"/>
              </w:rPr>
              <w:t>RECOMMENDED PUBLIC POSITIONING</w:t>
            </w:r>
          </w:p>
          <w:p>
            <w:pPr>
              <w:spacing w:after="0" w:line="276" w:lineRule="auto"/>
            </w:pPr>
            <w:r>
              <w:rPr>
                <w:rFonts w:ascii="Calibri" w:hAnsi="Calibri"/>
                <w:color w:val="18263A"/>
                <w:sz w:val="21"/>
              </w:rPr>
              <w:t>I help experienced professionals identify, prove and explain what they can carry into a new role, function, company or industry—so they can make pivots and internal moves without starting from zero.</w:t>
            </w:r>
          </w:p>
        </w:tc>
      </w:tr>
    </w:tbl>
    <w:p>
      <w:pPr>
        <w:pStyle w:val="Heading2"/>
        <w:keepNext/>
      </w:pPr>
      <w:r>
        <w:rPr>
          <w:rFonts w:ascii="Calibri" w:hAnsi="Calibri"/>
          <w:b/>
          <w:color w:val="10264B"/>
          <w:sz w:val="26"/>
        </w:rPr>
        <w:t>Candid assessment</w:t>
      </w:r>
    </w:p>
    <w:p>
      <w:pPr>
        <w:keepLines w:val="0"/>
        <w:spacing w:before="0" w:after="120" w:line="300" w:lineRule="auto"/>
      </w:pPr>
      <w:r>
        <w:rPr>
          <w:rFonts w:ascii="Calibri" w:hAnsi="Calibri"/>
          <w:i w:val="0"/>
          <w:color w:val="18263A"/>
          <w:sz w:val="22"/>
        </w:rPr>
        <w:t>The current direction is much closer to a defendable niche than broad career-growth content. It becomes distinctive when Temidayo does three things together: names a recognizable senior-career risk, brings lived evidence early, and gives the viewer a test for separating portable value from context-specific knowledge. It becomes generic when the title could belong to any interview coach, AI commentator or résumé channel and the method appears only after general advice.</w:t>
      </w:r>
    </w:p>
    <w:p>
      <w:pPr>
        <w:pStyle w:val="Heading2"/>
        <w:keepNext/>
      </w:pPr>
      <w:r>
        <w:rPr>
          <w:rFonts w:ascii="Calibri" w:hAnsi="Calibri"/>
          <w:b/>
          <w:color w:val="10264B"/>
          <w:sz w:val="26"/>
        </w:rPr>
        <w:t>What is locked—and what changes</w:t>
      </w:r>
    </w:p>
    <w:tbl>
      <w:tblPr>
        <w:tblW w:type="dxa" w:w="9360"/>
        <w:jc w:val="center"/>
        <w:tblLook w:firstColumn="1" w:firstRow="1" w:lastColumn="0" w:lastRow="0" w:noHBand="0" w:noVBand="1" w:val="04A0"/>
        <w:tblLayout w:type="fixed"/>
        <w:tblInd w:w="120" w:type="dxa"/>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Pr>
      <w:tblGrid>
        <w:gridCol w:w="2050"/>
        <w:gridCol w:w="1350"/>
        <w:gridCol w:w="5960"/>
      </w:tblGrid>
      <w:tr>
        <w:trPr>
          <w:tblHeader w:val="true"/>
          <w:cantSplit/>
        </w:trPr>
        <w:tc>
          <w:tcPr>
            <w:tcW w:type="dxa" w:w="2050"/>
            <w:tcMar>
              <w:top w:w="80" w:type="dxa"/>
              <w:start w:w="100" w:type="dxa"/>
              <w:bottom w:w="80" w:type="dxa"/>
              <w:end w:w="100" w:type="dxa"/>
            </w:tcMar>
            <w:vAlign w:val="top"/>
            <w:shd w:fill="10264B"/>
          </w:tcPr>
          <w:p>
            <w:pPr>
              <w:spacing w:after="0" w:line="240" w:lineRule="auto"/>
            </w:pPr>
            <w:r/>
            <w:r>
              <w:rPr>
                <w:rFonts w:ascii="Calibri" w:hAnsi="Calibri"/>
                <w:b/>
                <w:color w:val="FFFFFF"/>
                <w:sz w:val="18"/>
              </w:rPr>
              <w:t>Element</w:t>
            </w:r>
          </w:p>
        </w:tc>
        <w:tc>
          <w:tcPr>
            <w:tcW w:type="dxa" w:w="1350"/>
            <w:tcMar>
              <w:top w:w="80" w:type="dxa"/>
              <w:start w:w="100" w:type="dxa"/>
              <w:bottom w:w="80" w:type="dxa"/>
              <w:end w:w="100" w:type="dxa"/>
            </w:tcMar>
            <w:vAlign w:val="top"/>
            <w:shd w:fill="10264B"/>
          </w:tcPr>
          <w:p>
            <w:pPr>
              <w:spacing w:after="0" w:line="240" w:lineRule="auto"/>
            </w:pPr>
            <w:r/>
            <w:r>
              <w:rPr>
                <w:rFonts w:ascii="Calibri" w:hAnsi="Calibri"/>
                <w:b/>
                <w:color w:val="FFFFFF"/>
                <w:sz w:val="18"/>
              </w:rPr>
              <w:t>Decision</w:t>
            </w:r>
          </w:p>
        </w:tc>
        <w:tc>
          <w:tcPr>
            <w:tcW w:type="dxa" w:w="5960"/>
            <w:tcMar>
              <w:top w:w="80" w:type="dxa"/>
              <w:start w:w="100" w:type="dxa"/>
              <w:bottom w:w="80" w:type="dxa"/>
              <w:end w:w="100" w:type="dxa"/>
            </w:tcMar>
            <w:vAlign w:val="top"/>
            <w:shd w:fill="10264B"/>
          </w:tcPr>
          <w:p>
            <w:pPr>
              <w:spacing w:after="0" w:line="240" w:lineRule="auto"/>
            </w:pPr>
            <w:r/>
            <w:r>
              <w:rPr>
                <w:rFonts w:ascii="Calibri" w:hAnsi="Calibri"/>
                <w:b/>
                <w:color w:val="FFFFFF"/>
                <w:sz w:val="18"/>
              </w:rPr>
              <w:t>Reason</w:t>
            </w:r>
          </w:p>
        </w:tc>
      </w:tr>
      <w:tr>
        <w:trPr>
          <w:cantSplit/>
        </w:trPr>
        <w:tc>
          <w:tcPr>
            <w:tcW w:type="dxa" w:w="2050"/>
            <w:tcMar>
              <w:top w:w="80" w:type="dxa"/>
              <w:start w:w="100" w:type="dxa"/>
              <w:bottom w:w="80" w:type="dxa"/>
              <w:end w:w="100" w:type="dxa"/>
            </w:tcMar>
            <w:vAlign w:val="top"/>
          </w:tcPr>
          <w:p>
            <w:pPr>
              <w:spacing w:before="0" w:after="30" w:line="245" w:lineRule="auto"/>
            </w:pPr>
            <w:r>
              <w:rPr>
                <w:rFonts w:ascii="Calibri" w:hAnsi="Calibri"/>
                <w:color w:val="18263A"/>
                <w:sz w:val="18"/>
              </w:rPr>
              <w:t>Public front door</w:t>
            </w:r>
          </w:p>
        </w:tc>
        <w:tc>
          <w:tcPr>
            <w:tcW w:type="dxa" w:w="1350"/>
            <w:tcMar>
              <w:top w:w="80" w:type="dxa"/>
              <w:start w:w="100" w:type="dxa"/>
              <w:bottom w:w="80" w:type="dxa"/>
              <w:end w:w="100" w:type="dxa"/>
            </w:tcMar>
            <w:vAlign w:val="top"/>
          </w:tcPr>
          <w:p>
            <w:pPr>
              <w:spacing w:before="0" w:after="30" w:line="245" w:lineRule="auto"/>
            </w:pPr>
            <w:r>
              <w:rPr>
                <w:rFonts w:ascii="Calibri" w:hAnsi="Calibri"/>
                <w:color w:val="18263A"/>
                <w:sz w:val="18"/>
              </w:rPr>
              <w:t>KEEP</w:t>
            </w:r>
          </w:p>
        </w:tc>
        <w:tc>
          <w:tcPr>
            <w:tcW w:type="dxa" w:w="5960"/>
            <w:tcMar>
              <w:top w:w="80" w:type="dxa"/>
              <w:start w:w="100" w:type="dxa"/>
              <w:bottom w:w="80" w:type="dxa"/>
              <w:end w:w="100" w:type="dxa"/>
            </w:tcMar>
            <w:vAlign w:val="top"/>
          </w:tcPr>
          <w:p>
            <w:pPr>
              <w:spacing w:before="0" w:after="30" w:line="245" w:lineRule="auto"/>
            </w:pPr>
            <w:r>
              <w:rPr>
                <w:rFonts w:ascii="Calibri" w:hAnsi="Calibri"/>
                <w:color w:val="18263A"/>
                <w:sz w:val="18"/>
              </w:rPr>
              <w:t>Career portability is recognizable and useful; introduce Capability Formation after the viewer recognizes the problem.</w:t>
            </w:r>
          </w:p>
        </w:tc>
      </w:tr>
      <w:tr>
        <w:trPr>
          <w:cantSplit/>
        </w:trPr>
        <w:tc>
          <w:tcPr>
            <w:tcW w:type="dxa" w:w="205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Internal persona</w:t>
            </w:r>
          </w:p>
        </w:tc>
        <w:tc>
          <w:tcPr>
            <w:tcW w:type="dxa" w:w="135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SHARPEN</w:t>
            </w:r>
          </w:p>
        </w:tc>
        <w:tc>
          <w:tcPr>
            <w:tcW w:type="dxa" w:w="596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Write to the senior corporate woman 40–55. Keep titles broad enough that men and adjacent experienced professionals still enter.</w:t>
            </w:r>
          </w:p>
        </w:tc>
      </w:tr>
      <w:tr>
        <w:trPr>
          <w:cantSplit/>
        </w:trPr>
        <w:tc>
          <w:tcPr>
            <w:tcW w:type="dxa" w:w="2050"/>
            <w:tcMar>
              <w:top w:w="80" w:type="dxa"/>
              <w:start w:w="100" w:type="dxa"/>
              <w:bottom w:w="80" w:type="dxa"/>
              <w:end w:w="100" w:type="dxa"/>
            </w:tcMar>
            <w:vAlign w:val="top"/>
          </w:tcPr>
          <w:p>
            <w:pPr>
              <w:spacing w:before="0" w:after="30" w:line="245" w:lineRule="auto"/>
            </w:pPr>
            <w:r>
              <w:rPr>
                <w:rFonts w:ascii="Calibri" w:hAnsi="Calibri"/>
                <w:color w:val="18263A"/>
                <w:sz w:val="18"/>
              </w:rPr>
              <w:t>“Industry agnostic”</w:t>
            </w:r>
          </w:p>
        </w:tc>
        <w:tc>
          <w:tcPr>
            <w:tcW w:type="dxa" w:w="1350"/>
            <w:tcMar>
              <w:top w:w="80" w:type="dxa"/>
              <w:start w:w="100" w:type="dxa"/>
              <w:bottom w:w="80" w:type="dxa"/>
              <w:end w:w="100" w:type="dxa"/>
            </w:tcMar>
            <w:vAlign w:val="top"/>
          </w:tcPr>
          <w:p>
            <w:pPr>
              <w:spacing w:before="0" w:after="30" w:line="245" w:lineRule="auto"/>
            </w:pPr>
            <w:r>
              <w:rPr>
                <w:rFonts w:ascii="Calibri" w:hAnsi="Calibri"/>
                <w:color w:val="18263A"/>
                <w:sz w:val="18"/>
              </w:rPr>
              <w:t>DO NOT CLAIM</w:t>
            </w:r>
          </w:p>
        </w:tc>
        <w:tc>
          <w:tcPr>
            <w:tcW w:type="dxa" w:w="5960"/>
            <w:tcMar>
              <w:top w:w="80" w:type="dxa"/>
              <w:start w:w="100" w:type="dxa"/>
              <w:bottom w:w="80" w:type="dxa"/>
              <w:end w:w="100" w:type="dxa"/>
            </w:tcMar>
            <w:vAlign w:val="top"/>
          </w:tcPr>
          <w:p>
            <w:pPr>
              <w:spacing w:before="0" w:after="30" w:line="245" w:lineRule="auto"/>
            </w:pPr>
            <w:r>
              <w:rPr>
                <w:rFonts w:ascii="Calibri" w:hAnsi="Calibri"/>
                <w:color w:val="18263A"/>
                <w:sz w:val="18"/>
              </w:rPr>
              <w:t>Use cross-industry portability as demonstrated proof. Say context matters; test what transfers and what must be relearned.</w:t>
            </w:r>
          </w:p>
        </w:tc>
      </w:tr>
      <w:tr>
        <w:trPr>
          <w:cantSplit/>
        </w:trPr>
        <w:tc>
          <w:tcPr>
            <w:tcW w:type="dxa" w:w="205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Videos 1–3</w:t>
            </w:r>
          </w:p>
        </w:tc>
        <w:tc>
          <w:tcPr>
            <w:tcW w:type="dxa" w:w="135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KEEP</w:t>
            </w:r>
          </w:p>
        </w:tc>
        <w:tc>
          <w:tcPr>
            <w:tcW w:type="dxa" w:w="596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No reshoots required for strategy. Correct metadata, publication gating and CTA records only.</w:t>
            </w:r>
          </w:p>
        </w:tc>
      </w:tr>
      <w:tr>
        <w:trPr>
          <w:cantSplit/>
        </w:trPr>
        <w:tc>
          <w:tcPr>
            <w:tcW w:type="dxa" w:w="2050"/>
            <w:tcMar>
              <w:top w:w="80" w:type="dxa"/>
              <w:start w:w="100" w:type="dxa"/>
              <w:bottom w:w="80" w:type="dxa"/>
              <w:end w:w="100" w:type="dxa"/>
            </w:tcMar>
            <w:vAlign w:val="top"/>
          </w:tcPr>
          <w:p>
            <w:pPr>
              <w:spacing w:before="0" w:after="30" w:line="245" w:lineRule="auto"/>
            </w:pPr>
            <w:r>
              <w:rPr>
                <w:rFonts w:ascii="Calibri" w:hAnsi="Calibri"/>
                <w:color w:val="18263A"/>
                <w:sz w:val="18"/>
              </w:rPr>
              <w:t>Videos 4–6</w:t>
            </w:r>
          </w:p>
        </w:tc>
        <w:tc>
          <w:tcPr>
            <w:tcW w:type="dxa" w:w="1350"/>
            <w:tcMar>
              <w:top w:w="80" w:type="dxa"/>
              <w:start w:w="100" w:type="dxa"/>
              <w:bottom w:w="80" w:type="dxa"/>
              <w:end w:w="100" w:type="dxa"/>
            </w:tcMar>
            <w:vAlign w:val="top"/>
          </w:tcPr>
          <w:p>
            <w:pPr>
              <w:spacing w:before="0" w:after="30" w:line="245" w:lineRule="auto"/>
            </w:pPr>
            <w:r>
              <w:rPr>
                <w:rFonts w:ascii="Calibri" w:hAnsi="Calibri"/>
                <w:color w:val="18263A"/>
                <w:sz w:val="18"/>
              </w:rPr>
              <w:t>PRESERVE</w:t>
            </w:r>
          </w:p>
        </w:tc>
        <w:tc>
          <w:tcPr>
            <w:tcW w:type="dxa" w:w="5960"/>
            <w:tcMar>
              <w:top w:w="80" w:type="dxa"/>
              <w:start w:w="100" w:type="dxa"/>
              <w:bottom w:w="80" w:type="dxa"/>
              <w:end w:w="100" w:type="dxa"/>
            </w:tcMar>
            <w:vAlign w:val="top"/>
          </w:tcPr>
          <w:p>
            <w:pPr>
              <w:spacing w:before="0" w:after="30" w:line="245" w:lineRule="auto"/>
            </w:pPr>
            <w:r>
              <w:rPr>
                <w:rFonts w:ascii="Calibri" w:hAnsi="Calibri"/>
                <w:color w:val="18263A"/>
                <w:sz w:val="18"/>
              </w:rPr>
              <w:t>Production decisions are approved. Sharpen lived proof where the newly supplied facts allow it.</w:t>
            </w:r>
          </w:p>
        </w:tc>
      </w:tr>
      <w:tr>
        <w:trPr>
          <w:cantSplit/>
        </w:trPr>
        <w:tc>
          <w:tcPr>
            <w:tcW w:type="dxa" w:w="205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Videos 7–23</w:t>
            </w:r>
          </w:p>
        </w:tc>
        <w:tc>
          <w:tcPr>
            <w:tcW w:type="dxa" w:w="135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SELECTIVELY REVISE</w:t>
            </w:r>
          </w:p>
        </w:tc>
        <w:tc>
          <w:tcPr>
            <w:tcW w:type="dxa" w:w="596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Keep the strongest viewer problems; replace generic interview and clustered AI topics with industry-change, visibility, senior-path and re-entry decisions.</w:t>
            </w:r>
          </w:p>
        </w:tc>
      </w:tr>
      <w:tr>
        <w:trPr>
          <w:cantSplit/>
        </w:trPr>
        <w:tc>
          <w:tcPr>
            <w:tcW w:type="dxa" w:w="2050"/>
            <w:tcMar>
              <w:top w:w="80" w:type="dxa"/>
              <w:start w:w="100" w:type="dxa"/>
              <w:bottom w:w="80" w:type="dxa"/>
              <w:end w:w="100" w:type="dxa"/>
            </w:tcMar>
            <w:vAlign w:val="top"/>
          </w:tcPr>
          <w:p>
            <w:pPr>
              <w:spacing w:before="0" w:after="30" w:line="245" w:lineRule="auto"/>
            </w:pPr>
            <w:r>
              <w:rPr>
                <w:rFonts w:ascii="Calibri" w:hAnsi="Calibri"/>
                <w:color w:val="18263A"/>
                <w:sz w:val="18"/>
              </w:rPr>
              <w:t>Playlist 1–6</w:t>
            </w:r>
          </w:p>
        </w:tc>
        <w:tc>
          <w:tcPr>
            <w:tcW w:type="dxa" w:w="1350"/>
            <w:tcMar>
              <w:top w:w="80" w:type="dxa"/>
              <w:start w:w="100" w:type="dxa"/>
              <w:bottom w:w="80" w:type="dxa"/>
              <w:end w:w="100" w:type="dxa"/>
            </w:tcMar>
            <w:vAlign w:val="top"/>
          </w:tcPr>
          <w:p>
            <w:pPr>
              <w:spacing w:before="0" w:after="30" w:line="245" w:lineRule="auto"/>
            </w:pPr>
            <w:r>
              <w:rPr>
                <w:rFonts w:ascii="Calibri" w:hAnsi="Calibri"/>
                <w:color w:val="18263A"/>
                <w:sz w:val="18"/>
              </w:rPr>
              <w:t>KEEP</w:t>
            </w:r>
          </w:p>
        </w:tc>
        <w:tc>
          <w:tcPr>
            <w:tcW w:type="dxa" w:w="5960"/>
            <w:tcMar>
              <w:top w:w="80" w:type="dxa"/>
              <w:start w:w="100" w:type="dxa"/>
              <w:bottom w:w="80" w:type="dxa"/>
              <w:end w:w="100" w:type="dxa"/>
            </w:tcMar>
            <w:vAlign w:val="top"/>
          </w:tcPr>
          <w:p>
            <w:pPr>
              <w:spacing w:before="0" w:after="30" w:line="245" w:lineRule="auto"/>
            </w:pPr>
            <w:r>
              <w:rPr>
                <w:rFonts w:ascii="Calibri" w:hAnsi="Calibri"/>
                <w:color w:val="18263A"/>
                <w:sz w:val="18"/>
              </w:rPr>
              <w:t>Career Portability: Career Pivots, Internal Moves &amp; Growth remains a coherent launch playlist.</w:t>
            </w:r>
          </w:p>
        </w:tc>
      </w:tr>
    </w:tbl>
    <w:p>
      <w:pPr>
        <w:spacing w:after="0"/>
      </w:pPr>
    </w:p>
    <w:p>
      <w:pPr>
        <w:pStyle w:val="Heading2"/>
        <w:keepNext/>
      </w:pPr>
      <w:r>
        <w:rPr>
          <w:rFonts w:ascii="Calibri" w:hAnsi="Calibri"/>
          <w:b/>
          <w:color w:val="10264B"/>
          <w:sz w:val="26"/>
        </w:rPr>
        <w:t>The transformation the channel owns</w:t>
      </w:r>
    </w:p>
    <w:p>
      <w:pPr>
        <w:keepLines w:val="0"/>
        <w:spacing w:before="0" w:after="120" w:line="300" w:lineRule="auto"/>
      </w:pPr>
      <w:r>
        <w:rPr>
          <w:rFonts w:ascii="Calibri" w:hAnsi="Calibri"/>
          <w:i w:val="0"/>
          <w:color w:val="18263A"/>
          <w:sz w:val="22"/>
        </w:rPr>
        <w:t>A viewer arrives with substantial experience but cannot tell what will still count outside the current title, company or industry. Temidayo helps her read what the work formed, separate portable judgment from context-specific knowledge, preserve permitted evidence, translate that evidence, test internal and external options, and name what must be learned next. The result is not a promise of a frictionless pivot. It is a more accurate basis for deciding and moving.</w:t>
      </w:r>
    </w:p>
    <w:tbl>
      <w:tblPr>
        <w:tblW w:type="dxa" w:w="9360"/>
        <w:jc w:val="center"/>
        <w:tblLook w:firstColumn="1" w:firstRow="1" w:lastColumn="0" w:lastRow="0" w:noHBand="0" w:noVBand="1" w:val="04A0"/>
        <w:tblLayout w:type="fixed"/>
        <w:tblInd w:w="120" w:type="dxa"/>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Pr>
      <w:tblGrid>
        <w:gridCol w:w="700"/>
        <w:gridCol w:w="2600"/>
        <w:gridCol w:w="6060"/>
      </w:tblGrid>
      <w:tr>
        <w:trPr>
          <w:tblHeader w:val="true"/>
          <w:cantSplit/>
        </w:trPr>
        <w:tc>
          <w:tcPr>
            <w:tcW w:type="dxa" w:w="700"/>
            <w:tcMar>
              <w:top w:w="80" w:type="dxa"/>
              <w:start w:w="100" w:type="dxa"/>
              <w:bottom w:w="80" w:type="dxa"/>
              <w:end w:w="100" w:type="dxa"/>
            </w:tcMar>
            <w:vAlign w:val="top"/>
            <w:shd w:fill="10264B"/>
          </w:tcPr>
          <w:p>
            <w:pPr>
              <w:spacing w:after="0" w:line="240" w:lineRule="auto"/>
            </w:pPr>
            <w:r/>
            <w:r>
              <w:rPr>
                <w:rFonts w:ascii="Calibri" w:hAnsi="Calibri"/>
                <w:b/>
                <w:color w:val="FFFFFF"/>
                <w:sz w:val="18"/>
              </w:rPr>
              <w:t>Step</w:t>
            </w:r>
          </w:p>
        </w:tc>
        <w:tc>
          <w:tcPr>
            <w:tcW w:type="dxa" w:w="2600"/>
            <w:tcMar>
              <w:top w:w="80" w:type="dxa"/>
              <w:start w:w="100" w:type="dxa"/>
              <w:bottom w:w="80" w:type="dxa"/>
              <w:end w:w="100" w:type="dxa"/>
            </w:tcMar>
            <w:vAlign w:val="top"/>
            <w:shd w:fill="10264B"/>
          </w:tcPr>
          <w:p>
            <w:pPr>
              <w:spacing w:after="0" w:line="240" w:lineRule="auto"/>
            </w:pPr>
            <w:r/>
            <w:r>
              <w:rPr>
                <w:rFonts w:ascii="Calibri" w:hAnsi="Calibri"/>
                <w:b/>
                <w:color w:val="FFFFFF"/>
                <w:sz w:val="18"/>
              </w:rPr>
              <w:t>Method</w:t>
            </w:r>
          </w:p>
        </w:tc>
        <w:tc>
          <w:tcPr>
            <w:tcW w:type="dxa" w:w="6060"/>
            <w:tcMar>
              <w:top w:w="80" w:type="dxa"/>
              <w:start w:w="100" w:type="dxa"/>
              <w:bottom w:w="80" w:type="dxa"/>
              <w:end w:w="100" w:type="dxa"/>
            </w:tcMar>
            <w:vAlign w:val="top"/>
            <w:shd w:fill="10264B"/>
          </w:tcPr>
          <w:p>
            <w:pPr>
              <w:spacing w:after="0" w:line="240" w:lineRule="auto"/>
            </w:pPr>
            <w:r/>
            <w:r>
              <w:rPr>
                <w:rFonts w:ascii="Calibri" w:hAnsi="Calibri"/>
                <w:b/>
                <w:color w:val="FFFFFF"/>
                <w:sz w:val="18"/>
              </w:rPr>
              <w:t>Editorial job</w:t>
            </w:r>
          </w:p>
        </w:tc>
      </w:tr>
      <w:tr>
        <w:trPr>
          <w:cantSplit/>
        </w:trPr>
        <w:tc>
          <w:tcPr>
            <w:tcW w:type="dxa" w:w="700"/>
            <w:tcMar>
              <w:top w:w="80" w:type="dxa"/>
              <w:start w:w="100" w:type="dxa"/>
              <w:bottom w:w="80" w:type="dxa"/>
              <w:end w:w="100" w:type="dxa"/>
            </w:tcMar>
            <w:vAlign w:val="top"/>
          </w:tcPr>
          <w:p>
            <w:pPr>
              <w:spacing w:before="0" w:after="30" w:line="245" w:lineRule="auto"/>
            </w:pPr>
            <w:r>
              <w:rPr>
                <w:rFonts w:ascii="Calibri" w:hAnsi="Calibri"/>
                <w:color w:val="18263A"/>
                <w:sz w:val="18"/>
              </w:rPr>
              <w:t>1</w:t>
            </w:r>
          </w:p>
        </w:tc>
        <w:tc>
          <w:tcPr>
            <w:tcW w:type="dxa" w:w="2600"/>
            <w:tcMar>
              <w:top w:w="80" w:type="dxa"/>
              <w:start w:w="100" w:type="dxa"/>
              <w:bottom w:w="80" w:type="dxa"/>
              <w:end w:w="100" w:type="dxa"/>
            </w:tcMar>
            <w:vAlign w:val="top"/>
          </w:tcPr>
          <w:p>
            <w:pPr>
              <w:spacing w:before="0" w:after="30" w:line="245" w:lineRule="auto"/>
            </w:pPr>
            <w:r>
              <w:rPr>
                <w:rFonts w:ascii="Calibri" w:hAnsi="Calibri"/>
                <w:color w:val="18263A"/>
                <w:sz w:val="18"/>
              </w:rPr>
              <w:t>Read what the work formed</w:t>
            </w:r>
          </w:p>
        </w:tc>
        <w:tc>
          <w:tcPr>
            <w:tcW w:type="dxa" w:w="6060"/>
            <w:tcMar>
              <w:top w:w="80" w:type="dxa"/>
              <w:start w:w="100" w:type="dxa"/>
              <w:bottom w:w="80" w:type="dxa"/>
              <w:end w:w="100" w:type="dxa"/>
            </w:tcMar>
            <w:vAlign w:val="top"/>
          </w:tcPr>
          <w:p>
            <w:pPr>
              <w:spacing w:before="0" w:after="30" w:line="245" w:lineRule="auto"/>
            </w:pPr>
            <w:r>
              <w:rPr>
                <w:rFonts w:ascii="Calibri" w:hAnsi="Calibri"/>
                <w:color w:val="18263A"/>
                <w:sz w:val="18"/>
              </w:rPr>
              <w:t>Move below title and task list to judgment, range and recurring problem types.</w:t>
            </w:r>
          </w:p>
        </w:tc>
      </w:tr>
      <w:tr>
        <w:trPr>
          <w:cantSplit/>
        </w:trPr>
        <w:tc>
          <w:tcPr>
            <w:tcW w:type="dxa" w:w="70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2</w:t>
            </w:r>
          </w:p>
        </w:tc>
        <w:tc>
          <w:tcPr>
            <w:tcW w:type="dxa" w:w="260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Separate travel from context</w:t>
            </w:r>
          </w:p>
        </w:tc>
        <w:tc>
          <w:tcPr>
            <w:tcW w:type="dxa" w:w="606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Identify what another setting can use and what depends on company, industry, regulation or relationships.</w:t>
            </w:r>
          </w:p>
        </w:tc>
      </w:tr>
      <w:tr>
        <w:trPr>
          <w:cantSplit/>
        </w:trPr>
        <w:tc>
          <w:tcPr>
            <w:tcW w:type="dxa" w:w="700"/>
            <w:tcMar>
              <w:top w:w="80" w:type="dxa"/>
              <w:start w:w="100" w:type="dxa"/>
              <w:bottom w:w="80" w:type="dxa"/>
              <w:end w:w="100" w:type="dxa"/>
            </w:tcMar>
            <w:vAlign w:val="top"/>
          </w:tcPr>
          <w:p>
            <w:pPr>
              <w:spacing w:before="0" w:after="30" w:line="245" w:lineRule="auto"/>
            </w:pPr>
            <w:r>
              <w:rPr>
                <w:rFonts w:ascii="Calibri" w:hAnsi="Calibri"/>
                <w:color w:val="18263A"/>
                <w:sz w:val="18"/>
              </w:rPr>
              <w:t>3</w:t>
            </w:r>
          </w:p>
        </w:tc>
        <w:tc>
          <w:tcPr>
            <w:tcW w:type="dxa" w:w="2600"/>
            <w:tcMar>
              <w:top w:w="80" w:type="dxa"/>
              <w:start w:w="100" w:type="dxa"/>
              <w:bottom w:w="80" w:type="dxa"/>
              <w:end w:w="100" w:type="dxa"/>
            </w:tcMar>
            <w:vAlign w:val="top"/>
          </w:tcPr>
          <w:p>
            <w:pPr>
              <w:spacing w:before="0" w:after="30" w:line="245" w:lineRule="auto"/>
            </w:pPr>
            <w:r>
              <w:rPr>
                <w:rFonts w:ascii="Calibri" w:hAnsi="Calibri"/>
                <w:color w:val="18263A"/>
                <w:sz w:val="18"/>
              </w:rPr>
              <w:t>Preserve permitted evidence</w:t>
            </w:r>
          </w:p>
        </w:tc>
        <w:tc>
          <w:tcPr>
            <w:tcW w:type="dxa" w:w="6060"/>
            <w:tcMar>
              <w:top w:w="80" w:type="dxa"/>
              <w:start w:w="100" w:type="dxa"/>
              <w:bottom w:w="80" w:type="dxa"/>
              <w:end w:w="100" w:type="dxa"/>
            </w:tcMar>
            <w:vAlign w:val="top"/>
          </w:tcPr>
          <w:p>
            <w:pPr>
              <w:spacing w:before="0" w:after="30" w:line="245" w:lineRule="auto"/>
            </w:pPr>
            <w:r>
              <w:rPr>
                <w:rFonts w:ascii="Calibri" w:hAnsi="Calibri"/>
                <w:color w:val="18263A"/>
                <w:sz w:val="18"/>
              </w:rPr>
              <w:t>Keep outcomes, decisions and learning while respecting confidentiality and ownership.</w:t>
            </w:r>
          </w:p>
        </w:tc>
      </w:tr>
      <w:tr>
        <w:trPr>
          <w:cantSplit/>
        </w:trPr>
        <w:tc>
          <w:tcPr>
            <w:tcW w:type="dxa" w:w="70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4</w:t>
            </w:r>
          </w:p>
        </w:tc>
        <w:tc>
          <w:tcPr>
            <w:tcW w:type="dxa" w:w="260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Translate the evidence</w:t>
            </w:r>
          </w:p>
        </w:tc>
        <w:tc>
          <w:tcPr>
            <w:tcW w:type="dxa" w:w="606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Use language that a new function, employer or industry can understand.</w:t>
            </w:r>
          </w:p>
        </w:tc>
      </w:tr>
      <w:tr>
        <w:trPr>
          <w:cantSplit/>
        </w:trPr>
        <w:tc>
          <w:tcPr>
            <w:tcW w:type="dxa" w:w="700"/>
            <w:tcMar>
              <w:top w:w="80" w:type="dxa"/>
              <w:start w:w="100" w:type="dxa"/>
              <w:bottom w:w="80" w:type="dxa"/>
              <w:end w:w="100" w:type="dxa"/>
            </w:tcMar>
            <w:vAlign w:val="top"/>
          </w:tcPr>
          <w:p>
            <w:pPr>
              <w:spacing w:before="0" w:after="30" w:line="245" w:lineRule="auto"/>
            </w:pPr>
            <w:r>
              <w:rPr>
                <w:rFonts w:ascii="Calibri" w:hAnsi="Calibri"/>
                <w:color w:val="18263A"/>
                <w:sz w:val="18"/>
              </w:rPr>
              <w:t>5</w:t>
            </w:r>
          </w:p>
        </w:tc>
        <w:tc>
          <w:tcPr>
            <w:tcW w:type="dxa" w:w="2600"/>
            <w:tcMar>
              <w:top w:w="80" w:type="dxa"/>
              <w:start w:w="100" w:type="dxa"/>
              <w:bottom w:w="80" w:type="dxa"/>
              <w:end w:w="100" w:type="dxa"/>
            </w:tcMar>
            <w:vAlign w:val="top"/>
          </w:tcPr>
          <w:p>
            <w:pPr>
              <w:spacing w:before="0" w:after="30" w:line="245" w:lineRule="auto"/>
            </w:pPr>
            <w:r>
              <w:rPr>
                <w:rFonts w:ascii="Calibri" w:hAnsi="Calibri"/>
                <w:color w:val="18263A"/>
                <w:sz w:val="18"/>
              </w:rPr>
              <w:t>Test the move</w:t>
            </w:r>
          </w:p>
        </w:tc>
        <w:tc>
          <w:tcPr>
            <w:tcW w:type="dxa" w:w="6060"/>
            <w:tcMar>
              <w:top w:w="80" w:type="dxa"/>
              <w:start w:w="100" w:type="dxa"/>
              <w:bottom w:w="80" w:type="dxa"/>
              <w:end w:w="100" w:type="dxa"/>
            </w:tcMar>
            <w:vAlign w:val="top"/>
          </w:tcPr>
          <w:p>
            <w:pPr>
              <w:spacing w:before="0" w:after="30" w:line="245" w:lineRule="auto"/>
            </w:pPr>
            <w:r>
              <w:rPr>
                <w:rFonts w:ascii="Calibri" w:hAnsi="Calibri"/>
                <w:color w:val="18263A"/>
                <w:sz w:val="18"/>
              </w:rPr>
              <w:t>Compare an internal move, external move, consulting path, stay period or bridge.</w:t>
            </w:r>
          </w:p>
        </w:tc>
      </w:tr>
      <w:tr>
        <w:trPr>
          <w:cantSplit/>
        </w:trPr>
        <w:tc>
          <w:tcPr>
            <w:tcW w:type="dxa" w:w="70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6</w:t>
            </w:r>
          </w:p>
        </w:tc>
        <w:tc>
          <w:tcPr>
            <w:tcW w:type="dxa" w:w="260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Name the learning curve</w:t>
            </w:r>
          </w:p>
        </w:tc>
        <w:tc>
          <w:tcPr>
            <w:tcW w:type="dxa" w:w="606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Specify what must be refreshed, earned, observed or practiced in the new context.</w:t>
            </w:r>
          </w:p>
        </w:tc>
      </w:tr>
    </w:tbl>
    <w:p>
      <w:pPr>
        <w:spacing w:after="0"/>
      </w:pPr>
    </w:p>
    <w:p>
      <w:r>
        <w:br w:type="page"/>
      </w:r>
    </w:p>
    <w:p>
      <w:pPr>
        <w:keepNext/>
        <w:spacing w:after="60"/>
      </w:pPr>
      <w:r>
        <w:rPr>
          <w:rFonts w:ascii="Calibri" w:hAnsi="Calibri"/>
          <w:b/>
          <w:color w:val="C6A646"/>
          <w:sz w:val="18"/>
        </w:rPr>
        <w:t>02  /  AUDIENCE VALIDATION</w:t>
      </w:r>
    </w:p>
    <w:p>
      <w:pPr>
        <w:pStyle w:val="Heading1"/>
        <w:keepNext/>
      </w:pPr>
      <w:r>
        <w:rPr>
          <w:rFonts w:ascii="Calibri" w:hAnsi="Calibri"/>
          <w:b/>
          <w:color w:val="10264B"/>
          <w:sz w:val="32"/>
        </w:rPr>
        <w:t>The primary viewer: substantial value, uncertain portability</w:t>
      </w:r>
    </w:p>
    <w:tbl>
      <w:tblPr>
        <w:tblW w:type="dxa" w:w="9360"/>
        <w:tblLook w:firstColumn="1" w:firstRow="1" w:lastColumn="0" w:lastRow="0" w:noHBand="0" w:noVBand="1" w:val="04A0"/>
        <w:tblLayout w:type="fixed"/>
        <w:tblInd w:w="120" w:type="dxa"/>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Pr>
      <w:tblGrid>
        <w:gridCol w:w="2700"/>
        <w:gridCol w:w="6660"/>
      </w:tblGrid>
      <w:tr>
        <w:trPr>
          <w:cantSplit/>
        </w:trPr>
        <w:tc>
          <w:tcPr>
            <w:tcW w:type="dxa" w:w="2700"/>
            <w:shd w:fill="E9EFF6"/>
            <w:tcMar>
              <w:top w:w="80" w:type="dxa"/>
              <w:start w:w="100" w:type="dxa"/>
              <w:bottom w:w="80" w:type="dxa"/>
              <w:end w:w="100" w:type="dxa"/>
            </w:tcMar>
            <w:vAlign w:val="top"/>
          </w:tcPr>
          <w:p>
            <w:r>
              <w:rPr>
                <w:rFonts w:ascii="Calibri" w:hAnsi="Calibri"/>
                <w:b/>
                <w:color w:val="10264B"/>
                <w:sz w:val="19"/>
              </w:rPr>
              <w:t>Career stage</w:t>
            </w:r>
          </w:p>
        </w:tc>
        <w:tc>
          <w:tcPr>
            <w:tcW w:type="dxa" w:w="6660"/>
            <w:shd w:fill="FFFFFF"/>
            <w:tcMar>
              <w:top w:w="80" w:type="dxa"/>
              <w:start w:w="100" w:type="dxa"/>
              <w:bottom w:w="80" w:type="dxa"/>
              <w:end w:w="100" w:type="dxa"/>
            </w:tcMar>
            <w:vAlign w:val="top"/>
          </w:tcPr>
          <w:p>
            <w:r>
              <w:rPr>
                <w:rFonts w:ascii="Calibri" w:hAnsi="Calibri"/>
                <w:color w:val="18263A"/>
                <w:sz w:val="19"/>
              </w:rPr>
              <w:t>Senior Manager, Director, VP or experienced individual contributor; typically 15–25 years into a career.</w:t>
            </w:r>
          </w:p>
        </w:tc>
      </w:tr>
      <w:tr>
        <w:trPr>
          <w:cantSplit/>
        </w:trPr>
        <w:tc>
          <w:tcPr>
            <w:tcW w:type="dxa" w:w="2700"/>
            <w:shd w:fill="E9EFF6"/>
            <w:tcMar>
              <w:top w:w="80" w:type="dxa"/>
              <w:start w:w="100" w:type="dxa"/>
              <w:bottom w:w="80" w:type="dxa"/>
              <w:end w:w="100" w:type="dxa"/>
            </w:tcMar>
            <w:vAlign w:val="top"/>
          </w:tcPr>
          <w:p>
            <w:r>
              <w:rPr>
                <w:rFonts w:ascii="Calibri" w:hAnsi="Calibri"/>
                <w:b/>
                <w:color w:val="10264B"/>
                <w:sz w:val="19"/>
              </w:rPr>
              <w:t>Primary tension</w:t>
            </w:r>
          </w:p>
        </w:tc>
        <w:tc>
          <w:tcPr>
            <w:tcW w:type="dxa" w:w="6660"/>
            <w:shd w:fill="F7F3EA"/>
            <w:tcMar>
              <w:top w:w="80" w:type="dxa"/>
              <w:start w:w="100" w:type="dxa"/>
              <w:bottom w:w="80" w:type="dxa"/>
              <w:end w:w="100" w:type="dxa"/>
            </w:tcMar>
            <w:vAlign w:val="top"/>
          </w:tcPr>
          <w:p>
            <w:r>
              <w:rPr>
                <w:rFonts w:ascii="Calibri" w:hAnsi="Calibri"/>
                <w:color w:val="18263A"/>
                <w:sz w:val="19"/>
              </w:rPr>
              <w:t>She has more experience than ever, but less confidence that a new market, industry or employer will understand it.</w:t>
            </w:r>
          </w:p>
        </w:tc>
      </w:tr>
      <w:tr>
        <w:trPr>
          <w:cantSplit/>
        </w:trPr>
        <w:tc>
          <w:tcPr>
            <w:tcW w:type="dxa" w:w="2700"/>
            <w:shd w:fill="E9EFF6"/>
            <w:tcMar>
              <w:top w:w="80" w:type="dxa"/>
              <w:start w:w="100" w:type="dxa"/>
              <w:bottom w:w="80" w:type="dxa"/>
              <w:end w:w="100" w:type="dxa"/>
            </w:tcMar>
            <w:vAlign w:val="top"/>
          </w:tcPr>
          <w:p>
            <w:r>
              <w:rPr>
                <w:rFonts w:ascii="Calibri" w:hAnsi="Calibri"/>
                <w:b/>
                <w:color w:val="10264B"/>
                <w:sz w:val="19"/>
              </w:rPr>
              <w:t>Immediate triggers</w:t>
            </w:r>
          </w:p>
        </w:tc>
        <w:tc>
          <w:tcPr>
            <w:tcW w:type="dxa" w:w="6660"/>
            <w:shd w:fill="FFFFFF"/>
            <w:tcMar>
              <w:top w:w="80" w:type="dxa"/>
              <w:start w:w="100" w:type="dxa"/>
              <w:bottom w:w="80" w:type="dxa"/>
              <w:end w:w="100" w:type="dxa"/>
            </w:tcMar>
            <w:vAlign w:val="top"/>
          </w:tcPr>
          <w:p>
            <w:r>
              <w:rPr>
                <w:rFonts w:ascii="Calibri" w:hAnsi="Calibri"/>
                <w:color w:val="18263A"/>
                <w:sz w:val="19"/>
              </w:rPr>
              <w:t>Layoff risk, AI-driven task change, restructuring, stalled promotion, reduced sponsorship, return from caregiving, health pressure or a narrowing internal path.</w:t>
            </w:r>
          </w:p>
        </w:tc>
      </w:tr>
      <w:tr>
        <w:trPr>
          <w:cantSplit/>
        </w:trPr>
        <w:tc>
          <w:tcPr>
            <w:tcW w:type="dxa" w:w="2700"/>
            <w:shd w:fill="E9EFF6"/>
            <w:tcMar>
              <w:top w:w="80" w:type="dxa"/>
              <w:start w:w="100" w:type="dxa"/>
              <w:bottom w:w="80" w:type="dxa"/>
              <w:end w:w="100" w:type="dxa"/>
            </w:tcMar>
            <w:vAlign w:val="top"/>
          </w:tcPr>
          <w:p>
            <w:r>
              <w:rPr>
                <w:rFonts w:ascii="Calibri" w:hAnsi="Calibri"/>
                <w:b/>
                <w:color w:val="10264B"/>
                <w:sz w:val="19"/>
              </w:rPr>
              <w:t>What is at stake</w:t>
            </w:r>
          </w:p>
        </w:tc>
        <w:tc>
          <w:tcPr>
            <w:tcW w:type="dxa" w:w="6660"/>
            <w:shd w:fill="F7F3EA"/>
            <w:tcMar>
              <w:top w:w="80" w:type="dxa"/>
              <w:start w:w="100" w:type="dxa"/>
              <w:bottom w:w="80" w:type="dxa"/>
              <w:end w:w="100" w:type="dxa"/>
            </w:tcMar>
            <w:vAlign w:val="top"/>
          </w:tcPr>
          <w:p>
            <w:r>
              <w:rPr>
                <w:rFonts w:ascii="Calibri" w:hAnsi="Calibri"/>
                <w:color w:val="18263A"/>
                <w:sz w:val="19"/>
              </w:rPr>
              <w:t>Income, benefits, retirement trajectory, flexibility, identity, reputation, seniority, time and the right not to erase two decades of work.</w:t>
            </w:r>
          </w:p>
        </w:tc>
      </w:tr>
      <w:tr>
        <w:trPr>
          <w:cantSplit/>
        </w:trPr>
        <w:tc>
          <w:tcPr>
            <w:tcW w:type="dxa" w:w="2700"/>
            <w:shd w:fill="E9EFF6"/>
            <w:tcMar>
              <w:top w:w="80" w:type="dxa"/>
              <w:start w:w="100" w:type="dxa"/>
              <w:bottom w:w="80" w:type="dxa"/>
              <w:end w:w="100" w:type="dxa"/>
            </w:tcMar>
            <w:vAlign w:val="top"/>
          </w:tcPr>
          <w:p>
            <w:r>
              <w:rPr>
                <w:rFonts w:ascii="Calibri" w:hAnsi="Calibri"/>
                <w:b/>
                <w:color w:val="10264B"/>
                <w:sz w:val="19"/>
              </w:rPr>
              <w:t>What she needs</w:t>
            </w:r>
          </w:p>
        </w:tc>
        <w:tc>
          <w:tcPr>
            <w:tcW w:type="dxa" w:w="6660"/>
            <w:shd w:fill="FFFFFF"/>
            <w:tcMar>
              <w:top w:w="80" w:type="dxa"/>
              <w:start w:w="100" w:type="dxa"/>
              <w:bottom w:w="80" w:type="dxa"/>
              <w:end w:w="100" w:type="dxa"/>
            </w:tcMar>
            <w:vAlign w:val="top"/>
          </w:tcPr>
          <w:p>
            <w:r>
              <w:rPr>
                <w:rFonts w:ascii="Calibri" w:hAnsi="Calibri"/>
                <w:color w:val="18263A"/>
                <w:sz w:val="19"/>
              </w:rPr>
              <w:t>A way to determine what travels, what requires proof, what must be relearned and whether the next test should happen internally or externally.</w:t>
            </w:r>
          </w:p>
        </w:tc>
      </w:tr>
      <w:tr>
        <w:trPr>
          <w:cantSplit/>
        </w:trPr>
        <w:tc>
          <w:tcPr>
            <w:tcW w:type="dxa" w:w="2700"/>
            <w:shd w:fill="E9EFF6"/>
            <w:tcMar>
              <w:top w:w="80" w:type="dxa"/>
              <w:start w:w="100" w:type="dxa"/>
              <w:bottom w:w="80" w:type="dxa"/>
              <w:end w:w="100" w:type="dxa"/>
            </w:tcMar>
            <w:vAlign w:val="top"/>
          </w:tcPr>
          <w:p>
            <w:r>
              <w:rPr>
                <w:rFonts w:ascii="Calibri" w:hAnsi="Calibri"/>
                <w:b/>
                <w:color w:val="10264B"/>
                <w:sz w:val="19"/>
              </w:rPr>
              <w:t>What she rejects</w:t>
            </w:r>
          </w:p>
        </w:tc>
        <w:tc>
          <w:tcPr>
            <w:tcW w:type="dxa" w:w="6660"/>
            <w:shd w:fill="F7F3EA"/>
            <w:tcMar>
              <w:top w:w="80" w:type="dxa"/>
              <w:start w:w="100" w:type="dxa"/>
              <w:bottom w:w="80" w:type="dxa"/>
              <w:end w:w="100" w:type="dxa"/>
            </w:tcMar>
            <w:vAlign w:val="top"/>
          </w:tcPr>
          <w:p>
            <w:r>
              <w:rPr>
                <w:rFonts w:ascii="Calibri" w:hAnsi="Calibri"/>
                <w:color w:val="18263A"/>
                <w:sz w:val="19"/>
              </w:rPr>
              <w:t>Generic “just pivot,” “upskill,” “network” or “build a personal brand” advice that ignores structural bias and practical constraints.</w:t>
            </w:r>
          </w:p>
        </w:tc>
      </w:tr>
    </w:tbl>
    <w:p>
      <w:pPr>
        <w:pStyle w:val="Heading2"/>
        <w:keepNext/>
      </w:pPr>
      <w:r>
        <w:rPr>
          <w:rFonts w:ascii="Calibri" w:hAnsi="Calibri"/>
          <w:b/>
          <w:color w:val="10264B"/>
          <w:sz w:val="26"/>
        </w:rPr>
        <w:t>Five strongest pain points</w:t>
      </w:r>
    </w:p>
    <w:tbl>
      <w:tblPr>
        <w:tblW w:type="dxa" w:w="9360"/>
        <w:jc w:val="center"/>
        <w:tblLook w:firstColumn="1" w:firstRow="1" w:lastColumn="0" w:lastRow="0" w:noHBand="0" w:noVBand="1" w:val="04A0"/>
        <w:tblLayout w:type="fixed"/>
        <w:tblInd w:w="120" w:type="dxa"/>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Pr>
      <w:tblGrid>
        <w:gridCol w:w="1750"/>
        <w:gridCol w:w="2900"/>
        <w:gridCol w:w="1800"/>
        <w:gridCol w:w="2910"/>
      </w:tblGrid>
      <w:tr>
        <w:trPr>
          <w:tblHeader w:val="true"/>
          <w:cantSplit/>
        </w:trPr>
        <w:tc>
          <w:tcPr>
            <w:tcW w:type="dxa" w:w="1750"/>
            <w:tcMar>
              <w:top w:w="80" w:type="dxa"/>
              <w:start w:w="100" w:type="dxa"/>
              <w:bottom w:w="80" w:type="dxa"/>
              <w:end w:w="100" w:type="dxa"/>
            </w:tcMar>
            <w:vAlign w:val="top"/>
            <w:shd w:fill="10264B"/>
          </w:tcPr>
          <w:p>
            <w:pPr>
              <w:spacing w:after="0" w:line="240" w:lineRule="auto"/>
            </w:pPr>
            <w:r/>
            <w:r>
              <w:rPr>
                <w:rFonts w:ascii="Calibri" w:hAnsi="Calibri"/>
                <w:b/>
                <w:color w:val="FFFFFF"/>
                <w:sz w:val="17"/>
              </w:rPr>
              <w:t>Pain</w:t>
            </w:r>
          </w:p>
        </w:tc>
        <w:tc>
          <w:tcPr>
            <w:tcW w:type="dxa" w:w="2900"/>
            <w:tcMar>
              <w:top w:w="80" w:type="dxa"/>
              <w:start w:w="100" w:type="dxa"/>
              <w:bottom w:w="80" w:type="dxa"/>
              <w:end w:w="100" w:type="dxa"/>
            </w:tcMar>
            <w:vAlign w:val="top"/>
            <w:shd w:fill="10264B"/>
          </w:tcPr>
          <w:p>
            <w:pPr>
              <w:spacing w:after="0" w:line="240" w:lineRule="auto"/>
            </w:pPr>
            <w:r/>
            <w:r>
              <w:rPr>
                <w:rFonts w:ascii="Calibri" w:hAnsi="Calibri"/>
                <w:b/>
                <w:color w:val="FFFFFF"/>
                <w:sz w:val="17"/>
              </w:rPr>
              <w:t>Audience language (paraphrased)</w:t>
            </w:r>
          </w:p>
        </w:tc>
        <w:tc>
          <w:tcPr>
            <w:tcW w:type="dxa" w:w="1800"/>
            <w:tcMar>
              <w:top w:w="80" w:type="dxa"/>
              <w:start w:w="100" w:type="dxa"/>
              <w:bottom w:w="80" w:type="dxa"/>
              <w:end w:w="100" w:type="dxa"/>
            </w:tcMar>
            <w:vAlign w:val="top"/>
            <w:shd w:fill="10264B"/>
          </w:tcPr>
          <w:p>
            <w:pPr>
              <w:spacing w:after="0" w:line="240" w:lineRule="auto"/>
            </w:pPr>
            <w:r/>
            <w:r>
              <w:rPr>
                <w:rFonts w:ascii="Calibri" w:hAnsi="Calibri"/>
                <w:b/>
                <w:color w:val="FFFFFF"/>
                <w:sz w:val="17"/>
              </w:rPr>
              <w:t>Stage / trigger</w:t>
            </w:r>
          </w:p>
        </w:tc>
        <w:tc>
          <w:tcPr>
            <w:tcW w:type="dxa" w:w="2910"/>
            <w:tcMar>
              <w:top w:w="80" w:type="dxa"/>
              <w:start w:w="100" w:type="dxa"/>
              <w:bottom w:w="80" w:type="dxa"/>
              <w:end w:w="100" w:type="dxa"/>
            </w:tcMar>
            <w:vAlign w:val="top"/>
            <w:shd w:fill="10264B"/>
          </w:tcPr>
          <w:p>
            <w:pPr>
              <w:spacing w:after="0" w:line="240" w:lineRule="auto"/>
            </w:pPr>
            <w:r/>
            <w:r>
              <w:rPr>
                <w:rFonts w:ascii="Calibri" w:hAnsi="Calibri"/>
                <w:b/>
                <w:color w:val="FFFFFF"/>
                <w:sz w:val="17"/>
              </w:rPr>
              <w:t>Channel response</w:t>
            </w:r>
          </w:p>
        </w:tc>
      </w:tr>
      <w:tr>
        <w:trPr>
          <w:cantSplit/>
        </w:trPr>
        <w:tc>
          <w:tcPr>
            <w:tcW w:type="dxa" w:w="1750"/>
            <w:tcMar>
              <w:top w:w="80" w:type="dxa"/>
              <w:start w:w="100" w:type="dxa"/>
              <w:bottom w:w="80" w:type="dxa"/>
              <w:end w:w="100" w:type="dxa"/>
            </w:tcMar>
            <w:vAlign w:val="top"/>
          </w:tcPr>
          <w:p>
            <w:pPr>
              <w:spacing w:before="0" w:after="30" w:line="245" w:lineRule="auto"/>
            </w:pPr>
            <w:r>
              <w:rPr>
                <w:rFonts w:ascii="Calibri" w:hAnsi="Calibri"/>
                <w:color w:val="18263A"/>
                <w:sz w:val="17"/>
              </w:rPr>
              <w:t>1. Experience may stop being legible</w:t>
            </w:r>
          </w:p>
        </w:tc>
        <w:tc>
          <w:tcPr>
            <w:tcW w:type="dxa" w:w="2900"/>
            <w:tcMar>
              <w:top w:w="80" w:type="dxa"/>
              <w:start w:w="100" w:type="dxa"/>
              <w:bottom w:w="80" w:type="dxa"/>
              <w:end w:w="100" w:type="dxa"/>
            </w:tcMar>
            <w:vAlign w:val="top"/>
          </w:tcPr>
          <w:p>
            <w:pPr>
              <w:spacing w:before="0" w:after="30" w:line="245" w:lineRule="auto"/>
            </w:pPr>
            <w:r>
              <w:rPr>
                <w:rFonts w:ascii="Calibri" w:hAnsi="Calibri"/>
                <w:color w:val="18263A"/>
                <w:sz w:val="17"/>
              </w:rPr>
              <w:t>“I have 15–20 years, but I cannot tell what still counts here.”</w:t>
            </w:r>
          </w:p>
        </w:tc>
        <w:tc>
          <w:tcPr>
            <w:tcW w:type="dxa" w:w="1800"/>
            <w:tcMar>
              <w:top w:w="80" w:type="dxa"/>
              <w:start w:w="100" w:type="dxa"/>
              <w:bottom w:w="80" w:type="dxa"/>
              <w:end w:w="100" w:type="dxa"/>
            </w:tcMar>
            <w:vAlign w:val="top"/>
          </w:tcPr>
          <w:p>
            <w:pPr>
              <w:spacing w:before="0" w:after="30" w:line="245" w:lineRule="auto"/>
            </w:pPr>
            <w:r>
              <w:rPr>
                <w:rFonts w:ascii="Calibri" w:hAnsi="Calibri"/>
                <w:color w:val="18263A"/>
                <w:sz w:val="17"/>
              </w:rPr>
              <w:t>Layoff, re-entry or industry change</w:t>
            </w:r>
          </w:p>
        </w:tc>
        <w:tc>
          <w:tcPr>
            <w:tcW w:type="dxa" w:w="2910"/>
            <w:tcMar>
              <w:top w:w="80" w:type="dxa"/>
              <w:start w:w="100" w:type="dxa"/>
              <w:bottom w:w="80" w:type="dxa"/>
              <w:end w:w="100" w:type="dxa"/>
            </w:tcMar>
            <w:vAlign w:val="top"/>
          </w:tcPr>
          <w:p>
            <w:pPr>
              <w:spacing w:before="0" w:after="30" w:line="245" w:lineRule="auto"/>
            </w:pPr>
            <w:r>
              <w:rPr>
                <w:rFonts w:ascii="Calibri" w:hAnsi="Calibri"/>
                <w:color w:val="18263A"/>
                <w:sz w:val="17"/>
              </w:rPr>
              <w:t>Translate judgment and evidence; do not force a beginner identity.</w:t>
            </w:r>
          </w:p>
        </w:tc>
      </w:tr>
      <w:tr>
        <w:trPr>
          <w:cantSplit/>
        </w:trPr>
        <w:tc>
          <w:tcPr>
            <w:tcW w:type="dxa" w:w="175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2. Visibility and sponsorship narrow</w:t>
            </w:r>
          </w:p>
        </w:tc>
        <w:tc>
          <w:tcPr>
            <w:tcW w:type="dxa" w:w="290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Responsibility continues while offers, access and high-potential attention weaken.</w:t>
            </w:r>
          </w:p>
        </w:tc>
        <w:tc>
          <w:tcPr>
            <w:tcW w:type="dxa" w:w="180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After 40; senior IC or leader</w:t>
            </w:r>
          </w:p>
        </w:tc>
        <w:tc>
          <w:tcPr>
            <w:tcW w:type="dxa" w:w="291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Separate value from visibility; build permitted proof and options.</w:t>
            </w:r>
          </w:p>
        </w:tc>
      </w:tr>
      <w:tr>
        <w:trPr>
          <w:cantSplit/>
        </w:trPr>
        <w:tc>
          <w:tcPr>
            <w:tcW w:type="dxa" w:w="1750"/>
            <w:tcMar>
              <w:top w:w="80" w:type="dxa"/>
              <w:start w:w="100" w:type="dxa"/>
              <w:bottom w:w="80" w:type="dxa"/>
              <w:end w:w="100" w:type="dxa"/>
            </w:tcMar>
            <w:vAlign w:val="top"/>
          </w:tcPr>
          <w:p>
            <w:pPr>
              <w:spacing w:before="0" w:after="30" w:line="245" w:lineRule="auto"/>
            </w:pPr>
            <w:r>
              <w:rPr>
                <w:rFonts w:ascii="Calibri" w:hAnsi="Calibri"/>
                <w:color w:val="18263A"/>
                <w:sz w:val="17"/>
              </w:rPr>
              <w:t>3. AI changes tasks faster than accountability</w:t>
            </w:r>
          </w:p>
        </w:tc>
        <w:tc>
          <w:tcPr>
            <w:tcW w:type="dxa" w:w="2900"/>
            <w:tcMar>
              <w:top w:w="80" w:type="dxa"/>
              <w:start w:w="100" w:type="dxa"/>
              <w:bottom w:w="80" w:type="dxa"/>
              <w:end w:w="100" w:type="dxa"/>
            </w:tcMar>
            <w:vAlign w:val="top"/>
          </w:tcPr>
          <w:p>
            <w:pPr>
              <w:spacing w:before="0" w:after="30" w:line="245" w:lineRule="auto"/>
            </w:pPr>
            <w:r>
              <w:rPr>
                <w:rFonts w:ascii="Calibri" w:hAnsi="Calibri"/>
                <w:color w:val="18263A"/>
                <w:sz w:val="17"/>
              </w:rPr>
              <w:t>Having AI experience no longer feels differentiating; the job still owns consequences.</w:t>
            </w:r>
          </w:p>
        </w:tc>
        <w:tc>
          <w:tcPr>
            <w:tcW w:type="dxa" w:w="1800"/>
            <w:tcMar>
              <w:top w:w="80" w:type="dxa"/>
              <w:start w:w="100" w:type="dxa"/>
              <w:bottom w:w="80" w:type="dxa"/>
              <w:end w:w="100" w:type="dxa"/>
            </w:tcMar>
            <w:vAlign w:val="top"/>
          </w:tcPr>
          <w:p>
            <w:pPr>
              <w:spacing w:before="0" w:after="30" w:line="245" w:lineRule="auto"/>
            </w:pPr>
            <w:r>
              <w:rPr>
                <w:rFonts w:ascii="Calibri" w:hAnsi="Calibri"/>
                <w:color w:val="18263A"/>
                <w:sz w:val="17"/>
              </w:rPr>
              <w:t>Current role change or job search</w:t>
            </w:r>
          </w:p>
        </w:tc>
        <w:tc>
          <w:tcPr>
            <w:tcW w:type="dxa" w:w="2910"/>
            <w:tcMar>
              <w:top w:w="80" w:type="dxa"/>
              <w:start w:w="100" w:type="dxa"/>
              <w:bottom w:w="80" w:type="dxa"/>
              <w:end w:w="100" w:type="dxa"/>
            </w:tcMar>
            <w:vAlign w:val="top"/>
          </w:tcPr>
          <w:p>
            <w:pPr>
              <w:spacing w:before="0" w:after="30" w:line="245" w:lineRule="auto"/>
            </w:pPr>
            <w:r>
              <w:rPr>
                <w:rFonts w:ascii="Calibri" w:hAnsi="Calibri"/>
                <w:color w:val="18263A"/>
                <w:sz w:val="17"/>
              </w:rPr>
              <w:t>Show verification, judgment, context and consequence—not AI enthusiasm alone.</w:t>
            </w:r>
          </w:p>
        </w:tc>
      </w:tr>
      <w:tr>
        <w:trPr>
          <w:cantSplit/>
        </w:trPr>
        <w:tc>
          <w:tcPr>
            <w:tcW w:type="dxa" w:w="175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4. Leaving is constrained</w:t>
            </w:r>
          </w:p>
        </w:tc>
        <w:tc>
          <w:tcPr>
            <w:tcW w:type="dxa" w:w="290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Pay, health insurance, caregiving and debt make “just quit” unserious.</w:t>
            </w:r>
          </w:p>
        </w:tc>
        <w:tc>
          <w:tcPr>
            <w:tcW w:type="dxa" w:w="180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Burnout, layoff risk, stalled role</w:t>
            </w:r>
          </w:p>
        </w:tc>
        <w:tc>
          <w:tcPr>
            <w:tcW w:type="dxa" w:w="291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Build options and evidence while staying; create decision gates.</w:t>
            </w:r>
          </w:p>
        </w:tc>
      </w:tr>
      <w:tr>
        <w:trPr>
          <w:cantSplit/>
        </w:trPr>
        <w:tc>
          <w:tcPr>
            <w:tcW w:type="dxa" w:w="1750"/>
            <w:tcMar>
              <w:top w:w="80" w:type="dxa"/>
              <w:start w:w="100" w:type="dxa"/>
              <w:bottom w:w="80" w:type="dxa"/>
              <w:end w:w="100" w:type="dxa"/>
            </w:tcMar>
            <w:vAlign w:val="top"/>
          </w:tcPr>
          <w:p>
            <w:pPr>
              <w:spacing w:before="0" w:after="30" w:line="245" w:lineRule="auto"/>
            </w:pPr>
            <w:r>
              <w:rPr>
                <w:rFonts w:ascii="Calibri" w:hAnsi="Calibri"/>
                <w:color w:val="18263A"/>
                <w:sz w:val="17"/>
              </w:rPr>
              <w:t>5. The senior path stops looking like a ladder</w:t>
            </w:r>
          </w:p>
        </w:tc>
        <w:tc>
          <w:tcPr>
            <w:tcW w:type="dxa" w:w="2900"/>
            <w:tcMar>
              <w:top w:w="80" w:type="dxa"/>
              <w:start w:w="100" w:type="dxa"/>
              <w:bottom w:w="80" w:type="dxa"/>
              <w:end w:w="100" w:type="dxa"/>
            </w:tcMar>
            <w:vAlign w:val="top"/>
          </w:tcPr>
          <w:p>
            <w:pPr>
              <w:spacing w:before="0" w:after="30" w:line="245" w:lineRule="auto"/>
            </w:pPr>
            <w:r>
              <w:rPr>
                <w:rFonts w:ascii="Calibri" w:hAnsi="Calibri"/>
                <w:color w:val="18263A"/>
                <w:sz w:val="17"/>
              </w:rPr>
              <w:t>The choices become IC, management, consulting, another industry, a smaller role or an exit.</w:t>
            </w:r>
          </w:p>
        </w:tc>
        <w:tc>
          <w:tcPr>
            <w:tcW w:type="dxa" w:w="1800"/>
            <w:tcMar>
              <w:top w:w="80" w:type="dxa"/>
              <w:start w:w="100" w:type="dxa"/>
              <w:bottom w:w="80" w:type="dxa"/>
              <w:end w:w="100" w:type="dxa"/>
            </w:tcMar>
            <w:vAlign w:val="top"/>
          </w:tcPr>
          <w:p>
            <w:pPr>
              <w:spacing w:before="0" w:after="30" w:line="245" w:lineRule="auto"/>
            </w:pPr>
            <w:r>
              <w:rPr>
                <w:rFonts w:ascii="Calibri" w:hAnsi="Calibri"/>
                <w:color w:val="18263A"/>
                <w:sz w:val="17"/>
              </w:rPr>
              <w:t>Director/VP/20+ years</w:t>
            </w:r>
          </w:p>
        </w:tc>
        <w:tc>
          <w:tcPr>
            <w:tcW w:type="dxa" w:w="2910"/>
            <w:tcMar>
              <w:top w:w="80" w:type="dxa"/>
              <w:start w:w="100" w:type="dxa"/>
              <w:bottom w:w="80" w:type="dxa"/>
              <w:end w:w="100" w:type="dxa"/>
            </w:tcMar>
            <w:vAlign w:val="top"/>
          </w:tcPr>
          <w:p>
            <w:pPr>
              <w:spacing w:before="0" w:after="30" w:line="245" w:lineRule="auto"/>
            </w:pPr>
            <w:r>
              <w:rPr>
                <w:rFonts w:ascii="Calibri" w:hAnsi="Calibri"/>
                <w:color w:val="18263A"/>
                <w:sz w:val="17"/>
              </w:rPr>
              <w:t>Make tradeoffs explicit and test routes without treating one as universally superior.</w:t>
            </w:r>
          </w:p>
        </w:tc>
      </w:tr>
    </w:tbl>
    <w:p>
      <w:pPr>
        <w:spacing w:after="0"/>
      </w:pPr>
    </w:p>
    <w:p>
      <w:pPr>
        <w:pStyle w:val="Heading2"/>
        <w:keepNext/>
      </w:pPr>
      <w:r>
        <w:rPr>
          <w:rFonts w:ascii="Calibri" w:hAnsi="Calibri"/>
          <w:b/>
          <w:color w:val="10264B"/>
          <w:sz w:val="26"/>
        </w:rPr>
        <w:t>Positioning judgment: “industry agnostic” is a test, not a promise</w:t>
      </w:r>
    </w:p>
    <w:p>
      <w:pPr>
        <w:keepLines w:val="0"/>
        <w:spacing w:before="0" w:after="120" w:line="300" w:lineRule="auto"/>
      </w:pPr>
      <w:r>
        <w:rPr>
          <w:rFonts w:ascii="Calibri" w:hAnsi="Calibri"/>
          <w:i w:val="0"/>
          <w:color w:val="18263A"/>
          <w:sz w:val="22"/>
        </w:rPr>
        <w:t>Temidayo has unusually strong cross-context credibility: approximately 18 years across aviation, consulting and professional services, life sciences, enterprise technology, federal and state government, oil and gas, and financial services; work at Deloitte, EY and PwC; and progression from Consultant to Head of Function. That evidence supports saying “I have carried value across industries and sectors.” It does not support saying industry context is irrelevant.</w:t>
      </w:r>
    </w:p>
    <w:p>
      <w:pPr>
        <w:pStyle w:val="AuditBullet"/>
        <w:spacing w:after="80" w:line="288" w:lineRule="auto"/>
      </w:pPr>
      <w:r>
        <w:rPr>
          <w:rFonts w:ascii="Calibri" w:hAnsi="Calibri"/>
          <w:color w:val="18263A"/>
          <w:sz w:val="21"/>
        </w:rPr>
        <w:t>Public language to use: “what transfers across industries,” “what still counts,” “what you have to learn again,” and “how to enter a new context without erasing prior experience.”</w:t>
      </w:r>
    </w:p>
    <w:p>
      <w:pPr>
        <w:pStyle w:val="AuditBullet"/>
        <w:spacing w:after="80" w:line="288" w:lineRule="auto"/>
      </w:pPr>
      <w:r>
        <w:rPr>
          <w:rFonts w:ascii="Calibri" w:hAnsi="Calibri"/>
          <w:color w:val="18263A"/>
          <w:sz w:val="21"/>
        </w:rPr>
        <w:t>Language to avoid: “your skills work anywhere,” “industry does not matter,” or “you can pivot without a learning curve.”</w:t>
      </w:r>
    </w:p>
    <w:p>
      <w:pPr>
        <w:pStyle w:val="AuditBullet"/>
        <w:spacing w:after="80" w:line="288" w:lineRule="auto"/>
      </w:pPr>
      <w:r>
        <w:rPr>
          <w:rFonts w:ascii="Calibri" w:hAnsi="Calibri"/>
          <w:color w:val="18263A"/>
          <w:sz w:val="21"/>
        </w:rPr>
        <w:t>Best test title: “Which Parts of Your Experience Will Transfer to Another Industry?” This makes the portability claim falsifiable and useful.</w:t>
      </w:r>
    </w:p>
    <w:p>
      <w:pPr>
        <w:pStyle w:val="Heading2"/>
        <w:keepNext/>
      </w:pPr>
      <w:r>
        <w:rPr>
          <w:rFonts w:ascii="Calibri" w:hAnsi="Calibri"/>
          <w:b/>
          <w:color w:val="10264B"/>
          <w:sz w:val="26"/>
        </w:rPr>
        <w:t>Research method and limits</w:t>
      </w:r>
    </w:p>
    <w:p>
      <w:pPr>
        <w:keepLines w:val="0"/>
        <w:spacing w:before="0" w:after="120" w:line="300" w:lineRule="auto"/>
      </w:pPr>
      <w:r>
        <w:rPr>
          <w:rFonts w:ascii="Calibri" w:hAnsi="Calibri"/>
          <w:i w:val="0"/>
          <w:color w:val="18263A"/>
          <w:sz w:val="22"/>
        </w:rPr>
        <w:t>The qualitative scan reviewed the three supplied Reddit discussions and sixteen additional discussions across women in technology, experienced developers, career guidance, consulting, senior individual-contributor paths and caregiving re-entry. It was triangulated with current reporting from AARP, McKinsey/LeanIn and LinkedIn. Reddit supplied language and decision contexts; it was not used to estimate prevalence.</w:t>
      </w:r>
    </w:p>
    <w:tbl>
      <w:tblPr>
        <w:tblW w:type="dxa" w:w="9360"/>
        <w:jc w:val="center"/>
        <w:tblLook w:firstColumn="1" w:firstRow="1" w:lastColumn="0" w:lastRow="0" w:noHBand="0" w:noVBand="1" w:val="04A0"/>
        <w:tblLayout w:type="fixed"/>
        <w:tblInd w:w="120" w:type="dxa"/>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Pr>
      <w:tblGrid>
        <w:gridCol w:w="2200"/>
        <w:gridCol w:w="1850"/>
        <w:gridCol w:w="5310"/>
      </w:tblGrid>
      <w:tr>
        <w:trPr>
          <w:tblHeader w:val="true"/>
          <w:cantSplit/>
        </w:trPr>
        <w:tc>
          <w:tcPr>
            <w:tcW w:type="dxa" w:w="2200"/>
            <w:tcMar>
              <w:top w:w="80" w:type="dxa"/>
              <w:start w:w="100" w:type="dxa"/>
              <w:bottom w:w="80" w:type="dxa"/>
              <w:end w:w="100" w:type="dxa"/>
            </w:tcMar>
            <w:vAlign w:val="top"/>
            <w:shd w:fill="10264B"/>
          </w:tcPr>
          <w:p>
            <w:pPr>
              <w:spacing w:after="0" w:line="240" w:lineRule="auto"/>
            </w:pPr>
            <w:r/>
            <w:r>
              <w:rPr>
                <w:rFonts w:ascii="Calibri" w:hAnsi="Calibri"/>
                <w:b/>
                <w:color w:val="FFFFFF"/>
                <w:sz w:val="18"/>
              </w:rPr>
              <w:t>Input</w:t>
            </w:r>
          </w:p>
        </w:tc>
        <w:tc>
          <w:tcPr>
            <w:tcW w:type="dxa" w:w="1850"/>
            <w:tcMar>
              <w:top w:w="80" w:type="dxa"/>
              <w:start w:w="100" w:type="dxa"/>
              <w:bottom w:w="80" w:type="dxa"/>
              <w:end w:w="100" w:type="dxa"/>
            </w:tcMar>
            <w:vAlign w:val="top"/>
            <w:shd w:fill="10264B"/>
          </w:tcPr>
          <w:p>
            <w:pPr>
              <w:spacing w:after="0" w:line="240" w:lineRule="auto"/>
            </w:pPr>
            <w:r/>
            <w:r>
              <w:rPr>
                <w:rFonts w:ascii="Calibri" w:hAnsi="Calibri"/>
                <w:b/>
                <w:color w:val="FFFFFF"/>
                <w:sz w:val="18"/>
              </w:rPr>
              <w:t>Use</w:t>
            </w:r>
          </w:p>
        </w:tc>
        <w:tc>
          <w:tcPr>
            <w:tcW w:type="dxa" w:w="5310"/>
            <w:tcMar>
              <w:top w:w="80" w:type="dxa"/>
              <w:start w:w="100" w:type="dxa"/>
              <w:bottom w:w="80" w:type="dxa"/>
              <w:end w:w="100" w:type="dxa"/>
            </w:tcMar>
            <w:vAlign w:val="top"/>
            <w:shd w:fill="10264B"/>
          </w:tcPr>
          <w:p>
            <w:pPr>
              <w:spacing w:after="0" w:line="240" w:lineRule="auto"/>
            </w:pPr>
            <w:r/>
            <w:r>
              <w:rPr>
                <w:rFonts w:ascii="Calibri" w:hAnsi="Calibri"/>
                <w:b/>
                <w:color w:val="FFFFFF"/>
                <w:sz w:val="18"/>
              </w:rPr>
              <w:t>What it can support</w:t>
            </w:r>
          </w:p>
        </w:tc>
      </w:tr>
      <w:tr>
        <w:trPr>
          <w:cantSplit/>
        </w:trPr>
        <w:tc>
          <w:tcPr>
            <w:tcW w:type="dxa" w:w="2200"/>
            <w:tcMar>
              <w:top w:w="80" w:type="dxa"/>
              <w:start w:w="100" w:type="dxa"/>
              <w:bottom w:w="80" w:type="dxa"/>
              <w:end w:w="100" w:type="dxa"/>
            </w:tcMar>
            <w:vAlign w:val="top"/>
          </w:tcPr>
          <w:p>
            <w:pPr>
              <w:spacing w:before="0" w:after="30" w:line="245" w:lineRule="auto"/>
            </w:pPr>
            <w:r>
              <w:rPr>
                <w:rFonts w:ascii="Calibri" w:hAnsi="Calibri"/>
                <w:color w:val="18263A"/>
                <w:sz w:val="18"/>
              </w:rPr>
              <w:t>19 discussion threads</w:t>
            </w:r>
          </w:p>
        </w:tc>
        <w:tc>
          <w:tcPr>
            <w:tcW w:type="dxa" w:w="1850"/>
            <w:tcMar>
              <w:top w:w="80" w:type="dxa"/>
              <w:start w:w="100" w:type="dxa"/>
              <w:bottom w:w="80" w:type="dxa"/>
              <w:end w:w="100" w:type="dxa"/>
            </w:tcMar>
            <w:vAlign w:val="top"/>
          </w:tcPr>
          <w:p>
            <w:pPr>
              <w:spacing w:before="0" w:after="30" w:line="245" w:lineRule="auto"/>
            </w:pPr>
            <w:r>
              <w:rPr>
                <w:rFonts w:ascii="Calibri" w:hAnsi="Calibri"/>
                <w:color w:val="18263A"/>
                <w:sz w:val="18"/>
              </w:rPr>
              <w:t>Qualitative signal</w:t>
            </w:r>
          </w:p>
        </w:tc>
        <w:tc>
          <w:tcPr>
            <w:tcW w:type="dxa" w:w="5310"/>
            <w:tcMar>
              <w:top w:w="80" w:type="dxa"/>
              <w:start w:w="100" w:type="dxa"/>
              <w:bottom w:w="80" w:type="dxa"/>
              <w:end w:w="100" w:type="dxa"/>
            </w:tcMar>
            <w:vAlign w:val="top"/>
          </w:tcPr>
          <w:p>
            <w:pPr>
              <w:spacing w:before="0" w:after="30" w:line="245" w:lineRule="auto"/>
            </w:pPr>
            <w:r>
              <w:rPr>
                <w:rFonts w:ascii="Calibri" w:hAnsi="Calibri"/>
                <w:color w:val="18263A"/>
                <w:sz w:val="18"/>
              </w:rPr>
              <w:t>Viewer language, triggers, fears, options and advice gaps.</w:t>
            </w:r>
          </w:p>
        </w:tc>
      </w:tr>
      <w:tr>
        <w:trPr>
          <w:cantSplit/>
        </w:trPr>
        <w:tc>
          <w:tcPr>
            <w:tcW w:type="dxa" w:w="220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AARP 2026 age-bias reporting</w:t>
            </w:r>
          </w:p>
        </w:tc>
        <w:tc>
          <w:tcPr>
            <w:tcW w:type="dxa" w:w="185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Context validation</w:t>
            </w:r>
          </w:p>
        </w:tc>
        <w:tc>
          <w:tcPr>
            <w:tcW w:type="dxa" w:w="531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Older-worker age discrimination is not an invented niche premise.</w:t>
            </w:r>
          </w:p>
        </w:tc>
      </w:tr>
      <w:tr>
        <w:trPr>
          <w:cantSplit/>
        </w:trPr>
        <w:tc>
          <w:tcPr>
            <w:tcW w:type="dxa" w:w="2200"/>
            <w:tcMar>
              <w:top w:w="80" w:type="dxa"/>
              <w:start w:w="100" w:type="dxa"/>
              <w:bottom w:w="80" w:type="dxa"/>
              <w:end w:w="100" w:type="dxa"/>
            </w:tcMar>
            <w:vAlign w:val="top"/>
          </w:tcPr>
          <w:p>
            <w:pPr>
              <w:spacing w:before="0" w:after="30" w:line="245" w:lineRule="auto"/>
            </w:pPr>
            <w:r>
              <w:rPr>
                <w:rFonts w:ascii="Calibri" w:hAnsi="Calibri"/>
                <w:color w:val="18263A"/>
                <w:sz w:val="18"/>
              </w:rPr>
              <w:t>Women in the Workplace 2025</w:t>
            </w:r>
          </w:p>
        </w:tc>
        <w:tc>
          <w:tcPr>
            <w:tcW w:type="dxa" w:w="1850"/>
            <w:tcMar>
              <w:top w:w="80" w:type="dxa"/>
              <w:start w:w="100" w:type="dxa"/>
              <w:bottom w:w="80" w:type="dxa"/>
              <w:end w:w="100" w:type="dxa"/>
            </w:tcMar>
            <w:vAlign w:val="top"/>
          </w:tcPr>
          <w:p>
            <w:pPr>
              <w:spacing w:before="0" w:after="30" w:line="245" w:lineRule="auto"/>
            </w:pPr>
            <w:r>
              <w:rPr>
                <w:rFonts w:ascii="Calibri" w:hAnsi="Calibri"/>
                <w:color w:val="18263A"/>
                <w:sz w:val="18"/>
              </w:rPr>
              <w:t>Context validation</w:t>
            </w:r>
          </w:p>
        </w:tc>
        <w:tc>
          <w:tcPr>
            <w:tcW w:type="dxa" w:w="5310"/>
            <w:tcMar>
              <w:top w:w="80" w:type="dxa"/>
              <w:start w:w="100" w:type="dxa"/>
              <w:bottom w:w="80" w:type="dxa"/>
              <w:end w:w="100" w:type="dxa"/>
            </w:tcMar>
            <w:vAlign w:val="top"/>
          </w:tcPr>
          <w:p>
            <w:pPr>
              <w:spacing w:before="0" w:after="30" w:line="245" w:lineRule="auto"/>
            </w:pPr>
            <w:r>
              <w:rPr>
                <w:rFonts w:ascii="Calibri" w:hAnsi="Calibri"/>
                <w:color w:val="18263A"/>
                <w:sz w:val="18"/>
              </w:rPr>
              <w:t>Senior women report high burnout, job-security concern and advancement friction.</w:t>
            </w:r>
          </w:p>
        </w:tc>
      </w:tr>
      <w:tr>
        <w:trPr>
          <w:cantSplit/>
        </w:trPr>
        <w:tc>
          <w:tcPr>
            <w:tcW w:type="dxa" w:w="220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LinkedIn Work Change Report</w:t>
            </w:r>
          </w:p>
        </w:tc>
        <w:tc>
          <w:tcPr>
            <w:tcW w:type="dxa" w:w="185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Context validation</w:t>
            </w:r>
          </w:p>
        </w:tc>
        <w:tc>
          <w:tcPr>
            <w:tcW w:type="dxa" w:w="531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Skills and jobs are changing rapidly; change affects people who stay as well as people who move.</w:t>
            </w:r>
          </w:p>
        </w:tc>
      </w:tr>
      <w:tr>
        <w:trPr>
          <w:cantSplit/>
        </w:trPr>
        <w:tc>
          <w:tcPr>
            <w:tcW w:type="dxa" w:w="2200"/>
            <w:tcMar>
              <w:top w:w="80" w:type="dxa"/>
              <w:start w:w="100" w:type="dxa"/>
              <w:bottom w:w="80" w:type="dxa"/>
              <w:end w:w="100" w:type="dxa"/>
            </w:tcMar>
            <w:vAlign w:val="top"/>
          </w:tcPr>
          <w:p>
            <w:pPr>
              <w:spacing w:before="0" w:after="30" w:line="245" w:lineRule="auto"/>
            </w:pPr>
            <w:r>
              <w:rPr>
                <w:rFonts w:ascii="Calibri" w:hAnsi="Calibri"/>
                <w:color w:val="18263A"/>
                <w:sz w:val="18"/>
              </w:rPr>
              <w:t>Temidayo’s approved sources</w:t>
            </w:r>
          </w:p>
        </w:tc>
        <w:tc>
          <w:tcPr>
            <w:tcW w:type="dxa" w:w="1850"/>
            <w:tcMar>
              <w:top w:w="80" w:type="dxa"/>
              <w:start w:w="100" w:type="dxa"/>
              <w:bottom w:w="80" w:type="dxa"/>
              <w:end w:w="100" w:type="dxa"/>
            </w:tcMar>
            <w:vAlign w:val="top"/>
          </w:tcPr>
          <w:p>
            <w:pPr>
              <w:spacing w:before="0" w:after="30" w:line="245" w:lineRule="auto"/>
            </w:pPr>
            <w:r>
              <w:rPr>
                <w:rFonts w:ascii="Calibri" w:hAnsi="Calibri"/>
                <w:color w:val="18263A"/>
                <w:sz w:val="18"/>
              </w:rPr>
              <w:t>Lived proof</w:t>
            </w:r>
          </w:p>
        </w:tc>
        <w:tc>
          <w:tcPr>
            <w:tcW w:type="dxa" w:w="5310"/>
            <w:tcMar>
              <w:top w:w="80" w:type="dxa"/>
              <w:start w:w="100" w:type="dxa"/>
              <w:bottom w:w="80" w:type="dxa"/>
              <w:end w:w="100" w:type="dxa"/>
            </w:tcMar>
            <w:vAlign w:val="top"/>
          </w:tcPr>
          <w:p>
            <w:pPr>
              <w:spacing w:before="0" w:after="30" w:line="245" w:lineRule="auto"/>
            </w:pPr>
            <w:r>
              <w:rPr>
                <w:rFonts w:ascii="Calibri" w:hAnsi="Calibri"/>
                <w:color w:val="18263A"/>
                <w:sz w:val="18"/>
              </w:rPr>
              <w:t>Cross-industry path, role progression, internal visibility, maternity return and confirmed outcomes.</w:t>
            </w:r>
          </w:p>
        </w:tc>
      </w:tr>
    </w:tbl>
    <w:p>
      <w:pPr>
        <w:spacing w:after="0"/>
      </w:pPr>
    </w:p>
    <w:p>
      <w:pPr>
        <w:pStyle w:val="Heading2"/>
        <w:keepNext/>
      </w:pPr>
      <w:r>
        <w:rPr>
          <w:rFonts w:ascii="Calibri" w:hAnsi="Calibri"/>
          <w:b/>
          <w:color w:val="10264B"/>
          <w:sz w:val="26"/>
        </w:rPr>
        <w:t>Repeated qualitative signals</w:t>
      </w:r>
    </w:p>
    <w:tbl>
      <w:tblPr>
        <w:tblW w:type="dxa" w:w="9360"/>
        <w:jc w:val="center"/>
        <w:tblLook w:firstColumn="1" w:firstRow="1" w:lastColumn="0" w:lastRow="0" w:noHBand="0" w:noVBand="1" w:val="04A0"/>
        <w:tblLayout w:type="fixed"/>
        <w:tblInd w:w="120" w:type="dxa"/>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Pr>
      <w:tblGrid>
        <w:gridCol w:w="2400"/>
        <w:gridCol w:w="4160"/>
        <w:gridCol w:w="2800"/>
      </w:tblGrid>
      <w:tr>
        <w:trPr>
          <w:tblHeader w:val="true"/>
          <w:cantSplit/>
        </w:trPr>
        <w:tc>
          <w:tcPr>
            <w:tcW w:type="dxa" w:w="2400"/>
            <w:tcMar>
              <w:top w:w="80" w:type="dxa"/>
              <w:start w:w="100" w:type="dxa"/>
              <w:bottom w:w="80" w:type="dxa"/>
              <w:end w:w="100" w:type="dxa"/>
            </w:tcMar>
            <w:vAlign w:val="top"/>
            <w:shd w:fill="10264B"/>
          </w:tcPr>
          <w:p>
            <w:pPr>
              <w:spacing w:after="0" w:line="240" w:lineRule="auto"/>
            </w:pPr>
            <w:r/>
            <w:r>
              <w:rPr>
                <w:rFonts w:ascii="Calibri" w:hAnsi="Calibri"/>
                <w:b/>
                <w:color w:val="FFFFFF"/>
                <w:sz w:val="17"/>
              </w:rPr>
              <w:t>Signal</w:t>
            </w:r>
          </w:p>
        </w:tc>
        <w:tc>
          <w:tcPr>
            <w:tcW w:type="dxa" w:w="4160"/>
            <w:tcMar>
              <w:top w:w="80" w:type="dxa"/>
              <w:start w:w="100" w:type="dxa"/>
              <w:bottom w:w="80" w:type="dxa"/>
              <w:end w:w="100" w:type="dxa"/>
            </w:tcMar>
            <w:vAlign w:val="top"/>
            <w:shd w:fill="10264B"/>
          </w:tcPr>
          <w:p>
            <w:pPr>
              <w:spacing w:after="0" w:line="240" w:lineRule="auto"/>
            </w:pPr>
            <w:r/>
            <w:r>
              <w:rPr>
                <w:rFonts w:ascii="Calibri" w:hAnsi="Calibri"/>
                <w:b/>
                <w:color w:val="FFFFFF"/>
                <w:sz w:val="17"/>
              </w:rPr>
              <w:t>What appeared qualitatively</w:t>
            </w:r>
          </w:p>
        </w:tc>
        <w:tc>
          <w:tcPr>
            <w:tcW w:type="dxa" w:w="2800"/>
            <w:tcMar>
              <w:top w:w="80" w:type="dxa"/>
              <w:start w:w="100" w:type="dxa"/>
              <w:bottom w:w="80" w:type="dxa"/>
              <w:end w:w="100" w:type="dxa"/>
            </w:tcMar>
            <w:vAlign w:val="top"/>
            <w:shd w:fill="10264B"/>
          </w:tcPr>
          <w:p>
            <w:pPr>
              <w:spacing w:after="0" w:line="240" w:lineRule="auto"/>
            </w:pPr>
            <w:r/>
            <w:r>
              <w:rPr>
                <w:rFonts w:ascii="Calibri" w:hAnsi="Calibri"/>
                <w:b/>
                <w:color w:val="FFFFFF"/>
                <w:sz w:val="17"/>
              </w:rPr>
              <w:t>Editorial implication</w:t>
            </w:r>
          </w:p>
        </w:tc>
      </w:tr>
      <w:tr>
        <w:trPr>
          <w:cantSplit/>
        </w:trPr>
        <w:tc>
          <w:tcPr>
            <w:tcW w:type="dxa" w:w="2400"/>
            <w:tcMar>
              <w:top w:w="80" w:type="dxa"/>
              <w:start w:w="100" w:type="dxa"/>
              <w:bottom w:w="80" w:type="dxa"/>
              <w:end w:w="100" w:type="dxa"/>
            </w:tcMar>
            <w:vAlign w:val="top"/>
          </w:tcPr>
          <w:p>
            <w:pPr>
              <w:spacing w:before="0" w:after="30" w:line="245" w:lineRule="auto"/>
            </w:pPr>
            <w:r>
              <w:rPr>
                <w:rFonts w:ascii="Calibri" w:hAnsi="Calibri"/>
                <w:color w:val="18263A"/>
                <w:sz w:val="17"/>
              </w:rPr>
              <w:t>Age and seniority change the risk calculation</w:t>
            </w:r>
          </w:p>
        </w:tc>
        <w:tc>
          <w:tcPr>
            <w:tcW w:type="dxa" w:w="4160"/>
            <w:tcMar>
              <w:top w:w="80" w:type="dxa"/>
              <w:start w:w="100" w:type="dxa"/>
              <w:bottom w:w="80" w:type="dxa"/>
              <w:end w:w="100" w:type="dxa"/>
            </w:tcMar>
            <w:vAlign w:val="top"/>
          </w:tcPr>
          <w:p>
            <w:pPr>
              <w:spacing w:before="0" w:after="30" w:line="245" w:lineRule="auto"/>
            </w:pPr>
            <w:r>
              <w:rPr>
                <w:rFonts w:ascii="Calibri" w:hAnsi="Calibri"/>
                <w:color w:val="18263A"/>
                <w:sz w:val="17"/>
              </w:rPr>
              <w:t>Across several threads, women in their 40s and 50s describe disappearing peers, weaker hiring confidence, pressure to hide years of experience and uncertainty about senior IC longevity.</w:t>
            </w:r>
          </w:p>
        </w:tc>
        <w:tc>
          <w:tcPr>
            <w:tcW w:type="dxa" w:w="2800"/>
            <w:tcMar>
              <w:top w:w="80" w:type="dxa"/>
              <w:start w:w="100" w:type="dxa"/>
              <w:bottom w:w="80" w:type="dxa"/>
              <w:end w:w="100" w:type="dxa"/>
            </w:tcMar>
            <w:vAlign w:val="top"/>
          </w:tcPr>
          <w:p>
            <w:pPr>
              <w:spacing w:before="0" w:after="30" w:line="245" w:lineRule="auto"/>
            </w:pPr>
            <w:r>
              <w:rPr>
                <w:rFonts w:ascii="Calibri" w:hAnsi="Calibri"/>
                <w:color w:val="18263A"/>
                <w:sz w:val="17"/>
              </w:rPr>
              <w:t>Videos 14, 15, 17 and 23 should name seniority directly.</w:t>
            </w:r>
          </w:p>
        </w:tc>
      </w:tr>
      <w:tr>
        <w:trPr>
          <w:cantSplit/>
        </w:trPr>
        <w:tc>
          <w:tcPr>
            <w:tcW w:type="dxa" w:w="240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Layoffs turn experience into a translation emergency</w:t>
            </w:r>
          </w:p>
        </w:tc>
        <w:tc>
          <w:tcPr>
            <w:tcW w:type="dxa" w:w="416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Long tenure and niche expertise do not automatically produce interviews; benefits, mortgage and debt make retraining decisions more consequential.</w:t>
            </w:r>
          </w:p>
        </w:tc>
        <w:tc>
          <w:tcPr>
            <w:tcW w:type="dxa" w:w="280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Videos 9, 11, 12 and 13 should combine evidence with real constraints.</w:t>
            </w:r>
          </w:p>
        </w:tc>
      </w:tr>
      <w:tr>
        <w:trPr>
          <w:cantSplit/>
        </w:trPr>
        <w:tc>
          <w:tcPr>
            <w:tcW w:type="dxa" w:w="2400"/>
            <w:tcMar>
              <w:top w:w="80" w:type="dxa"/>
              <w:start w:w="100" w:type="dxa"/>
              <w:bottom w:w="80" w:type="dxa"/>
              <w:end w:w="100" w:type="dxa"/>
            </w:tcMar>
            <w:vAlign w:val="top"/>
          </w:tcPr>
          <w:p>
            <w:pPr>
              <w:spacing w:before="0" w:after="30" w:line="245" w:lineRule="auto"/>
            </w:pPr>
            <w:r>
              <w:rPr>
                <w:rFonts w:ascii="Calibri" w:hAnsi="Calibri"/>
                <w:color w:val="18263A"/>
                <w:sz w:val="17"/>
              </w:rPr>
              <w:t>AI anxiety is about employability and professional meaning</w:t>
            </w:r>
          </w:p>
        </w:tc>
        <w:tc>
          <w:tcPr>
            <w:tcW w:type="dxa" w:w="4160"/>
            <w:tcMar>
              <w:top w:w="80" w:type="dxa"/>
              <w:start w:w="100" w:type="dxa"/>
              <w:bottom w:w="80" w:type="dxa"/>
              <w:end w:w="100" w:type="dxa"/>
            </w:tcMar>
            <w:vAlign w:val="top"/>
          </w:tcPr>
          <w:p>
            <w:pPr>
              <w:spacing w:before="0" w:after="30" w:line="245" w:lineRule="auto"/>
            </w:pPr>
            <w:r>
              <w:rPr>
                <w:rFonts w:ascii="Calibri" w:hAnsi="Calibri"/>
                <w:color w:val="18263A"/>
                <w:sz w:val="17"/>
              </w:rPr>
              <w:t>People describe layoffs, degraded decision quality, loss of foundational practice and the fear that adding AI skills no longer differentiates them.</w:t>
            </w:r>
          </w:p>
        </w:tc>
        <w:tc>
          <w:tcPr>
            <w:tcW w:type="dxa" w:w="2800"/>
            <w:tcMar>
              <w:top w:w="80" w:type="dxa"/>
              <w:start w:w="100" w:type="dxa"/>
              <w:bottom w:w="80" w:type="dxa"/>
              <w:end w:w="100" w:type="dxa"/>
            </w:tcMar>
            <w:vAlign w:val="top"/>
          </w:tcPr>
          <w:p>
            <w:pPr>
              <w:spacing w:before="0" w:after="30" w:line="245" w:lineRule="auto"/>
            </w:pPr>
            <w:r>
              <w:rPr>
                <w:rFonts w:ascii="Calibri" w:hAnsi="Calibri"/>
                <w:color w:val="18263A"/>
                <w:sz w:val="17"/>
              </w:rPr>
              <w:t>Keep two viewer-first AI videos; move enterprise AI questions to the author/book lane.</w:t>
            </w:r>
          </w:p>
        </w:tc>
      </w:tr>
      <w:tr>
        <w:trPr>
          <w:cantSplit/>
        </w:trPr>
        <w:tc>
          <w:tcPr>
            <w:tcW w:type="dxa" w:w="240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The senior path branches</w:t>
            </w:r>
          </w:p>
        </w:tc>
        <w:tc>
          <w:tcPr>
            <w:tcW w:type="dxa" w:w="416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Discussion repeatedly turns to management, principal IC work, consulting, academia, entrepreneurship or leaving the field.</w:t>
            </w:r>
          </w:p>
        </w:tc>
        <w:tc>
          <w:tcPr>
            <w:tcW w:type="dxa" w:w="280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Add a senior-path decision video and a consulting diagnostic.</w:t>
            </w:r>
          </w:p>
        </w:tc>
      </w:tr>
      <w:tr>
        <w:trPr>
          <w:cantSplit/>
        </w:trPr>
        <w:tc>
          <w:tcPr>
            <w:tcW w:type="dxa" w:w="2400"/>
            <w:tcMar>
              <w:top w:w="80" w:type="dxa"/>
              <w:start w:w="100" w:type="dxa"/>
              <w:bottom w:w="80" w:type="dxa"/>
              <w:end w:w="100" w:type="dxa"/>
            </w:tcMar>
            <w:vAlign w:val="top"/>
          </w:tcPr>
          <w:p>
            <w:pPr>
              <w:spacing w:before="0" w:after="30" w:line="245" w:lineRule="auto"/>
            </w:pPr>
            <w:r>
              <w:rPr>
                <w:rFonts w:ascii="Calibri" w:hAnsi="Calibri"/>
                <w:color w:val="18263A"/>
                <w:sz w:val="17"/>
              </w:rPr>
              <w:t>Caregiving and health reshape timing</w:t>
            </w:r>
          </w:p>
        </w:tc>
        <w:tc>
          <w:tcPr>
            <w:tcW w:type="dxa" w:w="4160"/>
            <w:tcMar>
              <w:top w:w="80" w:type="dxa"/>
              <w:start w:w="100" w:type="dxa"/>
              <w:bottom w:w="80" w:type="dxa"/>
              <w:end w:w="100" w:type="dxa"/>
            </w:tcMar>
            <w:vAlign w:val="top"/>
          </w:tcPr>
          <w:p>
            <w:pPr>
              <w:spacing w:before="0" w:after="30" w:line="245" w:lineRule="auto"/>
            </w:pPr>
            <w:r>
              <w:rPr>
                <w:rFonts w:ascii="Calibri" w:hAnsi="Calibri"/>
                <w:color w:val="18263A"/>
                <w:sz w:val="17"/>
              </w:rPr>
              <w:t>Re-entry, maternity leave, health conditions and insurance costs alter what a “good” move is.</w:t>
            </w:r>
          </w:p>
        </w:tc>
        <w:tc>
          <w:tcPr>
            <w:tcW w:type="dxa" w:w="2800"/>
            <w:tcMar>
              <w:top w:w="80" w:type="dxa"/>
              <w:start w:w="100" w:type="dxa"/>
              <w:bottom w:w="80" w:type="dxa"/>
              <w:end w:w="100" w:type="dxa"/>
            </w:tcMar>
            <w:vAlign w:val="top"/>
          </w:tcPr>
          <w:p>
            <w:pPr>
              <w:spacing w:before="0" w:after="30" w:line="245" w:lineRule="auto"/>
            </w:pPr>
            <w:r>
              <w:rPr>
                <w:rFonts w:ascii="Calibri" w:hAnsi="Calibri"/>
                <w:color w:val="18263A"/>
                <w:sz w:val="17"/>
              </w:rPr>
              <w:t>Use constraint-aware caveats; add a re-entry video backed by Temidayo’s return story.</w:t>
            </w:r>
          </w:p>
        </w:tc>
      </w:tr>
      <w:tr>
        <w:trPr>
          <w:cantSplit/>
        </w:trPr>
        <w:tc>
          <w:tcPr>
            <w:tcW w:type="dxa" w:w="240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Generic advice misses translation</w:t>
            </w:r>
          </w:p>
        </w:tc>
        <w:tc>
          <w:tcPr>
            <w:tcW w:type="dxa" w:w="416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“Network, upskill and apply” appears frequently, but often does not show how to make accumulated judgment legible or how to identify the real learning gap.</w:t>
            </w:r>
          </w:p>
        </w:tc>
        <w:tc>
          <w:tcPr>
            <w:tcW w:type="dxa" w:w="280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Make the evidence-reading method visible in every relevant video.</w:t>
            </w:r>
          </w:p>
        </w:tc>
      </w:tr>
    </w:tbl>
    <w:p>
      <w:pPr>
        <w:spacing w:after="0"/>
      </w:pPr>
    </w:p>
    <w:p>
      <w:pPr>
        <w:pStyle w:val="Heading2"/>
        <w:keepNext/>
      </w:pPr>
      <w:r>
        <w:rPr>
          <w:rFonts w:ascii="Calibri" w:hAnsi="Calibri"/>
          <w:b/>
          <w:color w:val="10264B"/>
          <w:sz w:val="26"/>
        </w:rPr>
        <w:t>Isolated or cautionary signals</w:t>
      </w:r>
    </w:p>
    <w:p>
      <w:pPr>
        <w:pStyle w:val="AuditBullet"/>
        <w:spacing w:after="80" w:line="288" w:lineRule="auto"/>
      </w:pPr>
      <w:r>
        <w:rPr>
          <w:rFonts w:ascii="Calibri" w:hAnsi="Calibri"/>
          <w:color w:val="18263A"/>
          <w:sz w:val="21"/>
        </w:rPr>
        <w:t>A single successful transition into consulting in one’s 40s is a useful possibility, not evidence that age bias or peer-level mismatch disappears.</w:t>
      </w:r>
    </w:p>
    <w:p>
      <w:pPr>
        <w:pStyle w:val="AuditBullet"/>
        <w:spacing w:after="80" w:line="288" w:lineRule="auto"/>
      </w:pPr>
      <w:r>
        <w:rPr>
          <w:rFonts w:ascii="Calibri" w:hAnsi="Calibri"/>
          <w:color w:val="18263A"/>
          <w:sz w:val="21"/>
        </w:rPr>
        <w:t>Self-reported “AI caused my layoff” stories should be presented as people’s experiences, not verified causal labor-market data.</w:t>
      </w:r>
    </w:p>
    <w:p>
      <w:pPr>
        <w:pStyle w:val="AuditBullet"/>
        <w:spacing w:after="80" w:line="288" w:lineRule="auto"/>
      </w:pPr>
      <w:r>
        <w:rPr>
          <w:rFonts w:ascii="Calibri" w:hAnsi="Calibri"/>
          <w:color w:val="18263A"/>
          <w:sz w:val="21"/>
        </w:rPr>
        <w:t>One supplied senior-women post was challenged by commenters as possibly AI-written or engagement-driven. Its prompt should not be treated as verified biography; the independent comments still reveal useful questions.</w:t>
      </w:r>
    </w:p>
    <w:p>
      <w:pPr>
        <w:pStyle w:val="AuditBullet"/>
        <w:spacing w:after="80" w:line="288" w:lineRule="auto"/>
      </w:pPr>
      <w:r>
        <w:rPr>
          <w:rFonts w:ascii="Calibri" w:hAnsi="Calibri"/>
          <w:color w:val="18263A"/>
          <w:sz w:val="21"/>
        </w:rPr>
        <w:t>One re-entry outcome or one supportive employer cannot support a universal promise that career breaks carry no penalty.</w:t>
      </w:r>
    </w:p>
    <w:tbl>
      <w:tblPr>
        <w:tblW w:type="dxa" w:w="9360"/>
        <w:jc w:val="center"/>
        <w:tblLook w:firstColumn="1" w:firstRow="1" w:lastColumn="0" w:lastRow="0" w:noHBand="0" w:noVBand="1" w:val="04A0"/>
        <w:tblLayout w:type="fixed"/>
        <w:tblInd w:w="0" w:type="dxa"/>
        <w:tblBorders>
          <w:top w:val="single" w:sz="0" w:space="0" w:color="F7F3EA"/>
          <w:left w:val="single" w:sz="0" w:space="0" w:color="F7F3EA"/>
          <w:bottom w:val="single" w:sz="0" w:space="0" w:color="F7F3EA"/>
          <w:right w:val="single" w:sz="0" w:space="0" w:color="F7F3EA"/>
          <w:insideH w:val="single" w:sz="0" w:space="0" w:color="F7F3EA"/>
          <w:insideV w:val="single" w:sz="0" w:space="0" w:color="F7F3EA"/>
        </w:tblBorders>
      </w:tblPr>
      <w:tblGrid>
        <w:gridCol w:w="180"/>
        <w:gridCol w:w="9180"/>
      </w:tblGrid>
      <w:tr>
        <w:trPr>
          <w:cantSplit/>
        </w:trPr>
        <w:tc>
          <w:tcPr>
            <w:tcW w:type="dxa" w:w="180"/>
            <w:tcMar>
              <w:top w:w="100" w:type="dxa"/>
              <w:start w:w="0" w:type="dxa"/>
              <w:bottom w:w="100" w:type="dxa"/>
              <w:end w:w="0" w:type="dxa"/>
            </w:tcMar>
            <w:vAlign w:val="top"/>
            <w:shd w:fill="C6A646"/>
          </w:tcPr>
          <w:p/>
        </w:tc>
        <w:tc>
          <w:tcPr>
            <w:tcW w:type="dxa" w:w="9180"/>
            <w:tcMar>
              <w:top w:w="130" w:type="dxa"/>
              <w:start w:w="160" w:type="dxa"/>
              <w:bottom w:w="130" w:type="dxa"/>
              <w:end w:w="160" w:type="dxa"/>
            </w:tcMar>
            <w:vAlign w:val="top"/>
            <w:shd w:fill="F7F3EA"/>
          </w:tcPr>
          <w:p>
            <w:pPr>
              <w:spacing w:after="60"/>
            </w:pPr>
            <w:r>
              <w:rPr>
                <w:rFonts w:ascii="Calibri" w:hAnsi="Calibri"/>
                <w:b/>
                <w:color w:val="C6A646"/>
                <w:sz w:val="18"/>
              </w:rPr>
              <w:t>INTERPRETATION</w:t>
            </w:r>
          </w:p>
          <w:p>
            <w:pPr>
              <w:spacing w:after="0" w:line="276" w:lineRule="auto"/>
            </w:pPr>
            <w:r>
              <w:rPr>
                <w:rFonts w:ascii="Calibri" w:hAnsi="Calibri"/>
                <w:color w:val="18263A"/>
                <w:sz w:val="21"/>
              </w:rPr>
              <w:t>The research does not prove that every senior corporate woman feels the same way. It does show that the refined persona faces a coherent set of decisions your method can answer better than generic career content: what still counts, what is no longer visible, what must be protected, what must be relearned, and which next move is feasible.</w:t>
            </w:r>
          </w:p>
        </w:tc>
      </w:tr>
    </w:tbl>
    <w:p>
      <w:r>
        <w:br w:type="page"/>
      </w:r>
    </w:p>
    <w:p>
      <w:pPr>
        <w:keepNext/>
        <w:spacing w:after="60"/>
      </w:pPr>
      <w:r>
        <w:rPr>
          <w:rFonts w:ascii="Calibri" w:hAnsi="Calibri"/>
          <w:b/>
          <w:color w:val="C6A646"/>
          <w:sz w:val="18"/>
        </w:rPr>
        <w:t>03  /  LAUNCH TRILOGY</w:t>
      </w:r>
    </w:p>
    <w:p>
      <w:pPr>
        <w:pStyle w:val="Heading1"/>
        <w:keepNext/>
      </w:pPr>
      <w:r>
        <w:rPr>
          <w:rFonts w:ascii="Calibri" w:hAnsi="Calibri"/>
          <w:b/>
          <w:color w:val="10264B"/>
          <w:sz w:val="32"/>
        </w:rPr>
        <w:t>Videos 1–3 still serve the clarified audience</w:t>
      </w:r>
    </w:p>
    <w:p>
      <w:pPr>
        <w:keepLines w:val="0"/>
        <w:spacing w:before="0" w:after="120" w:line="300" w:lineRule="auto"/>
      </w:pPr>
      <w:r>
        <w:rPr>
          <w:rFonts w:ascii="Calibri" w:hAnsi="Calibri"/>
          <w:i w:val="0"/>
          <w:color w:val="18263A"/>
          <w:sz w:val="22"/>
        </w:rPr>
        <w:t>Do not discard or reshoot the launch trilogy. Its sequence is correct: make the past portable, test present marketability, then slow down a consequential stay-or-leave decision. The improvements now belong in metadata, Shorts, proof emphasis and publication controls—not a strategy rewrite of finished recordings.</w:t>
      </w:r>
    </w:p>
    <w:tbl>
      <w:tblPr>
        <w:tblW w:type="dxa" w:w="9360"/>
        <w:jc w:val="center"/>
        <w:tblLook w:firstColumn="1" w:firstRow="1" w:lastColumn="0" w:lastRow="0" w:noHBand="0" w:noVBand="1" w:val="04A0"/>
        <w:tblLayout w:type="fixed"/>
        <w:tblInd w:w="120" w:type="dxa"/>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Pr>
      <w:tblGrid>
        <w:gridCol w:w="420"/>
        <w:gridCol w:w="2300"/>
        <w:gridCol w:w="1800"/>
        <w:gridCol w:w="2850"/>
        <w:gridCol w:w="1300"/>
        <w:gridCol w:w="690"/>
      </w:tblGrid>
      <w:tr>
        <w:trPr>
          <w:tblHeader w:val="true"/>
          <w:cantSplit/>
        </w:trPr>
        <w:tc>
          <w:tcPr>
            <w:tcW w:type="dxa" w:w="420"/>
            <w:tcMar>
              <w:top w:w="80" w:type="dxa"/>
              <w:start w:w="100" w:type="dxa"/>
              <w:bottom w:w="80" w:type="dxa"/>
              <w:end w:w="100" w:type="dxa"/>
            </w:tcMar>
            <w:vAlign w:val="top"/>
            <w:shd w:fill="10264B"/>
          </w:tcPr>
          <w:p>
            <w:pPr>
              <w:spacing w:after="0" w:line="240" w:lineRule="auto"/>
            </w:pPr>
            <w:r/>
            <w:r>
              <w:rPr>
                <w:rFonts w:ascii="Calibri" w:hAnsi="Calibri"/>
                <w:b/>
                <w:color w:val="FFFFFF"/>
                <w:sz w:val="17"/>
              </w:rPr>
              <w:t>#</w:t>
            </w:r>
          </w:p>
        </w:tc>
        <w:tc>
          <w:tcPr>
            <w:tcW w:type="dxa" w:w="2300"/>
            <w:tcMar>
              <w:top w:w="80" w:type="dxa"/>
              <w:start w:w="100" w:type="dxa"/>
              <w:bottom w:w="80" w:type="dxa"/>
              <w:end w:w="100" w:type="dxa"/>
            </w:tcMar>
            <w:vAlign w:val="top"/>
            <w:shd w:fill="10264B"/>
          </w:tcPr>
          <w:p>
            <w:pPr>
              <w:spacing w:after="0" w:line="240" w:lineRule="auto"/>
            </w:pPr>
            <w:r/>
            <w:r>
              <w:rPr>
                <w:rFonts w:ascii="Calibri" w:hAnsi="Calibri"/>
                <w:b/>
                <w:color w:val="FFFFFF"/>
                <w:sz w:val="17"/>
              </w:rPr>
              <w:t>Title</w:t>
            </w:r>
          </w:p>
        </w:tc>
        <w:tc>
          <w:tcPr>
            <w:tcW w:type="dxa" w:w="1800"/>
            <w:tcMar>
              <w:top w:w="80" w:type="dxa"/>
              <w:start w:w="100" w:type="dxa"/>
              <w:bottom w:w="80" w:type="dxa"/>
              <w:end w:w="100" w:type="dxa"/>
            </w:tcMar>
            <w:vAlign w:val="top"/>
            <w:shd w:fill="10264B"/>
          </w:tcPr>
          <w:p>
            <w:pPr>
              <w:spacing w:after="0" w:line="240" w:lineRule="auto"/>
            </w:pPr>
            <w:r/>
            <w:r>
              <w:rPr>
                <w:rFonts w:ascii="Calibri" w:hAnsi="Calibri"/>
                <w:b/>
                <w:color w:val="FFFFFF"/>
                <w:sz w:val="17"/>
              </w:rPr>
              <w:t>Persona fit</w:t>
            </w:r>
          </w:p>
        </w:tc>
        <w:tc>
          <w:tcPr>
            <w:tcW w:type="dxa" w:w="2850"/>
            <w:tcMar>
              <w:top w:w="80" w:type="dxa"/>
              <w:start w:w="100" w:type="dxa"/>
              <w:bottom w:w="80" w:type="dxa"/>
              <w:end w:w="100" w:type="dxa"/>
            </w:tcMar>
            <w:vAlign w:val="top"/>
            <w:shd w:fill="10264B"/>
          </w:tcPr>
          <w:p>
            <w:pPr>
              <w:spacing w:after="0" w:line="240" w:lineRule="auto"/>
            </w:pPr>
            <w:r/>
            <w:r>
              <w:rPr>
                <w:rFonts w:ascii="Calibri" w:hAnsi="Calibri"/>
                <w:b/>
                <w:color w:val="FFFFFF"/>
                <w:sz w:val="17"/>
              </w:rPr>
              <w:t>Required action</w:t>
            </w:r>
          </w:p>
        </w:tc>
        <w:tc>
          <w:tcPr>
            <w:tcW w:type="dxa" w:w="1300"/>
            <w:tcMar>
              <w:top w:w="80" w:type="dxa"/>
              <w:start w:w="100" w:type="dxa"/>
              <w:bottom w:w="80" w:type="dxa"/>
              <w:end w:w="100" w:type="dxa"/>
            </w:tcMar>
            <w:vAlign w:val="top"/>
            <w:shd w:fill="10264B"/>
          </w:tcPr>
          <w:p>
            <w:pPr>
              <w:spacing w:after="0" w:line="240" w:lineRule="auto"/>
            </w:pPr>
            <w:r/>
            <w:r>
              <w:rPr>
                <w:rFonts w:ascii="Calibri" w:hAnsi="Calibri"/>
                <w:b/>
                <w:color w:val="FFFFFF"/>
                <w:sz w:val="17"/>
              </w:rPr>
              <w:t>Primary CTA</w:t>
            </w:r>
          </w:p>
        </w:tc>
        <w:tc>
          <w:tcPr>
            <w:tcW w:type="dxa" w:w="690"/>
            <w:tcMar>
              <w:top w:w="80" w:type="dxa"/>
              <w:start w:w="100" w:type="dxa"/>
              <w:bottom w:w="80" w:type="dxa"/>
              <w:end w:w="100" w:type="dxa"/>
            </w:tcMar>
            <w:vAlign w:val="top"/>
            <w:shd w:fill="10264B"/>
          </w:tcPr>
          <w:p>
            <w:pPr>
              <w:spacing w:after="0" w:line="240" w:lineRule="auto"/>
            </w:pPr>
            <w:r/>
            <w:r>
              <w:rPr>
                <w:rFonts w:ascii="Calibri" w:hAnsi="Calibri"/>
                <w:b/>
                <w:color w:val="FFFFFF"/>
                <w:sz w:val="17"/>
              </w:rPr>
              <w:t>Route</w:t>
            </w:r>
          </w:p>
        </w:tc>
      </w:tr>
      <w:tr>
        <w:trPr>
          <w:cantSplit/>
        </w:trPr>
        <w:tc>
          <w:tcPr>
            <w:tcW w:type="dxa" w:w="420"/>
            <w:tcMar>
              <w:top w:w="80" w:type="dxa"/>
              <w:start w:w="100" w:type="dxa"/>
              <w:bottom w:w="80" w:type="dxa"/>
              <w:end w:w="100" w:type="dxa"/>
            </w:tcMar>
            <w:vAlign w:val="top"/>
          </w:tcPr>
          <w:p>
            <w:pPr>
              <w:spacing w:before="0" w:after="30" w:line="245" w:lineRule="auto"/>
            </w:pPr>
            <w:r>
              <w:rPr>
                <w:rFonts w:ascii="Calibri" w:hAnsi="Calibri"/>
                <w:color w:val="18263A"/>
                <w:sz w:val="17"/>
              </w:rPr>
              <w:t>1</w:t>
            </w:r>
          </w:p>
        </w:tc>
        <w:tc>
          <w:tcPr>
            <w:tcW w:type="dxa" w:w="2300"/>
            <w:tcMar>
              <w:top w:w="80" w:type="dxa"/>
              <w:start w:w="100" w:type="dxa"/>
              <w:bottom w:w="80" w:type="dxa"/>
              <w:end w:w="100" w:type="dxa"/>
            </w:tcMar>
            <w:vAlign w:val="top"/>
          </w:tcPr>
          <w:p>
            <w:pPr>
              <w:spacing w:before="0" w:after="30" w:line="245" w:lineRule="auto"/>
            </w:pPr>
            <w:r>
              <w:rPr>
                <w:rFonts w:ascii="Calibri" w:hAnsi="Calibri"/>
                <w:color w:val="18263A"/>
                <w:sz w:val="17"/>
              </w:rPr>
              <w:t>How to Change Jobs Without Starting Your Career Over</w:t>
            </w:r>
          </w:p>
        </w:tc>
        <w:tc>
          <w:tcPr>
            <w:tcW w:type="dxa" w:w="1800"/>
            <w:tcMar>
              <w:top w:w="80" w:type="dxa"/>
              <w:start w:w="100" w:type="dxa"/>
              <w:bottom w:w="80" w:type="dxa"/>
              <w:end w:w="100" w:type="dxa"/>
            </w:tcMar>
            <w:vAlign w:val="top"/>
          </w:tcPr>
          <w:p>
            <w:pPr>
              <w:spacing w:before="0" w:after="30" w:line="245" w:lineRule="auto"/>
            </w:pPr>
            <w:r>
              <w:rPr>
                <w:rFonts w:ascii="Calibri" w:hAnsi="Calibri"/>
                <w:color w:val="18263A"/>
                <w:sz w:val="17"/>
              </w:rPr>
              <w:t>Strong. The title names the core fear directly.</w:t>
            </w:r>
          </w:p>
        </w:tc>
        <w:tc>
          <w:tcPr>
            <w:tcW w:type="dxa" w:w="2850"/>
            <w:tcMar>
              <w:top w:w="80" w:type="dxa"/>
              <w:start w:w="100" w:type="dxa"/>
              <w:bottom w:w="80" w:type="dxa"/>
              <w:end w:w="100" w:type="dxa"/>
            </w:tcMar>
            <w:vAlign w:val="top"/>
          </w:tcPr>
          <w:p>
            <w:pPr>
              <w:spacing w:before="0" w:after="30" w:line="245" w:lineRule="auto"/>
            </w:pPr>
            <w:r>
              <w:rPr>
                <w:rFonts w:ascii="Calibri" w:hAnsi="Calibri"/>
                <w:color w:val="18263A"/>
                <w:sz w:val="17"/>
              </w:rPr>
              <w:t>Keep approved edit. Emphasize the 47→75 proof, accounting→cyber→people/transformation path and the distinction between chronology and what traveled.</w:t>
            </w:r>
          </w:p>
        </w:tc>
        <w:tc>
          <w:tcPr>
            <w:tcW w:type="dxa" w:w="1300"/>
            <w:tcMar>
              <w:top w:w="80" w:type="dxa"/>
              <w:start w:w="100" w:type="dxa"/>
              <w:bottom w:w="80" w:type="dxa"/>
              <w:end w:w="100" w:type="dxa"/>
            </w:tcMar>
            <w:vAlign w:val="top"/>
          </w:tcPr>
          <w:p>
            <w:pPr>
              <w:spacing w:before="0" w:after="30" w:line="245" w:lineRule="auto"/>
            </w:pPr>
            <w:r>
              <w:rPr>
                <w:rFonts w:ascii="Calibri" w:hAnsi="Calibri"/>
                <w:color w:val="18263A"/>
                <w:sz w:val="17"/>
              </w:rPr>
              <w:t>Field Kit. This supersedes the research brief’s Keep the Proof line.</w:t>
            </w:r>
          </w:p>
        </w:tc>
        <w:tc>
          <w:tcPr>
            <w:tcW w:type="dxa" w:w="690"/>
            <w:tcMar>
              <w:top w:w="80" w:type="dxa"/>
              <w:start w:w="100" w:type="dxa"/>
              <w:bottom w:w="80" w:type="dxa"/>
              <w:end w:w="100" w:type="dxa"/>
            </w:tcMar>
            <w:vAlign w:val="top"/>
          </w:tcPr>
          <w:p>
            <w:pPr>
              <w:spacing w:before="0" w:after="30" w:line="245" w:lineRule="auto"/>
            </w:pPr>
            <w:r>
              <w:rPr>
                <w:rFonts w:ascii="Calibri" w:hAnsi="Calibri"/>
                <w:color w:val="18263A"/>
                <w:sz w:val="17"/>
              </w:rPr>
              <w:t>Watch Next: Video 2.</w:t>
            </w:r>
          </w:p>
        </w:tc>
      </w:tr>
      <w:tr>
        <w:trPr>
          <w:cantSplit/>
        </w:trPr>
        <w:tc>
          <w:tcPr>
            <w:tcW w:type="dxa" w:w="42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2</w:t>
            </w:r>
          </w:p>
        </w:tc>
        <w:tc>
          <w:tcPr>
            <w:tcW w:type="dxa" w:w="230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Is Your Job Making You Less Marketable?</w:t>
            </w:r>
          </w:p>
        </w:tc>
        <w:tc>
          <w:tcPr>
            <w:tcW w:type="dxa" w:w="180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Strong. It captures the risk of being valuable internally but hard to understand elsewhere.</w:t>
            </w:r>
          </w:p>
        </w:tc>
        <w:tc>
          <w:tcPr>
            <w:tcW w:type="dxa" w:w="285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Keep approved corrections and early proof. Use Shorts and description to name 15+ years, company nouns, senior credibility and the 90-day test.</w:t>
            </w:r>
          </w:p>
        </w:tc>
        <w:tc>
          <w:tcPr>
            <w:tcW w:type="dxa" w:w="130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Field Kit.</w:t>
            </w:r>
          </w:p>
        </w:tc>
        <w:tc>
          <w:tcPr>
            <w:tcW w:type="dxa" w:w="69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Watch Next: Video 3 only when Video 3 can publish.</w:t>
            </w:r>
          </w:p>
        </w:tc>
      </w:tr>
      <w:tr>
        <w:trPr>
          <w:cantSplit/>
        </w:trPr>
        <w:tc>
          <w:tcPr>
            <w:tcW w:type="dxa" w:w="420"/>
            <w:tcMar>
              <w:top w:w="80" w:type="dxa"/>
              <w:start w:w="100" w:type="dxa"/>
              <w:bottom w:w="80" w:type="dxa"/>
              <w:end w:w="100" w:type="dxa"/>
            </w:tcMar>
            <w:vAlign w:val="top"/>
          </w:tcPr>
          <w:p>
            <w:pPr>
              <w:spacing w:before="0" w:after="30" w:line="245" w:lineRule="auto"/>
            </w:pPr>
            <w:r>
              <w:rPr>
                <w:rFonts w:ascii="Calibri" w:hAnsi="Calibri"/>
                <w:color w:val="18263A"/>
                <w:sz w:val="17"/>
              </w:rPr>
              <w:t>3</w:t>
            </w:r>
          </w:p>
        </w:tc>
        <w:tc>
          <w:tcPr>
            <w:tcW w:type="dxa" w:w="2300"/>
            <w:tcMar>
              <w:top w:w="80" w:type="dxa"/>
              <w:start w:w="100" w:type="dxa"/>
              <w:bottom w:w="80" w:type="dxa"/>
              <w:end w:w="100" w:type="dxa"/>
            </w:tcMar>
            <w:vAlign w:val="top"/>
          </w:tcPr>
          <w:p>
            <w:pPr>
              <w:spacing w:before="0" w:after="30" w:line="245" w:lineRule="auto"/>
            </w:pPr>
            <w:r>
              <w:rPr>
                <w:rFonts w:ascii="Calibri" w:hAnsi="Calibri"/>
                <w:color w:val="18263A"/>
                <w:sz w:val="17"/>
              </w:rPr>
              <w:t>3 Things to Do Before Quitting Your Job</w:t>
            </w:r>
          </w:p>
        </w:tc>
        <w:tc>
          <w:tcPr>
            <w:tcW w:type="dxa" w:w="1800"/>
            <w:tcMar>
              <w:top w:w="80" w:type="dxa"/>
              <w:start w:w="100" w:type="dxa"/>
              <w:bottom w:w="80" w:type="dxa"/>
              <w:end w:w="100" w:type="dxa"/>
            </w:tcMar>
            <w:vAlign w:val="top"/>
          </w:tcPr>
          <w:p>
            <w:pPr>
              <w:spacing w:before="0" w:after="30" w:line="245" w:lineRule="auto"/>
            </w:pPr>
            <w:r>
              <w:rPr>
                <w:rFonts w:ascii="Calibri" w:hAnsi="Calibri"/>
                <w:color w:val="18263A"/>
                <w:sz w:val="17"/>
              </w:rPr>
              <w:t>Strong and searchable. The practical constraints are already treated seriously.</w:t>
            </w:r>
          </w:p>
        </w:tc>
        <w:tc>
          <w:tcPr>
            <w:tcW w:type="dxa" w:w="2850"/>
            <w:tcMar>
              <w:top w:w="80" w:type="dxa"/>
              <w:start w:w="100" w:type="dxa"/>
              <w:bottom w:w="80" w:type="dxa"/>
              <w:end w:w="100" w:type="dxa"/>
            </w:tcMar>
            <w:vAlign w:val="top"/>
          </w:tcPr>
          <w:p>
            <w:pPr>
              <w:spacing w:before="0" w:after="30" w:line="245" w:lineRule="auto"/>
            </w:pPr>
            <w:r>
              <w:rPr>
                <w:rFonts w:ascii="Calibri" w:hAnsi="Calibri"/>
                <w:color w:val="18263A"/>
                <w:sz w:val="17"/>
              </w:rPr>
              <w:t>Keep the rebuilt opening, safety boundary and evidence-preservation method. Add benefits, caregiving and timing to description language where relevant.</w:t>
            </w:r>
          </w:p>
        </w:tc>
        <w:tc>
          <w:tcPr>
            <w:tcW w:type="dxa" w:w="1300"/>
            <w:tcMar>
              <w:top w:w="80" w:type="dxa"/>
              <w:start w:w="100" w:type="dxa"/>
              <w:bottom w:w="80" w:type="dxa"/>
              <w:end w:w="100" w:type="dxa"/>
            </w:tcMar>
            <w:vAlign w:val="top"/>
          </w:tcPr>
          <w:p>
            <w:pPr>
              <w:spacing w:before="0" w:after="30" w:line="245" w:lineRule="auto"/>
            </w:pPr>
            <w:r>
              <w:rPr>
                <w:rFonts w:ascii="Calibri" w:hAnsi="Calibri"/>
                <w:color w:val="18263A"/>
                <w:sz w:val="17"/>
              </w:rPr>
              <w:t>Career Decision Evidence Check.</w:t>
            </w:r>
          </w:p>
        </w:tc>
        <w:tc>
          <w:tcPr>
            <w:tcW w:type="dxa" w:w="690"/>
            <w:tcMar>
              <w:top w:w="80" w:type="dxa"/>
              <w:start w:w="100" w:type="dxa"/>
              <w:bottom w:w="80" w:type="dxa"/>
              <w:end w:w="100" w:type="dxa"/>
            </w:tcMar>
            <w:vAlign w:val="top"/>
          </w:tcPr>
          <w:p>
            <w:pPr>
              <w:spacing w:before="0" w:after="30" w:line="245" w:lineRule="auto"/>
            </w:pPr>
            <w:r>
              <w:rPr>
                <w:rFonts w:ascii="Calibri" w:hAnsi="Calibri"/>
                <w:color w:val="18263A"/>
                <w:sz w:val="17"/>
              </w:rPr>
              <w:t>Hard publication hold until the page is live; Watch Next: Video 1.</w:t>
            </w:r>
          </w:p>
        </w:tc>
      </w:tr>
    </w:tbl>
    <w:p>
      <w:pPr>
        <w:spacing w:after="0"/>
      </w:pPr>
    </w:p>
    <w:p>
      <w:pPr>
        <w:pStyle w:val="Heading2"/>
        <w:keepNext/>
      </w:pPr>
      <w:r>
        <w:rPr>
          <w:rFonts w:ascii="Calibri" w:hAnsi="Calibri"/>
          <w:b/>
          <w:color w:val="10264B"/>
          <w:sz w:val="26"/>
        </w:rPr>
        <w:t>Description-level refinements for the trilogy</w:t>
      </w:r>
    </w:p>
    <w:p>
      <w:pPr>
        <w:pStyle w:val="AuditBullet"/>
        <w:spacing w:after="80" w:line="288" w:lineRule="auto"/>
      </w:pPr>
      <w:r>
        <w:rPr>
          <w:rFonts w:ascii="Calibri" w:hAnsi="Calibri"/>
          <w:color w:val="18263A"/>
          <w:sz w:val="21"/>
        </w:rPr>
        <w:t>Video 1: add one sentence for the senior viewer—“If you have spent 15 or 20 years building experience, a move should not require you to erase it; it does require you to explain what still applies.”</w:t>
      </w:r>
    </w:p>
    <w:p>
      <w:pPr>
        <w:pStyle w:val="AuditBullet"/>
        <w:spacing w:after="80" w:line="288" w:lineRule="auto"/>
      </w:pPr>
      <w:r>
        <w:rPr>
          <w:rFonts w:ascii="Calibri" w:hAnsi="Calibri"/>
          <w:color w:val="18263A"/>
          <w:sz w:val="21"/>
        </w:rPr>
        <w:t>Video 2: name the distinction between internal value and external clarity in the first two description lines.</w:t>
      </w:r>
    </w:p>
    <w:p>
      <w:pPr>
        <w:pStyle w:val="AuditBullet"/>
        <w:spacing w:after="80" w:line="288" w:lineRule="auto"/>
      </w:pPr>
      <w:r>
        <w:rPr>
          <w:rFonts w:ascii="Calibri" w:hAnsi="Calibri"/>
          <w:color w:val="18263A"/>
          <w:sz w:val="21"/>
        </w:rPr>
        <w:t>Video 3: explicitly state that the video does not advise delaying an exit when health, safety, harassment or discrimination is at stake, and that pay, benefits and caregiving can legitimately shape timing.</w:t>
      </w:r>
    </w:p>
    <w:tbl>
      <w:tblPr>
        <w:tblW w:type="dxa" w:w="9360"/>
        <w:jc w:val="center"/>
        <w:tblLook w:firstColumn="1" w:firstRow="1" w:lastColumn="0" w:lastRow="0" w:noHBand="0" w:noVBand="1" w:val="04A0"/>
        <w:tblLayout w:type="fixed"/>
        <w:tblInd w:w="0" w:type="dxa"/>
        <w:tblBorders>
          <w:top w:val="single" w:sz="0" w:space="0" w:color="F2E7BD"/>
          <w:left w:val="single" w:sz="0" w:space="0" w:color="F2E7BD"/>
          <w:bottom w:val="single" w:sz="0" w:space="0" w:color="F2E7BD"/>
          <w:right w:val="single" w:sz="0" w:space="0" w:color="F2E7BD"/>
          <w:insideH w:val="single" w:sz="0" w:space="0" w:color="F2E7BD"/>
          <w:insideV w:val="single" w:sz="0" w:space="0" w:color="F2E7BD"/>
        </w:tblBorders>
      </w:tblPr>
      <w:tblGrid>
        <w:gridCol w:w="180"/>
        <w:gridCol w:w="9180"/>
      </w:tblGrid>
      <w:tr>
        <w:trPr>
          <w:cantSplit/>
        </w:trPr>
        <w:tc>
          <w:tcPr>
            <w:tcW w:type="dxa" w:w="180"/>
            <w:tcMar>
              <w:top w:w="100" w:type="dxa"/>
              <w:start w:w="0" w:type="dxa"/>
              <w:bottom w:w="100" w:type="dxa"/>
              <w:end w:w="0" w:type="dxa"/>
            </w:tcMar>
            <w:vAlign w:val="top"/>
            <w:shd w:fill="C94C1B"/>
          </w:tcPr>
          <w:p/>
        </w:tc>
        <w:tc>
          <w:tcPr>
            <w:tcW w:type="dxa" w:w="9180"/>
            <w:tcMar>
              <w:top w:w="130" w:type="dxa"/>
              <w:start w:w="160" w:type="dxa"/>
              <w:bottom w:w="130" w:type="dxa"/>
              <w:end w:w="160" w:type="dxa"/>
            </w:tcMar>
            <w:vAlign w:val="top"/>
            <w:shd w:fill="F2E7BD"/>
          </w:tcPr>
          <w:p>
            <w:pPr>
              <w:spacing w:after="60"/>
            </w:pPr>
            <w:r>
              <w:rPr>
                <w:rFonts w:ascii="Calibri" w:hAnsi="Calibri"/>
                <w:b/>
                <w:color w:val="C94C1B"/>
                <w:sz w:val="18"/>
              </w:rPr>
              <w:t>DO NOT CHANGE VIDEO 1’S CTA</w:t>
            </w:r>
          </w:p>
          <w:p>
            <w:pPr>
              <w:spacing w:after="0" w:line="276" w:lineRule="auto"/>
            </w:pPr>
            <w:r>
              <w:rPr>
                <w:rFonts w:ascii="Calibri" w:hAnsi="Calibri"/>
                <w:color w:val="18263A"/>
                <w:sz w:val="21"/>
              </w:rPr>
              <w:t>Video 1 was recorded and edited with the Capability Formation Field Kit. Changing it to Keep the Proof now would create a narration, card and description mismatch. Keep the approved Field Kit route.</w:t>
            </w:r>
          </w:p>
        </w:tc>
      </w:tr>
    </w:tbl>
    <w:p>
      <w:pPr>
        <w:keepNext/>
        <w:spacing w:after="60"/>
      </w:pPr>
      <w:r>
        <w:rPr>
          <w:rFonts w:ascii="Calibri" w:hAnsi="Calibri"/>
          <w:b/>
          <w:color w:val="C6A646"/>
          <w:sz w:val="18"/>
        </w:rPr>
        <w:t>04  /  CURRENT 20-VIDEO AUDIT</w:t>
      </w:r>
    </w:p>
    <w:p>
      <w:pPr>
        <w:pStyle w:val="Heading1"/>
        <w:keepNext/>
      </w:pPr>
      <w:r>
        <w:rPr>
          <w:rFonts w:ascii="Calibri" w:hAnsi="Calibri"/>
          <w:b/>
          <w:color w:val="10264B"/>
          <w:sz w:val="32"/>
        </w:rPr>
        <w:t>The foundation is strong; the back half drifts</w:t>
      </w:r>
    </w:p>
    <w:p>
      <w:pPr>
        <w:keepLines w:val="0"/>
        <w:spacing w:before="0" w:after="120" w:line="300" w:lineRule="auto"/>
      </w:pPr>
      <w:r>
        <w:rPr>
          <w:rFonts w:ascii="Calibri" w:hAnsi="Calibri"/>
          <w:i w:val="0"/>
          <w:color w:val="18263A"/>
          <w:sz w:val="22"/>
        </w:rPr>
        <w:t>The current Videos 4–23 already contain the right core ideas. The weakness is not a lack of quality; it is concentration and specificity. The sequence devotes five consecutive slots to AI, while industry change, senior-path branching, declining visibility, consulting and re-entry—the problems most specific to the refined persona—receive little or no direct treatment.</w:t>
      </w:r>
    </w:p>
    <w:tbl>
      <w:tblPr>
        <w:tblW w:type="dxa" w:w="9360"/>
        <w:jc w:val="center"/>
        <w:tblLook w:firstColumn="1" w:firstRow="1" w:lastColumn="0" w:lastRow="0" w:noHBand="0" w:noVBand="1" w:val="04A0"/>
        <w:tblLayout w:type="fixed"/>
        <w:tblInd w:w="120" w:type="dxa"/>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Pr>
      <w:tblGrid>
        <w:gridCol w:w="3450"/>
        <w:gridCol w:w="1100"/>
        <w:gridCol w:w="4810"/>
      </w:tblGrid>
      <w:tr>
        <w:trPr>
          <w:tblHeader w:val="true"/>
          <w:cantSplit/>
        </w:trPr>
        <w:tc>
          <w:tcPr>
            <w:tcW w:type="dxa" w:w="3450"/>
            <w:tcMar>
              <w:top w:w="80" w:type="dxa"/>
              <w:start w:w="100" w:type="dxa"/>
              <w:bottom w:w="80" w:type="dxa"/>
              <w:end w:w="100" w:type="dxa"/>
            </w:tcMar>
            <w:vAlign w:val="top"/>
            <w:shd w:fill="10264B"/>
          </w:tcPr>
          <w:p>
            <w:pPr>
              <w:spacing w:after="0" w:line="240" w:lineRule="auto"/>
            </w:pPr>
            <w:r/>
            <w:r>
              <w:rPr>
                <w:rFonts w:ascii="Calibri" w:hAnsi="Calibri"/>
                <w:b/>
                <w:color w:val="FFFFFF"/>
                <w:sz w:val="18"/>
              </w:rPr>
              <w:t>Audit question</w:t>
            </w:r>
          </w:p>
        </w:tc>
        <w:tc>
          <w:tcPr>
            <w:tcW w:type="dxa" w:w="1100"/>
            <w:tcMar>
              <w:top w:w="80" w:type="dxa"/>
              <w:start w:w="100" w:type="dxa"/>
              <w:bottom w:w="80" w:type="dxa"/>
              <w:end w:w="100" w:type="dxa"/>
            </w:tcMar>
            <w:vAlign w:val="top"/>
            <w:shd w:fill="10264B"/>
          </w:tcPr>
          <w:p>
            <w:pPr>
              <w:spacing w:after="0" w:line="240" w:lineRule="auto"/>
            </w:pPr>
            <w:r/>
            <w:r>
              <w:rPr>
                <w:rFonts w:ascii="Calibri" w:hAnsi="Calibri"/>
                <w:b/>
                <w:color w:val="FFFFFF"/>
                <w:sz w:val="18"/>
              </w:rPr>
              <w:t>Count</w:t>
            </w:r>
          </w:p>
        </w:tc>
        <w:tc>
          <w:tcPr>
            <w:tcW w:type="dxa" w:w="4810"/>
            <w:tcMar>
              <w:top w:w="80" w:type="dxa"/>
              <w:start w:w="100" w:type="dxa"/>
              <w:bottom w:w="80" w:type="dxa"/>
              <w:end w:w="100" w:type="dxa"/>
            </w:tcMar>
            <w:vAlign w:val="top"/>
            <w:shd w:fill="10264B"/>
          </w:tcPr>
          <w:p>
            <w:pPr>
              <w:spacing w:after="0" w:line="240" w:lineRule="auto"/>
            </w:pPr>
            <w:r/>
            <w:r>
              <w:rPr>
                <w:rFonts w:ascii="Calibri" w:hAnsi="Calibri"/>
                <w:b/>
                <w:color w:val="FFFFFF"/>
                <w:sz w:val="18"/>
              </w:rPr>
              <w:t>Judgment</w:t>
            </w:r>
          </w:p>
        </w:tc>
      </w:tr>
      <w:tr>
        <w:trPr>
          <w:cantSplit/>
        </w:trPr>
        <w:tc>
          <w:tcPr>
            <w:tcW w:type="dxa" w:w="3450"/>
            <w:tcMar>
              <w:top w:w="80" w:type="dxa"/>
              <w:start w:w="100" w:type="dxa"/>
              <w:bottom w:w="80" w:type="dxa"/>
              <w:end w:w="100" w:type="dxa"/>
            </w:tcMar>
            <w:vAlign w:val="top"/>
          </w:tcPr>
          <w:p>
            <w:pPr>
              <w:spacing w:before="0" w:after="30" w:line="245" w:lineRule="auto"/>
            </w:pPr>
            <w:r>
              <w:rPr>
                <w:rFonts w:ascii="Calibri" w:hAnsi="Calibri"/>
                <w:color w:val="18263A"/>
                <w:sz w:val="18"/>
              </w:rPr>
              <w:t>Directly addresses the refined persona</w:t>
            </w:r>
          </w:p>
        </w:tc>
        <w:tc>
          <w:tcPr>
            <w:tcW w:type="dxa" w:w="1100"/>
            <w:tcMar>
              <w:top w:w="80" w:type="dxa"/>
              <w:start w:w="100" w:type="dxa"/>
              <w:bottom w:w="80" w:type="dxa"/>
              <w:end w:w="100" w:type="dxa"/>
            </w:tcMar>
            <w:vAlign w:val="top"/>
          </w:tcPr>
          <w:p>
            <w:pPr>
              <w:spacing w:before="0" w:after="30" w:line="245" w:lineRule="auto"/>
            </w:pPr>
            <w:r>
              <w:rPr>
                <w:rFonts w:ascii="Calibri" w:hAnsi="Calibri"/>
                <w:color w:val="18263A"/>
                <w:sz w:val="18"/>
              </w:rPr>
              <w:t>16 / 20</w:t>
            </w:r>
          </w:p>
        </w:tc>
        <w:tc>
          <w:tcPr>
            <w:tcW w:type="dxa" w:w="4810"/>
            <w:tcMar>
              <w:top w:w="80" w:type="dxa"/>
              <w:start w:w="100" w:type="dxa"/>
              <w:bottom w:w="80" w:type="dxa"/>
              <w:end w:w="100" w:type="dxa"/>
            </w:tcMar>
            <w:vAlign w:val="top"/>
          </w:tcPr>
          <w:p>
            <w:pPr>
              <w:spacing w:before="0" w:after="30" w:line="245" w:lineRule="auto"/>
            </w:pPr>
            <w:r>
              <w:rPr>
                <w:rFonts w:ascii="Calibri" w:hAnsi="Calibri"/>
                <w:color w:val="18263A"/>
                <w:sz w:val="18"/>
              </w:rPr>
              <w:t>Strong foundation; four titles are primarily generic or enterprise-first.</w:t>
            </w:r>
          </w:p>
        </w:tc>
      </w:tr>
      <w:tr>
        <w:trPr>
          <w:cantSplit/>
        </w:trPr>
        <w:tc>
          <w:tcPr>
            <w:tcW w:type="dxa" w:w="345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Primarily generic/search-first</w:t>
            </w:r>
          </w:p>
        </w:tc>
        <w:tc>
          <w:tcPr>
            <w:tcW w:type="dxa" w:w="110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4 / 20</w:t>
            </w:r>
          </w:p>
        </w:tc>
        <w:tc>
          <w:tcPr>
            <w:tcW w:type="dxa" w:w="481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Interview judgment and three broad AI/future-work titles.</w:t>
            </w:r>
          </w:p>
        </w:tc>
      </w:tr>
      <w:tr>
        <w:trPr>
          <w:cantSplit/>
        </w:trPr>
        <w:tc>
          <w:tcPr>
            <w:tcW w:type="dxa" w:w="3450"/>
            <w:tcMar>
              <w:top w:w="80" w:type="dxa"/>
              <w:start w:w="100" w:type="dxa"/>
              <w:bottom w:w="80" w:type="dxa"/>
              <w:end w:w="100" w:type="dxa"/>
            </w:tcMar>
            <w:vAlign w:val="top"/>
          </w:tcPr>
          <w:p>
            <w:pPr>
              <w:spacing w:before="0" w:after="30" w:line="245" w:lineRule="auto"/>
            </w:pPr>
            <w:r>
              <w:rPr>
                <w:rFonts w:ascii="Calibri" w:hAnsi="Calibri"/>
                <w:color w:val="18263A"/>
                <w:sz w:val="18"/>
              </w:rPr>
              <w:t>Can depend on lived credibility</w:t>
            </w:r>
          </w:p>
        </w:tc>
        <w:tc>
          <w:tcPr>
            <w:tcW w:type="dxa" w:w="1100"/>
            <w:tcMar>
              <w:top w:w="80" w:type="dxa"/>
              <w:start w:w="100" w:type="dxa"/>
              <w:bottom w:w="80" w:type="dxa"/>
              <w:end w:w="100" w:type="dxa"/>
            </w:tcMar>
            <w:vAlign w:val="top"/>
          </w:tcPr>
          <w:p>
            <w:pPr>
              <w:spacing w:before="0" w:after="30" w:line="245" w:lineRule="auto"/>
            </w:pPr>
            <w:r>
              <w:rPr>
                <w:rFonts w:ascii="Calibri" w:hAnsi="Calibri"/>
                <w:color w:val="18263A"/>
                <w:sz w:val="18"/>
              </w:rPr>
              <w:t>9 / 20</w:t>
            </w:r>
          </w:p>
        </w:tc>
        <w:tc>
          <w:tcPr>
            <w:tcW w:type="dxa" w:w="4810"/>
            <w:tcMar>
              <w:top w:w="80" w:type="dxa"/>
              <w:start w:w="100" w:type="dxa"/>
              <w:bottom w:w="80" w:type="dxa"/>
              <w:end w:w="100" w:type="dxa"/>
            </w:tcMar>
            <w:vAlign w:val="top"/>
          </w:tcPr>
          <w:p>
            <w:pPr>
              <w:spacing w:before="0" w:after="30" w:line="245" w:lineRule="auto"/>
            </w:pPr>
            <w:r>
              <w:rPr>
                <w:rFonts w:ascii="Calibri" w:hAnsi="Calibri"/>
                <w:color w:val="18263A"/>
                <w:sz w:val="18"/>
              </w:rPr>
              <w:t>Only about three currently name a sufficiently specific early proof beat.</w:t>
            </w:r>
          </w:p>
        </w:tc>
      </w:tr>
      <w:tr>
        <w:trPr>
          <w:cantSplit/>
        </w:trPr>
        <w:tc>
          <w:tcPr>
            <w:tcW w:type="dxa" w:w="345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Internal mobility / stay / promotion</w:t>
            </w:r>
          </w:p>
        </w:tc>
        <w:tc>
          <w:tcPr>
            <w:tcW w:type="dxa" w:w="110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8 / 20</w:t>
            </w:r>
          </w:p>
        </w:tc>
        <w:tc>
          <w:tcPr>
            <w:tcW w:type="dxa" w:w="481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Good coverage.</w:t>
            </w:r>
          </w:p>
        </w:tc>
      </w:tr>
      <w:tr>
        <w:trPr>
          <w:cantSplit/>
        </w:trPr>
        <w:tc>
          <w:tcPr>
            <w:tcW w:type="dxa" w:w="3450"/>
            <w:tcMar>
              <w:top w:w="80" w:type="dxa"/>
              <w:start w:w="100" w:type="dxa"/>
              <w:bottom w:w="80" w:type="dxa"/>
              <w:end w:w="100" w:type="dxa"/>
            </w:tcMar>
            <w:vAlign w:val="top"/>
          </w:tcPr>
          <w:p>
            <w:pPr>
              <w:spacing w:before="0" w:after="30" w:line="245" w:lineRule="auto"/>
            </w:pPr>
            <w:r>
              <w:rPr>
                <w:rFonts w:ascii="Calibri" w:hAnsi="Calibri"/>
                <w:color w:val="18263A"/>
                <w:sz w:val="18"/>
              </w:rPr>
              <w:t>Industry change directly</w:t>
            </w:r>
          </w:p>
        </w:tc>
        <w:tc>
          <w:tcPr>
            <w:tcW w:type="dxa" w:w="1100"/>
            <w:tcMar>
              <w:top w:w="80" w:type="dxa"/>
              <w:start w:w="100" w:type="dxa"/>
              <w:bottom w:w="80" w:type="dxa"/>
              <w:end w:w="100" w:type="dxa"/>
            </w:tcMar>
            <w:vAlign w:val="top"/>
          </w:tcPr>
          <w:p>
            <w:pPr>
              <w:spacing w:before="0" w:after="30" w:line="245" w:lineRule="auto"/>
            </w:pPr>
            <w:r>
              <w:rPr>
                <w:rFonts w:ascii="Calibri" w:hAnsi="Calibri"/>
                <w:color w:val="18263A"/>
                <w:sz w:val="18"/>
              </w:rPr>
              <w:t>3 / 20</w:t>
            </w:r>
          </w:p>
        </w:tc>
        <w:tc>
          <w:tcPr>
            <w:tcW w:type="dxa" w:w="4810"/>
            <w:tcMar>
              <w:top w:w="80" w:type="dxa"/>
              <w:start w:w="100" w:type="dxa"/>
              <w:bottom w:w="80" w:type="dxa"/>
              <w:end w:w="100" w:type="dxa"/>
            </w:tcMar>
            <w:vAlign w:val="top"/>
          </w:tcPr>
          <w:p>
            <w:pPr>
              <w:spacing w:before="0" w:after="30" w:line="245" w:lineRule="auto"/>
            </w:pPr>
            <w:r>
              <w:rPr>
                <w:rFonts w:ascii="Calibri" w:hAnsi="Calibri"/>
                <w:color w:val="18263A"/>
                <w:sz w:val="18"/>
              </w:rPr>
              <w:t>Too little for the public portability promise.</w:t>
            </w:r>
          </w:p>
        </w:tc>
      </w:tr>
      <w:tr>
        <w:trPr>
          <w:cantSplit/>
        </w:trPr>
        <w:tc>
          <w:tcPr>
            <w:tcW w:type="dxa" w:w="345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Age, seniority or visibility</w:t>
            </w:r>
          </w:p>
        </w:tc>
        <w:tc>
          <w:tcPr>
            <w:tcW w:type="dxa" w:w="110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7 / 20</w:t>
            </w:r>
          </w:p>
        </w:tc>
        <w:tc>
          <w:tcPr>
            <w:tcW w:type="dxa" w:w="481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Present, but sponsorship decline and senior-path choices need clearer titles.</w:t>
            </w:r>
          </w:p>
        </w:tc>
      </w:tr>
      <w:tr>
        <w:trPr>
          <w:cantSplit/>
        </w:trPr>
        <w:tc>
          <w:tcPr>
            <w:tcW w:type="dxa" w:w="3450"/>
            <w:tcMar>
              <w:top w:w="80" w:type="dxa"/>
              <w:start w:w="100" w:type="dxa"/>
              <w:bottom w:w="80" w:type="dxa"/>
              <w:end w:w="100" w:type="dxa"/>
            </w:tcMar>
            <w:vAlign w:val="top"/>
          </w:tcPr>
          <w:p>
            <w:pPr>
              <w:spacing w:before="0" w:after="30" w:line="245" w:lineRule="auto"/>
            </w:pPr>
            <w:r>
              <w:rPr>
                <w:rFonts w:ascii="Calibri" w:hAnsi="Calibri"/>
                <w:color w:val="18263A"/>
                <w:sz w:val="18"/>
              </w:rPr>
              <w:t>Layoffs, AI or restructuring</w:t>
            </w:r>
          </w:p>
        </w:tc>
        <w:tc>
          <w:tcPr>
            <w:tcW w:type="dxa" w:w="1100"/>
            <w:tcMar>
              <w:top w:w="80" w:type="dxa"/>
              <w:start w:w="100" w:type="dxa"/>
              <w:bottom w:w="80" w:type="dxa"/>
              <w:end w:w="100" w:type="dxa"/>
            </w:tcMar>
            <w:vAlign w:val="top"/>
          </w:tcPr>
          <w:p>
            <w:pPr>
              <w:spacing w:before="0" w:after="30" w:line="245" w:lineRule="auto"/>
            </w:pPr>
            <w:r>
              <w:rPr>
                <w:rFonts w:ascii="Calibri" w:hAnsi="Calibri"/>
                <w:color w:val="18263A"/>
                <w:sz w:val="18"/>
              </w:rPr>
              <w:t>8 / 20</w:t>
            </w:r>
          </w:p>
        </w:tc>
        <w:tc>
          <w:tcPr>
            <w:tcW w:type="dxa" w:w="4810"/>
            <w:tcMar>
              <w:top w:w="80" w:type="dxa"/>
              <w:start w:w="100" w:type="dxa"/>
              <w:bottom w:w="80" w:type="dxa"/>
              <w:end w:w="100" w:type="dxa"/>
            </w:tcMar>
            <w:vAlign w:val="top"/>
          </w:tcPr>
          <w:p>
            <w:pPr>
              <w:spacing w:before="0" w:after="30" w:line="245" w:lineRule="auto"/>
            </w:pPr>
            <w:r>
              <w:rPr>
                <w:rFonts w:ascii="Calibri" w:hAnsi="Calibri"/>
                <w:color w:val="18263A"/>
                <w:sz w:val="18"/>
              </w:rPr>
              <w:t>Relevant, but overconcentrated and occasionally enterprise-first.</w:t>
            </w:r>
          </w:p>
        </w:tc>
      </w:tr>
      <w:tr>
        <w:trPr>
          <w:cantSplit/>
        </w:trPr>
        <w:tc>
          <w:tcPr>
            <w:tcW w:type="dxa" w:w="345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Explicitly requires relearning</w:t>
            </w:r>
          </w:p>
        </w:tc>
        <w:tc>
          <w:tcPr>
            <w:tcW w:type="dxa" w:w="110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2 / 20</w:t>
            </w:r>
          </w:p>
        </w:tc>
        <w:tc>
          <w:tcPr>
            <w:tcW w:type="dxa" w:w="481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Major gap; portability must not sound like context does not matter.</w:t>
            </w:r>
          </w:p>
        </w:tc>
      </w:tr>
      <w:tr>
        <w:trPr>
          <w:cantSplit/>
        </w:trPr>
        <w:tc>
          <w:tcPr>
            <w:tcW w:type="dxa" w:w="3450"/>
            <w:tcMar>
              <w:top w:w="80" w:type="dxa"/>
              <w:start w:w="100" w:type="dxa"/>
              <w:bottom w:w="80" w:type="dxa"/>
              <w:end w:w="100" w:type="dxa"/>
            </w:tcMar>
            <w:vAlign w:val="top"/>
          </w:tcPr>
          <w:p>
            <w:pPr>
              <w:spacing w:before="0" w:after="30" w:line="245" w:lineRule="auto"/>
            </w:pPr>
            <w:r>
              <w:rPr>
                <w:rFonts w:ascii="Calibri" w:hAnsi="Calibri"/>
                <w:color w:val="18263A"/>
                <w:sz w:val="18"/>
              </w:rPr>
              <w:t>Naturally uses the evidence/method system</w:t>
            </w:r>
          </w:p>
        </w:tc>
        <w:tc>
          <w:tcPr>
            <w:tcW w:type="dxa" w:w="1100"/>
            <w:tcMar>
              <w:top w:w="80" w:type="dxa"/>
              <w:start w:w="100" w:type="dxa"/>
              <w:bottom w:w="80" w:type="dxa"/>
              <w:end w:w="100" w:type="dxa"/>
            </w:tcMar>
            <w:vAlign w:val="top"/>
          </w:tcPr>
          <w:p>
            <w:pPr>
              <w:spacing w:before="0" w:after="30" w:line="245" w:lineRule="auto"/>
            </w:pPr>
            <w:r>
              <w:rPr>
                <w:rFonts w:ascii="Calibri" w:hAnsi="Calibri"/>
                <w:color w:val="18263A"/>
                <w:sz w:val="18"/>
              </w:rPr>
              <w:t>13 / 20</w:t>
            </w:r>
          </w:p>
        </w:tc>
        <w:tc>
          <w:tcPr>
            <w:tcW w:type="dxa" w:w="4810"/>
            <w:tcMar>
              <w:top w:w="80" w:type="dxa"/>
              <w:start w:w="100" w:type="dxa"/>
              <w:bottom w:w="80" w:type="dxa"/>
              <w:end w:w="100" w:type="dxa"/>
            </w:tcMar>
            <w:vAlign w:val="top"/>
          </w:tcPr>
          <w:p>
            <w:pPr>
              <w:spacing w:before="0" w:after="30" w:line="245" w:lineRule="auto"/>
            </w:pPr>
            <w:r>
              <w:rPr>
                <w:rFonts w:ascii="Calibri" w:hAnsi="Calibri"/>
                <w:color w:val="18263A"/>
                <w:sz w:val="18"/>
              </w:rPr>
              <w:t>A competitive strength; make it explicit earlier in each video.</w:t>
            </w:r>
          </w:p>
        </w:tc>
      </w:tr>
    </w:tbl>
    <w:p>
      <w:pPr>
        <w:spacing w:after="0"/>
      </w:pPr>
    </w:p>
    <w:tbl>
      <w:tblPr>
        <w:tblW w:type="dxa" w:w="9360"/>
        <w:jc w:val="center"/>
        <w:tblLook w:firstColumn="1" w:firstRow="1" w:lastColumn="0" w:lastRow="0" w:noHBand="0" w:noVBand="1" w:val="04A0"/>
        <w:tblLayout w:type="fixed"/>
        <w:tblInd w:w="0" w:type="dxa"/>
        <w:tblBorders>
          <w:top w:val="single" w:sz="0" w:space="0" w:color="F7F3EA"/>
          <w:left w:val="single" w:sz="0" w:space="0" w:color="F7F3EA"/>
          <w:bottom w:val="single" w:sz="0" w:space="0" w:color="F7F3EA"/>
          <w:right w:val="single" w:sz="0" w:space="0" w:color="F7F3EA"/>
          <w:insideH w:val="single" w:sz="0" w:space="0" w:color="F7F3EA"/>
          <w:insideV w:val="single" w:sz="0" w:space="0" w:color="F7F3EA"/>
        </w:tblBorders>
      </w:tblPr>
      <w:tblGrid>
        <w:gridCol w:w="180"/>
        <w:gridCol w:w="9180"/>
      </w:tblGrid>
      <w:tr>
        <w:trPr>
          <w:cantSplit/>
        </w:trPr>
        <w:tc>
          <w:tcPr>
            <w:tcW w:type="dxa" w:w="180"/>
            <w:tcMar>
              <w:top w:w="100" w:type="dxa"/>
              <w:start w:w="0" w:type="dxa"/>
              <w:bottom w:w="100" w:type="dxa"/>
              <w:end w:w="0" w:type="dxa"/>
            </w:tcMar>
            <w:vAlign w:val="top"/>
            <w:shd w:fill="C6A646"/>
          </w:tcPr>
          <w:p/>
        </w:tc>
        <w:tc>
          <w:tcPr>
            <w:tcW w:type="dxa" w:w="9180"/>
            <w:tcMar>
              <w:top w:w="130" w:type="dxa"/>
              <w:start w:w="160" w:type="dxa"/>
              <w:bottom w:w="130" w:type="dxa"/>
              <w:end w:w="160" w:type="dxa"/>
            </w:tcMar>
            <w:vAlign w:val="top"/>
            <w:shd w:fill="F7F3EA"/>
          </w:tcPr>
          <w:p>
            <w:pPr>
              <w:spacing w:after="60"/>
            </w:pPr>
            <w:r>
              <w:rPr>
                <w:rFonts w:ascii="Calibri" w:hAnsi="Calibri"/>
                <w:b/>
                <w:color w:val="C6A646"/>
                <w:sz w:val="18"/>
              </w:rPr>
              <w:t>MAIN CORRECTION</w:t>
            </w:r>
          </w:p>
          <w:p>
            <w:pPr>
              <w:spacing w:after="0" w:line="276" w:lineRule="auto"/>
            </w:pPr>
            <w:r>
              <w:rPr>
                <w:rFonts w:ascii="Calibri" w:hAnsi="Calibri"/>
                <w:color w:val="18263A"/>
                <w:sz w:val="21"/>
              </w:rPr>
              <w:t>Keep two individual-facing AI videos in the first twenty: Video 10 on staying valuable and Video 16 on proving value. Move the apprenticeship, middle-management and first-draft questions into an enterprise/book lane where they become intellectual property rather than generic viewer advice.</w:t>
            </w:r>
          </w:p>
        </w:tc>
      </w:tr>
    </w:tbl>
    <w:p>
      <w:pPr>
        <w:sectPr>
          <w:headerReference w:type="default" r:id="rId9"/>
          <w:footerReference w:type="default" r:id="rId10"/>
          <w:pgSz w:w="12240" w:h="15840"/>
          <w:pgMar w:top="1037" w:right="1037" w:bottom="1037" w:left="1037" w:header="605" w:footer="605" w:gutter="0"/>
          <w:cols w:space="720"/>
          <w:docGrid w:linePitch="360"/>
        </w:sectPr>
      </w:pPr>
    </w:p>
    <w:p>
      <w:pPr>
        <w:keepNext/>
        <w:spacing w:after="60"/>
      </w:pPr>
      <w:r>
        <w:rPr>
          <w:rFonts w:ascii="Calibri" w:hAnsi="Calibri"/>
          <w:b/>
          <w:color w:val="C6A646"/>
          <w:sz w:val="18"/>
        </w:rPr>
        <w:t>CURRENT AUDIT  /  STRATEGIC FIT</w:t>
      </w:r>
    </w:p>
    <w:p>
      <w:pPr>
        <w:pStyle w:val="Heading1"/>
        <w:keepNext/>
      </w:pPr>
      <w:r>
        <w:rPr>
          <w:rFonts w:ascii="Calibri" w:hAnsi="Calibri"/>
          <w:b/>
          <w:color w:val="10264B"/>
          <w:sz w:val="32"/>
        </w:rPr>
        <w:t>Videos 4–23: viewer problem, signal and method job</w:t>
      </w:r>
    </w:p>
    <w:tbl>
      <w:tblPr>
        <w:tblW w:type="dxa" w:w="10400"/>
        <w:jc w:val="center"/>
        <w:tblLook w:firstColumn="1" w:firstRow="1" w:lastColumn="0" w:lastRow="0" w:noHBand="0" w:noVBand="1" w:val="04A0"/>
        <w:tblLayout w:type="fixed"/>
        <w:tblInd w:w="120" w:type="dxa"/>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Pr>
      <w:tblGrid>
        <w:gridCol w:w="360"/>
        <w:gridCol w:w="1380"/>
        <w:gridCol w:w="720"/>
        <w:gridCol w:w="1960"/>
        <w:gridCol w:w="2180"/>
        <w:gridCol w:w="1840"/>
        <w:gridCol w:w="1960"/>
      </w:tblGrid>
      <w:tr>
        <w:trPr>
          <w:tblHeader w:val="true"/>
          <w:cantSplit/>
        </w:trPr>
        <w:tc>
          <w:tcPr>
            <w:tcW w:type="dxa" w:w="360"/>
            <w:tcMar>
              <w:top w:w="80" w:type="dxa"/>
              <w:start w:w="100" w:type="dxa"/>
              <w:bottom w:w="80" w:type="dxa"/>
              <w:end w:w="100" w:type="dxa"/>
            </w:tcMar>
            <w:vAlign w:val="top"/>
            <w:shd w:fill="10264B"/>
          </w:tcPr>
          <w:p>
            <w:pPr>
              <w:spacing w:after="0" w:line="240" w:lineRule="auto"/>
            </w:pPr>
            <w:r/>
            <w:r>
              <w:rPr>
                <w:rFonts w:ascii="Calibri" w:hAnsi="Calibri"/>
                <w:b/>
                <w:color w:val="FFFFFF"/>
                <w:sz w:val="15"/>
              </w:rPr>
              <w:t>#</w:t>
            </w:r>
          </w:p>
        </w:tc>
        <w:tc>
          <w:tcPr>
            <w:tcW w:type="dxa" w:w="1380"/>
            <w:tcMar>
              <w:top w:w="80" w:type="dxa"/>
              <w:start w:w="100" w:type="dxa"/>
              <w:bottom w:w="80" w:type="dxa"/>
              <w:end w:w="100" w:type="dxa"/>
            </w:tcMar>
            <w:vAlign w:val="top"/>
            <w:shd w:fill="10264B"/>
          </w:tcPr>
          <w:p>
            <w:pPr>
              <w:spacing w:after="0" w:line="240" w:lineRule="auto"/>
            </w:pPr>
            <w:r/>
            <w:r>
              <w:rPr>
                <w:rFonts w:ascii="Calibri" w:hAnsi="Calibri"/>
                <w:b/>
                <w:color w:val="FFFFFF"/>
                <w:sz w:val="15"/>
              </w:rPr>
              <w:t>Current idea</w:t>
            </w:r>
          </w:p>
        </w:tc>
        <w:tc>
          <w:tcPr>
            <w:tcW w:type="dxa" w:w="720"/>
            <w:tcMar>
              <w:top w:w="80" w:type="dxa"/>
              <w:start w:w="100" w:type="dxa"/>
              <w:bottom w:w="80" w:type="dxa"/>
              <w:end w:w="100" w:type="dxa"/>
            </w:tcMar>
            <w:vAlign w:val="top"/>
            <w:shd w:fill="10264B"/>
          </w:tcPr>
          <w:p>
            <w:pPr>
              <w:spacing w:after="0" w:line="240" w:lineRule="auto"/>
            </w:pPr>
            <w:r/>
            <w:r>
              <w:rPr>
                <w:rFonts w:ascii="Calibri" w:hAnsi="Calibri"/>
                <w:b/>
                <w:color w:val="FFFFFF"/>
                <w:sz w:val="15"/>
              </w:rPr>
              <w:t>Fit</w:t>
            </w:r>
          </w:p>
        </w:tc>
        <w:tc>
          <w:tcPr>
            <w:tcW w:type="dxa" w:w="1960"/>
            <w:tcMar>
              <w:top w:w="80" w:type="dxa"/>
              <w:start w:w="100" w:type="dxa"/>
              <w:bottom w:w="80" w:type="dxa"/>
              <w:end w:w="100" w:type="dxa"/>
            </w:tcMar>
            <w:vAlign w:val="top"/>
            <w:shd w:fill="10264B"/>
          </w:tcPr>
          <w:p>
            <w:pPr>
              <w:spacing w:after="0" w:line="240" w:lineRule="auto"/>
            </w:pPr>
            <w:r/>
            <w:r>
              <w:rPr>
                <w:rFonts w:ascii="Calibri" w:hAnsi="Calibri"/>
                <w:b/>
                <w:color w:val="FFFFFF"/>
                <w:sz w:val="15"/>
              </w:rPr>
              <w:t>Real problem</w:t>
            </w:r>
          </w:p>
        </w:tc>
        <w:tc>
          <w:tcPr>
            <w:tcW w:type="dxa" w:w="2180"/>
            <w:tcMar>
              <w:top w:w="80" w:type="dxa"/>
              <w:start w:w="100" w:type="dxa"/>
              <w:bottom w:w="80" w:type="dxa"/>
              <w:end w:w="100" w:type="dxa"/>
            </w:tcMar>
            <w:vAlign w:val="top"/>
            <w:shd w:fill="10264B"/>
          </w:tcPr>
          <w:p>
            <w:pPr>
              <w:spacing w:after="0" w:line="240" w:lineRule="auto"/>
            </w:pPr>
            <w:r/>
            <w:r>
              <w:rPr>
                <w:rFonts w:ascii="Calibri" w:hAnsi="Calibri"/>
                <w:b/>
                <w:color w:val="FFFFFF"/>
                <w:sz w:val="15"/>
              </w:rPr>
              <w:t>Audience signal</w:t>
            </w:r>
          </w:p>
        </w:tc>
        <w:tc>
          <w:tcPr>
            <w:tcW w:type="dxa" w:w="1840"/>
            <w:tcMar>
              <w:top w:w="80" w:type="dxa"/>
              <w:start w:w="100" w:type="dxa"/>
              <w:bottom w:w="80" w:type="dxa"/>
              <w:end w:w="100" w:type="dxa"/>
            </w:tcMar>
            <w:vAlign w:val="top"/>
            <w:shd w:fill="10264B"/>
          </w:tcPr>
          <w:p>
            <w:pPr>
              <w:spacing w:after="0" w:line="240" w:lineRule="auto"/>
            </w:pPr>
            <w:r/>
            <w:r>
              <w:rPr>
                <w:rFonts w:ascii="Calibri" w:hAnsi="Calibri"/>
                <w:b/>
                <w:color w:val="FFFFFF"/>
                <w:sz w:val="15"/>
              </w:rPr>
              <w:t>Portability job</w:t>
            </w:r>
          </w:p>
        </w:tc>
        <w:tc>
          <w:tcPr>
            <w:tcW w:type="dxa" w:w="1960"/>
            <w:tcMar>
              <w:top w:w="80" w:type="dxa"/>
              <w:start w:w="100" w:type="dxa"/>
              <w:bottom w:w="80" w:type="dxa"/>
              <w:end w:w="100" w:type="dxa"/>
            </w:tcMar>
            <w:vAlign w:val="top"/>
            <w:shd w:fill="10264B"/>
          </w:tcPr>
          <w:p>
            <w:pPr>
              <w:spacing w:after="0" w:line="240" w:lineRule="auto"/>
            </w:pPr>
            <w:r/>
            <w:r>
              <w:rPr>
                <w:rFonts w:ascii="Calibri" w:hAnsi="Calibri"/>
                <w:b/>
                <w:color w:val="FFFFFF"/>
                <w:sz w:val="15"/>
              </w:rPr>
              <w:t>Decision triggered</w:t>
            </w:r>
          </w:p>
        </w:tc>
      </w:tr>
      <w:tr>
        <w:trPr>
          <w:cantSplit/>
        </w:trPr>
        <w:tc>
          <w:tcPr>
            <w:tcW w:type="dxa" w:w="360"/>
            <w:tcMar>
              <w:top w:w="80" w:type="dxa"/>
              <w:start w:w="100" w:type="dxa"/>
              <w:bottom w:w="80" w:type="dxa"/>
              <w:end w:w="100" w:type="dxa"/>
            </w:tcMar>
            <w:vAlign w:val="top"/>
          </w:tcPr>
          <w:p>
            <w:pPr>
              <w:spacing w:before="0" w:after="30" w:line="245" w:lineRule="auto"/>
            </w:pPr>
            <w:r>
              <w:rPr>
                <w:rFonts w:ascii="Calibri" w:hAnsi="Calibri"/>
                <w:color w:val="18263A"/>
                <w:sz w:val="15"/>
              </w:rPr>
              <w:t>4</w:t>
            </w:r>
          </w:p>
        </w:tc>
        <w:tc>
          <w:tcPr>
            <w:tcW w:type="dxa" w:w="1380"/>
            <w:tcMar>
              <w:top w:w="80" w:type="dxa"/>
              <w:start w:w="100" w:type="dxa"/>
              <w:bottom w:w="80" w:type="dxa"/>
              <w:end w:w="100" w:type="dxa"/>
            </w:tcMar>
            <w:vAlign w:val="top"/>
          </w:tcPr>
          <w:p>
            <w:pPr>
              <w:spacing w:before="0" w:after="30" w:line="245" w:lineRule="auto"/>
            </w:pPr>
            <w:r>
              <w:rPr>
                <w:rFonts w:ascii="Calibri" w:hAnsi="Calibri"/>
                <w:color w:val="18263A"/>
                <w:sz w:val="15"/>
              </w:rPr>
              <w:t>Explain a nonlinear career</w:t>
            </w:r>
          </w:p>
        </w:tc>
        <w:tc>
          <w:tcPr>
            <w:tcW w:type="dxa" w:w="720"/>
            <w:tcMar>
              <w:top w:w="80" w:type="dxa"/>
              <w:start w:w="100" w:type="dxa"/>
              <w:bottom w:w="80" w:type="dxa"/>
              <w:end w:w="100" w:type="dxa"/>
            </w:tcMar>
            <w:vAlign w:val="top"/>
          </w:tcPr>
          <w:p>
            <w:pPr>
              <w:spacing w:before="0" w:after="30" w:line="245" w:lineRule="auto"/>
            </w:pPr>
            <w:r>
              <w:rPr>
                <w:rFonts w:ascii="Calibri" w:hAnsi="Calibri"/>
                <w:color w:val="18263A"/>
                <w:sz w:val="15"/>
              </w:rPr>
              <w:t>Core</w:t>
            </w:r>
          </w:p>
        </w:tc>
        <w:tc>
          <w:tcPr>
            <w:tcW w:type="dxa" w:w="1960"/>
            <w:tcMar>
              <w:top w:w="80" w:type="dxa"/>
              <w:start w:w="100" w:type="dxa"/>
              <w:bottom w:w="80" w:type="dxa"/>
              <w:end w:w="100" w:type="dxa"/>
            </w:tcMar>
            <w:vAlign w:val="top"/>
          </w:tcPr>
          <w:p>
            <w:pPr>
              <w:spacing w:before="0" w:after="30" w:line="245" w:lineRule="auto"/>
            </w:pPr>
            <w:r>
              <w:rPr>
                <w:rFonts w:ascii="Calibri" w:hAnsi="Calibri"/>
                <w:color w:val="18263A"/>
                <w:sz w:val="15"/>
              </w:rPr>
              <w:t>A varied career sounds unfocused.</w:t>
            </w:r>
          </w:p>
        </w:tc>
        <w:tc>
          <w:tcPr>
            <w:tcW w:type="dxa" w:w="2180"/>
            <w:tcMar>
              <w:top w:w="80" w:type="dxa"/>
              <w:start w:w="100" w:type="dxa"/>
              <w:bottom w:w="80" w:type="dxa"/>
              <w:end w:w="100" w:type="dxa"/>
            </w:tcMar>
            <w:vAlign w:val="top"/>
          </w:tcPr>
          <w:p>
            <w:pPr>
              <w:spacing w:before="0" w:after="30" w:line="245" w:lineRule="auto"/>
            </w:pPr>
            <w:r>
              <w:rPr>
                <w:rFonts w:ascii="Calibri" w:hAnsi="Calibri"/>
                <w:color w:val="18263A"/>
                <w:sz w:val="15"/>
              </w:rPr>
              <w:t>Repeated fear of starting over; strong LinkedIn story signal.</w:t>
            </w:r>
          </w:p>
        </w:tc>
        <w:tc>
          <w:tcPr>
            <w:tcW w:type="dxa" w:w="1840"/>
            <w:tcMar>
              <w:top w:w="80" w:type="dxa"/>
              <w:start w:w="100" w:type="dxa"/>
              <w:bottom w:w="80" w:type="dxa"/>
              <w:end w:w="100" w:type="dxa"/>
            </w:tcMar>
            <w:vAlign w:val="top"/>
          </w:tcPr>
          <w:p>
            <w:pPr>
              <w:spacing w:before="0" w:after="30" w:line="245" w:lineRule="auto"/>
            </w:pPr>
            <w:r>
              <w:rPr>
                <w:rFonts w:ascii="Calibri" w:hAnsi="Calibri"/>
                <w:color w:val="18263A"/>
                <w:sz w:val="15"/>
              </w:rPr>
              <w:t>Make continuity audible without inventing a perfect plan.</w:t>
            </w:r>
          </w:p>
        </w:tc>
        <w:tc>
          <w:tcPr>
            <w:tcW w:type="dxa" w:w="1960"/>
            <w:tcMar>
              <w:top w:w="80" w:type="dxa"/>
              <w:start w:w="100" w:type="dxa"/>
              <w:bottom w:w="80" w:type="dxa"/>
              <w:end w:w="100" w:type="dxa"/>
            </w:tcMar>
            <w:vAlign w:val="top"/>
          </w:tcPr>
          <w:p>
            <w:pPr>
              <w:spacing w:before="0" w:after="30" w:line="245" w:lineRule="auto"/>
            </w:pPr>
            <w:r>
              <w:rPr>
                <w:rFonts w:ascii="Calibri" w:hAnsi="Calibri"/>
                <w:color w:val="18263A"/>
                <w:sz w:val="15"/>
              </w:rPr>
              <w:t>Can another person hear what traveled?</w:t>
            </w:r>
          </w:p>
        </w:tc>
      </w:tr>
      <w:tr>
        <w:trPr>
          <w:cantSplit/>
        </w:trPr>
        <w:tc>
          <w:tcPr>
            <w:tcW w:type="dxa" w:w="3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5</w:t>
            </w:r>
          </w:p>
        </w:tc>
        <w:tc>
          <w:tcPr>
            <w:tcW w:type="dxa" w:w="13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Know if an internal move is right</w:t>
            </w:r>
          </w:p>
        </w:tc>
        <w:tc>
          <w:tcPr>
            <w:tcW w:type="dxa" w:w="7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Core</w:t>
            </w:r>
          </w:p>
        </w:tc>
        <w:tc>
          <w:tcPr>
            <w:tcW w:type="dxa" w:w="19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Movement may be cosmetic rather than growth.</w:t>
            </w:r>
          </w:p>
        </w:tc>
        <w:tc>
          <w:tcPr>
            <w:tcW w:type="dxa" w:w="21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Stagnation, blocked mobility and inability to leave recur.</w:t>
            </w:r>
          </w:p>
        </w:tc>
        <w:tc>
          <w:tcPr>
            <w:tcW w:type="dxa" w:w="184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Test different work, judgment and evidence.</w:t>
            </w:r>
          </w:p>
        </w:tc>
        <w:tc>
          <w:tcPr>
            <w:tcW w:type="dxa" w:w="19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Is this move worth pursuing?</w:t>
            </w:r>
          </w:p>
        </w:tc>
      </w:tr>
      <w:tr>
        <w:trPr>
          <w:cantSplit/>
        </w:trPr>
        <w:tc>
          <w:tcPr>
            <w:tcW w:type="dxa" w:w="360"/>
            <w:tcMar>
              <w:top w:w="80" w:type="dxa"/>
              <w:start w:w="100" w:type="dxa"/>
              <w:bottom w:w="80" w:type="dxa"/>
              <w:end w:w="100" w:type="dxa"/>
            </w:tcMar>
            <w:vAlign w:val="top"/>
          </w:tcPr>
          <w:p>
            <w:pPr>
              <w:spacing w:before="0" w:after="30" w:line="245" w:lineRule="auto"/>
            </w:pPr>
            <w:r>
              <w:rPr>
                <w:rFonts w:ascii="Calibri" w:hAnsi="Calibri"/>
                <w:color w:val="18263A"/>
                <w:sz w:val="15"/>
              </w:rPr>
              <w:t>6</w:t>
            </w:r>
          </w:p>
        </w:tc>
        <w:tc>
          <w:tcPr>
            <w:tcW w:type="dxa" w:w="1380"/>
            <w:tcMar>
              <w:top w:w="80" w:type="dxa"/>
              <w:start w:w="100" w:type="dxa"/>
              <w:bottom w:w="80" w:type="dxa"/>
              <w:end w:w="100" w:type="dxa"/>
            </w:tcMar>
            <w:vAlign w:val="top"/>
          </w:tcPr>
          <w:p>
            <w:pPr>
              <w:spacing w:before="0" w:after="30" w:line="245" w:lineRule="auto"/>
            </w:pPr>
            <w:r>
              <w:rPr>
                <w:rFonts w:ascii="Calibri" w:hAnsi="Calibri"/>
                <w:color w:val="18263A"/>
                <w:sz w:val="15"/>
              </w:rPr>
              <w:t>Growing or just more work?</w:t>
            </w:r>
          </w:p>
        </w:tc>
        <w:tc>
          <w:tcPr>
            <w:tcW w:type="dxa" w:w="720"/>
            <w:tcMar>
              <w:top w:w="80" w:type="dxa"/>
              <w:start w:w="100" w:type="dxa"/>
              <w:bottom w:w="80" w:type="dxa"/>
              <w:end w:w="100" w:type="dxa"/>
            </w:tcMar>
            <w:vAlign w:val="top"/>
          </w:tcPr>
          <w:p>
            <w:pPr>
              <w:spacing w:before="0" w:after="30" w:line="245" w:lineRule="auto"/>
            </w:pPr>
            <w:r>
              <w:rPr>
                <w:rFonts w:ascii="Calibri" w:hAnsi="Calibri"/>
                <w:color w:val="18263A"/>
                <w:sz w:val="15"/>
              </w:rPr>
              <w:t>Core</w:t>
            </w:r>
          </w:p>
        </w:tc>
        <w:tc>
          <w:tcPr>
            <w:tcW w:type="dxa" w:w="1960"/>
            <w:tcMar>
              <w:top w:w="80" w:type="dxa"/>
              <w:start w:w="100" w:type="dxa"/>
              <w:bottom w:w="80" w:type="dxa"/>
              <w:end w:w="100" w:type="dxa"/>
            </w:tcMar>
            <w:vAlign w:val="top"/>
          </w:tcPr>
          <w:p>
            <w:pPr>
              <w:spacing w:before="0" w:after="30" w:line="245" w:lineRule="auto"/>
            </w:pPr>
            <w:r>
              <w:rPr>
                <w:rFonts w:ascii="Calibri" w:hAnsi="Calibri"/>
                <w:color w:val="18263A"/>
                <w:sz w:val="15"/>
              </w:rPr>
              <w:t>Reliability attracts volume without authority or return.</w:t>
            </w:r>
          </w:p>
        </w:tc>
        <w:tc>
          <w:tcPr>
            <w:tcW w:type="dxa" w:w="2180"/>
            <w:tcMar>
              <w:top w:w="80" w:type="dxa"/>
              <w:start w:w="100" w:type="dxa"/>
              <w:bottom w:w="80" w:type="dxa"/>
              <w:end w:w="100" w:type="dxa"/>
            </w:tcMar>
            <w:vAlign w:val="top"/>
          </w:tcPr>
          <w:p>
            <w:pPr>
              <w:spacing w:before="0" w:after="30" w:line="245" w:lineRule="auto"/>
            </w:pPr>
            <w:r>
              <w:rPr>
                <w:rFonts w:ascii="Calibri" w:hAnsi="Calibri"/>
                <w:color w:val="18263A"/>
                <w:sz w:val="15"/>
              </w:rPr>
              <w:t>High performers carry departments; burnout and stalled recognition recur.</w:t>
            </w:r>
          </w:p>
        </w:tc>
        <w:tc>
          <w:tcPr>
            <w:tcW w:type="dxa" w:w="1840"/>
            <w:tcMar>
              <w:top w:w="80" w:type="dxa"/>
              <w:start w:w="100" w:type="dxa"/>
              <w:bottom w:w="80" w:type="dxa"/>
              <w:end w:w="100" w:type="dxa"/>
            </w:tcMar>
            <w:vAlign w:val="top"/>
          </w:tcPr>
          <w:p>
            <w:pPr>
              <w:spacing w:before="0" w:after="30" w:line="245" w:lineRule="auto"/>
            </w:pPr>
            <w:r>
              <w:rPr>
                <w:rFonts w:ascii="Calibri" w:hAnsi="Calibri"/>
                <w:color w:val="18263A"/>
                <w:sz w:val="15"/>
              </w:rPr>
              <w:t>Read complexity, authority and return.</w:t>
            </w:r>
          </w:p>
        </w:tc>
        <w:tc>
          <w:tcPr>
            <w:tcW w:type="dxa" w:w="1960"/>
            <w:tcMar>
              <w:top w:w="80" w:type="dxa"/>
              <w:start w:w="100" w:type="dxa"/>
              <w:bottom w:w="80" w:type="dxa"/>
              <w:end w:w="100" w:type="dxa"/>
            </w:tcMar>
            <w:vAlign w:val="top"/>
          </w:tcPr>
          <w:p>
            <w:pPr>
              <w:spacing w:before="0" w:after="30" w:line="245" w:lineRule="auto"/>
            </w:pPr>
            <w:r>
              <w:rPr>
                <w:rFonts w:ascii="Calibri" w:hAnsi="Calibri"/>
                <w:color w:val="18263A"/>
                <w:sz w:val="15"/>
              </w:rPr>
              <w:t>Negotiate, bound or stop the expansion?</w:t>
            </w:r>
          </w:p>
        </w:tc>
      </w:tr>
      <w:tr>
        <w:trPr>
          <w:cantSplit/>
        </w:trPr>
        <w:tc>
          <w:tcPr>
            <w:tcW w:type="dxa" w:w="3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7</w:t>
            </w:r>
          </w:p>
        </w:tc>
        <w:tc>
          <w:tcPr>
            <w:tcW w:type="dxa" w:w="13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Prove work with no blueprint</w:t>
            </w:r>
          </w:p>
        </w:tc>
        <w:tc>
          <w:tcPr>
            <w:tcW w:type="dxa" w:w="7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Core</w:t>
            </w:r>
          </w:p>
        </w:tc>
        <w:tc>
          <w:tcPr>
            <w:tcW w:type="dxa" w:w="19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Foundational work becomes invisible because no baseline existed.</w:t>
            </w:r>
          </w:p>
        </w:tc>
        <w:tc>
          <w:tcPr>
            <w:tcW w:type="dxa" w:w="21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Institutional knowledge and invisible contribution recur.</w:t>
            </w:r>
          </w:p>
        </w:tc>
        <w:tc>
          <w:tcPr>
            <w:tcW w:type="dxa" w:w="184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Reconstruct problem, judgment, result and formation.</w:t>
            </w:r>
          </w:p>
        </w:tc>
        <w:tc>
          <w:tcPr>
            <w:tcW w:type="dxa" w:w="19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How do I make this legible?</w:t>
            </w:r>
          </w:p>
        </w:tc>
      </w:tr>
      <w:tr>
        <w:trPr>
          <w:cantSplit/>
        </w:trPr>
        <w:tc>
          <w:tcPr>
            <w:tcW w:type="dxa" w:w="360"/>
            <w:tcMar>
              <w:top w:w="80" w:type="dxa"/>
              <w:start w:w="100" w:type="dxa"/>
              <w:bottom w:w="80" w:type="dxa"/>
              <w:end w:w="100" w:type="dxa"/>
            </w:tcMar>
            <w:vAlign w:val="top"/>
          </w:tcPr>
          <w:p>
            <w:pPr>
              <w:spacing w:before="0" w:after="30" w:line="245" w:lineRule="auto"/>
            </w:pPr>
            <w:r>
              <w:rPr>
                <w:rFonts w:ascii="Calibri" w:hAnsi="Calibri"/>
                <w:color w:val="18263A"/>
                <w:sz w:val="15"/>
              </w:rPr>
              <w:t>8</w:t>
            </w:r>
          </w:p>
        </w:tc>
        <w:tc>
          <w:tcPr>
            <w:tcW w:type="dxa" w:w="1380"/>
            <w:tcMar>
              <w:top w:w="80" w:type="dxa"/>
              <w:start w:w="100" w:type="dxa"/>
              <w:bottom w:w="80" w:type="dxa"/>
              <w:end w:w="100" w:type="dxa"/>
            </w:tcMar>
            <w:vAlign w:val="top"/>
          </w:tcPr>
          <w:p>
            <w:pPr>
              <w:spacing w:before="0" w:after="30" w:line="245" w:lineRule="auto"/>
            </w:pPr>
            <w:r>
              <w:rPr>
                <w:rFonts w:ascii="Calibri" w:hAnsi="Calibri"/>
                <w:color w:val="18263A"/>
                <w:sz w:val="15"/>
              </w:rPr>
              <w:t>Show judgment in an interview</w:t>
            </w:r>
          </w:p>
        </w:tc>
        <w:tc>
          <w:tcPr>
            <w:tcW w:type="dxa" w:w="720"/>
            <w:tcMar>
              <w:top w:w="80" w:type="dxa"/>
              <w:start w:w="100" w:type="dxa"/>
              <w:bottom w:w="80" w:type="dxa"/>
              <w:end w:w="100" w:type="dxa"/>
            </w:tcMar>
            <w:vAlign w:val="top"/>
          </w:tcPr>
          <w:p>
            <w:pPr>
              <w:spacing w:before="0" w:after="30" w:line="245" w:lineRule="auto"/>
            </w:pPr>
            <w:r>
              <w:rPr>
                <w:rFonts w:ascii="Calibri" w:hAnsi="Calibri"/>
                <w:color w:val="18263A"/>
                <w:sz w:val="15"/>
              </w:rPr>
              <w:t>Secondary / generic</w:t>
            </w:r>
          </w:p>
        </w:tc>
        <w:tc>
          <w:tcPr>
            <w:tcW w:type="dxa" w:w="1960"/>
            <w:tcMar>
              <w:top w:w="80" w:type="dxa"/>
              <w:start w:w="100" w:type="dxa"/>
              <w:bottom w:w="80" w:type="dxa"/>
              <w:end w:w="100" w:type="dxa"/>
            </w:tcMar>
            <w:vAlign w:val="top"/>
          </w:tcPr>
          <w:p>
            <w:pPr>
              <w:spacing w:before="0" w:after="30" w:line="245" w:lineRule="auto"/>
            </w:pPr>
            <w:r>
              <w:rPr>
                <w:rFonts w:ascii="Calibri" w:hAnsi="Calibri"/>
                <w:color w:val="18263A"/>
                <w:sz w:val="15"/>
              </w:rPr>
              <w:t>Project summaries hide judgment.</w:t>
            </w:r>
          </w:p>
        </w:tc>
        <w:tc>
          <w:tcPr>
            <w:tcW w:type="dxa" w:w="2180"/>
            <w:tcMar>
              <w:top w:w="80" w:type="dxa"/>
              <w:start w:w="100" w:type="dxa"/>
              <w:bottom w:w="80" w:type="dxa"/>
              <w:end w:w="100" w:type="dxa"/>
            </w:tcMar>
            <w:vAlign w:val="top"/>
          </w:tcPr>
          <w:p>
            <w:pPr>
              <w:spacing w:before="0" w:after="30" w:line="245" w:lineRule="auto"/>
            </w:pPr>
            <w:r>
              <w:rPr>
                <w:rFonts w:ascii="Calibri" w:hAnsi="Calibri"/>
                <w:color w:val="18263A"/>
                <w:sz w:val="15"/>
              </w:rPr>
              <w:t>Interview translation appears, but less urgently than industry change.</w:t>
            </w:r>
          </w:p>
        </w:tc>
        <w:tc>
          <w:tcPr>
            <w:tcW w:type="dxa" w:w="1840"/>
            <w:tcMar>
              <w:top w:w="80" w:type="dxa"/>
              <w:start w:w="100" w:type="dxa"/>
              <w:bottom w:w="80" w:type="dxa"/>
              <w:end w:w="100" w:type="dxa"/>
            </w:tcMar>
            <w:vAlign w:val="top"/>
          </w:tcPr>
          <w:p>
            <w:pPr>
              <w:spacing w:before="0" w:after="30" w:line="245" w:lineRule="auto"/>
            </w:pPr>
            <w:r>
              <w:rPr>
                <w:rFonts w:ascii="Calibri" w:hAnsi="Calibri"/>
                <w:color w:val="18263A"/>
                <w:sz w:val="15"/>
              </w:rPr>
              <w:t>Translate decision process.</w:t>
            </w:r>
          </w:p>
        </w:tc>
        <w:tc>
          <w:tcPr>
            <w:tcW w:type="dxa" w:w="1960"/>
            <w:tcMar>
              <w:top w:w="80" w:type="dxa"/>
              <w:start w:w="100" w:type="dxa"/>
              <w:bottom w:w="80" w:type="dxa"/>
              <w:end w:w="100" w:type="dxa"/>
            </w:tcMar>
            <w:vAlign w:val="top"/>
          </w:tcPr>
          <w:p>
            <w:pPr>
              <w:spacing w:before="0" w:after="30" w:line="245" w:lineRule="auto"/>
            </w:pPr>
            <w:r>
              <w:rPr>
                <w:rFonts w:ascii="Calibri" w:hAnsi="Calibri"/>
                <w:color w:val="18263A"/>
                <w:sz w:val="15"/>
              </w:rPr>
              <w:t>How should I answer?</w:t>
            </w:r>
          </w:p>
        </w:tc>
      </w:tr>
      <w:tr>
        <w:trPr>
          <w:cantSplit/>
        </w:trPr>
        <w:tc>
          <w:tcPr>
            <w:tcW w:type="dxa" w:w="3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9</w:t>
            </w:r>
          </w:p>
        </w:tc>
        <w:tc>
          <w:tcPr>
            <w:tcW w:type="dxa" w:w="13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Prepare before a layoff</w:t>
            </w:r>
          </w:p>
        </w:tc>
        <w:tc>
          <w:tcPr>
            <w:tcW w:type="dxa" w:w="7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Core</w:t>
            </w:r>
          </w:p>
        </w:tc>
        <w:tc>
          <w:tcPr>
            <w:tcW w:type="dxa" w:w="19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Access and context disappear before evidence is reconstructed.</w:t>
            </w:r>
          </w:p>
        </w:tc>
        <w:tc>
          <w:tcPr>
            <w:tcW w:type="dxa" w:w="21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Layoff shock, long tenure, benefits and uncertainty recur.</w:t>
            </w:r>
          </w:p>
        </w:tc>
        <w:tc>
          <w:tcPr>
            <w:tcW w:type="dxa" w:w="184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Preserve permitted proof before urgency.</w:t>
            </w:r>
          </w:p>
        </w:tc>
        <w:tc>
          <w:tcPr>
            <w:tcW w:type="dxa" w:w="19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What can I protect now?</w:t>
            </w:r>
          </w:p>
        </w:tc>
      </w:tr>
      <w:tr>
        <w:trPr>
          <w:cantSplit/>
        </w:trPr>
        <w:tc>
          <w:tcPr>
            <w:tcW w:type="dxa" w:w="360"/>
            <w:tcMar>
              <w:top w:w="80" w:type="dxa"/>
              <w:start w:w="100" w:type="dxa"/>
              <w:bottom w:w="80" w:type="dxa"/>
              <w:end w:w="100" w:type="dxa"/>
            </w:tcMar>
            <w:vAlign w:val="top"/>
          </w:tcPr>
          <w:p>
            <w:pPr>
              <w:spacing w:before="0" w:after="30" w:line="245" w:lineRule="auto"/>
            </w:pPr>
            <w:r>
              <w:rPr>
                <w:rFonts w:ascii="Calibri" w:hAnsi="Calibri"/>
                <w:color w:val="18263A"/>
                <w:sz w:val="15"/>
              </w:rPr>
              <w:t>10</w:t>
            </w:r>
          </w:p>
        </w:tc>
        <w:tc>
          <w:tcPr>
            <w:tcW w:type="dxa" w:w="1380"/>
            <w:tcMar>
              <w:top w:w="80" w:type="dxa"/>
              <w:start w:w="100" w:type="dxa"/>
              <w:bottom w:w="80" w:type="dxa"/>
              <w:end w:w="100" w:type="dxa"/>
            </w:tcMar>
            <w:vAlign w:val="top"/>
          </w:tcPr>
          <w:p>
            <w:pPr>
              <w:spacing w:before="0" w:after="30" w:line="245" w:lineRule="auto"/>
            </w:pPr>
            <w:r>
              <w:rPr>
                <w:rFonts w:ascii="Calibri" w:hAnsi="Calibri"/>
                <w:color w:val="18263A"/>
                <w:sz w:val="15"/>
              </w:rPr>
              <w:t>Stay valuable as AI changes work</w:t>
            </w:r>
          </w:p>
        </w:tc>
        <w:tc>
          <w:tcPr>
            <w:tcW w:type="dxa" w:w="720"/>
            <w:tcMar>
              <w:top w:w="80" w:type="dxa"/>
              <w:start w:w="100" w:type="dxa"/>
              <w:bottom w:w="80" w:type="dxa"/>
              <w:end w:w="100" w:type="dxa"/>
            </w:tcMar>
            <w:vAlign w:val="top"/>
          </w:tcPr>
          <w:p>
            <w:pPr>
              <w:spacing w:before="0" w:after="30" w:line="245" w:lineRule="auto"/>
            </w:pPr>
            <w:r>
              <w:rPr>
                <w:rFonts w:ascii="Calibri" w:hAnsi="Calibri"/>
                <w:color w:val="18263A"/>
                <w:sz w:val="15"/>
              </w:rPr>
              <w:t>Core</w:t>
            </w:r>
          </w:p>
        </w:tc>
        <w:tc>
          <w:tcPr>
            <w:tcW w:type="dxa" w:w="1960"/>
            <w:tcMar>
              <w:top w:w="80" w:type="dxa"/>
              <w:start w:w="100" w:type="dxa"/>
              <w:bottom w:w="80" w:type="dxa"/>
              <w:end w:w="100" w:type="dxa"/>
            </w:tcMar>
            <w:vAlign w:val="top"/>
          </w:tcPr>
          <w:p>
            <w:pPr>
              <w:spacing w:before="0" w:after="30" w:line="245" w:lineRule="auto"/>
            </w:pPr>
            <w:r>
              <w:rPr>
                <w:rFonts w:ascii="Calibri" w:hAnsi="Calibri"/>
                <w:color w:val="18263A"/>
                <w:sz w:val="15"/>
              </w:rPr>
              <w:t>Tasks move to AI while accountability remains human.</w:t>
            </w:r>
          </w:p>
        </w:tc>
        <w:tc>
          <w:tcPr>
            <w:tcW w:type="dxa" w:w="2180"/>
            <w:tcMar>
              <w:top w:w="80" w:type="dxa"/>
              <w:start w:w="100" w:type="dxa"/>
              <w:bottom w:w="80" w:type="dxa"/>
              <w:end w:w="100" w:type="dxa"/>
            </w:tcMar>
            <w:vAlign w:val="top"/>
          </w:tcPr>
          <w:p>
            <w:pPr>
              <w:spacing w:before="0" w:after="30" w:line="245" w:lineRule="auto"/>
            </w:pPr>
            <w:r>
              <w:rPr>
                <w:rFonts w:ascii="Calibri" w:hAnsi="Calibri"/>
                <w:color w:val="18263A"/>
                <w:sz w:val="15"/>
              </w:rPr>
              <w:t>AI layoffs, degraded decisions and loss of practice recur.</w:t>
            </w:r>
          </w:p>
        </w:tc>
        <w:tc>
          <w:tcPr>
            <w:tcW w:type="dxa" w:w="1840"/>
            <w:tcMar>
              <w:top w:w="80" w:type="dxa"/>
              <w:start w:w="100" w:type="dxa"/>
              <w:bottom w:w="80" w:type="dxa"/>
              <w:end w:w="100" w:type="dxa"/>
            </w:tcMar>
            <w:vAlign w:val="top"/>
          </w:tcPr>
          <w:p>
            <w:pPr>
              <w:spacing w:before="0" w:after="30" w:line="245" w:lineRule="auto"/>
            </w:pPr>
            <w:r>
              <w:rPr>
                <w:rFonts w:ascii="Calibri" w:hAnsi="Calibri"/>
                <w:color w:val="18263A"/>
                <w:sz w:val="15"/>
              </w:rPr>
              <w:t>Locate judgment, verification and consequence.</w:t>
            </w:r>
          </w:p>
        </w:tc>
        <w:tc>
          <w:tcPr>
            <w:tcW w:type="dxa" w:w="1960"/>
            <w:tcMar>
              <w:top w:w="80" w:type="dxa"/>
              <w:start w:w="100" w:type="dxa"/>
              <w:bottom w:w="80" w:type="dxa"/>
              <w:end w:w="100" w:type="dxa"/>
            </w:tcMar>
            <w:vAlign w:val="top"/>
          </w:tcPr>
          <w:p>
            <w:pPr>
              <w:spacing w:before="0" w:after="30" w:line="245" w:lineRule="auto"/>
            </w:pPr>
            <w:r>
              <w:rPr>
                <w:rFonts w:ascii="Calibri" w:hAnsi="Calibri"/>
                <w:color w:val="18263A"/>
                <w:sz w:val="15"/>
              </w:rPr>
              <w:t>What must remain mine?</w:t>
            </w:r>
          </w:p>
        </w:tc>
      </w:tr>
      <w:tr>
        <w:trPr>
          <w:cantSplit/>
        </w:trPr>
        <w:tc>
          <w:tcPr>
            <w:tcW w:type="dxa" w:w="3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11</w:t>
            </w:r>
          </w:p>
        </w:tc>
        <w:tc>
          <w:tcPr>
            <w:tcW w:type="dxa" w:w="13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Cannot quit yet</w:t>
            </w:r>
          </w:p>
        </w:tc>
        <w:tc>
          <w:tcPr>
            <w:tcW w:type="dxa" w:w="7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Core</w:t>
            </w:r>
          </w:p>
        </w:tc>
        <w:tc>
          <w:tcPr>
            <w:tcW w:type="dxa" w:w="19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Leaving advice ignores pay, benefits and caregiving.</w:t>
            </w:r>
          </w:p>
        </w:tc>
        <w:tc>
          <w:tcPr>
            <w:tcW w:type="dxa" w:w="21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Financial and health constraints recur strongly.</w:t>
            </w:r>
          </w:p>
        </w:tc>
        <w:tc>
          <w:tcPr>
            <w:tcW w:type="dxa" w:w="184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Build evidence and a bridge while staying.</w:t>
            </w:r>
          </w:p>
        </w:tc>
        <w:tc>
          <w:tcPr>
            <w:tcW w:type="dxa" w:w="19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What can I do before I can leave?</w:t>
            </w:r>
          </w:p>
        </w:tc>
      </w:tr>
      <w:tr>
        <w:trPr>
          <w:cantSplit/>
        </w:trPr>
        <w:tc>
          <w:tcPr>
            <w:tcW w:type="dxa" w:w="360"/>
            <w:tcMar>
              <w:top w:w="80" w:type="dxa"/>
              <w:start w:w="100" w:type="dxa"/>
              <w:bottom w:w="80" w:type="dxa"/>
              <w:end w:w="100" w:type="dxa"/>
            </w:tcMar>
            <w:vAlign w:val="top"/>
          </w:tcPr>
          <w:p>
            <w:pPr>
              <w:spacing w:before="0" w:after="30" w:line="245" w:lineRule="auto"/>
            </w:pPr>
            <w:r>
              <w:rPr>
                <w:rFonts w:ascii="Calibri" w:hAnsi="Calibri"/>
                <w:color w:val="18263A"/>
                <w:sz w:val="15"/>
              </w:rPr>
              <w:t>12</w:t>
            </w:r>
          </w:p>
        </w:tc>
        <w:tc>
          <w:tcPr>
            <w:tcW w:type="dxa" w:w="1380"/>
            <w:tcMar>
              <w:top w:w="80" w:type="dxa"/>
              <w:start w:w="100" w:type="dxa"/>
              <w:bottom w:w="80" w:type="dxa"/>
              <w:end w:w="100" w:type="dxa"/>
            </w:tcMar>
            <w:vAlign w:val="top"/>
          </w:tcPr>
          <w:p>
            <w:pPr>
              <w:spacing w:before="0" w:after="30" w:line="245" w:lineRule="auto"/>
            </w:pPr>
            <w:r>
              <w:rPr>
                <w:rFonts w:ascii="Calibri" w:hAnsi="Calibri"/>
                <w:color w:val="18263A"/>
                <w:sz w:val="15"/>
              </w:rPr>
              <w:t>Build options without quitting</w:t>
            </w:r>
          </w:p>
        </w:tc>
        <w:tc>
          <w:tcPr>
            <w:tcW w:type="dxa" w:w="720"/>
            <w:tcMar>
              <w:top w:w="80" w:type="dxa"/>
              <w:start w:w="100" w:type="dxa"/>
              <w:bottom w:w="80" w:type="dxa"/>
              <w:end w:w="100" w:type="dxa"/>
            </w:tcMar>
            <w:vAlign w:val="top"/>
          </w:tcPr>
          <w:p>
            <w:pPr>
              <w:spacing w:before="0" w:after="30" w:line="245" w:lineRule="auto"/>
            </w:pPr>
            <w:r>
              <w:rPr>
                <w:rFonts w:ascii="Calibri" w:hAnsi="Calibri"/>
                <w:color w:val="18263A"/>
                <w:sz w:val="15"/>
              </w:rPr>
              <w:t>Core</w:t>
            </w:r>
          </w:p>
        </w:tc>
        <w:tc>
          <w:tcPr>
            <w:tcW w:type="dxa" w:w="1960"/>
            <w:tcMar>
              <w:top w:w="80" w:type="dxa"/>
              <w:start w:w="100" w:type="dxa"/>
              <w:bottom w:w="80" w:type="dxa"/>
              <w:end w:w="100" w:type="dxa"/>
            </w:tcMar>
            <w:vAlign w:val="top"/>
          </w:tcPr>
          <w:p>
            <w:pPr>
              <w:spacing w:before="0" w:after="30" w:line="245" w:lineRule="auto"/>
            </w:pPr>
            <w:r>
              <w:rPr>
                <w:rFonts w:ascii="Calibri" w:hAnsi="Calibri"/>
                <w:color w:val="18263A"/>
                <w:sz w:val="15"/>
              </w:rPr>
              <w:t>Urgency arrives before options exist.</w:t>
            </w:r>
          </w:p>
        </w:tc>
        <w:tc>
          <w:tcPr>
            <w:tcW w:type="dxa" w:w="2180"/>
            <w:tcMar>
              <w:top w:w="80" w:type="dxa"/>
              <w:start w:w="100" w:type="dxa"/>
              <w:bottom w:w="80" w:type="dxa"/>
              <w:end w:w="100" w:type="dxa"/>
            </w:tcMar>
            <w:vAlign w:val="top"/>
          </w:tcPr>
          <w:p>
            <w:pPr>
              <w:spacing w:before="0" w:after="30" w:line="245" w:lineRule="auto"/>
            </w:pPr>
            <w:r>
              <w:rPr>
                <w:rFonts w:ascii="Calibri" w:hAnsi="Calibri"/>
                <w:color w:val="18263A"/>
                <w:sz w:val="15"/>
              </w:rPr>
              <w:t>People weigh school, debt, networking, internal and external moves.</w:t>
            </w:r>
          </w:p>
        </w:tc>
        <w:tc>
          <w:tcPr>
            <w:tcW w:type="dxa" w:w="1840"/>
            <w:tcMar>
              <w:top w:w="80" w:type="dxa"/>
              <w:start w:w="100" w:type="dxa"/>
              <w:bottom w:w="80" w:type="dxa"/>
              <w:end w:w="100" w:type="dxa"/>
            </w:tcMar>
            <w:vAlign w:val="top"/>
          </w:tcPr>
          <w:p>
            <w:pPr>
              <w:spacing w:before="0" w:after="30" w:line="245" w:lineRule="auto"/>
            </w:pPr>
            <w:r>
              <w:rPr>
                <w:rFonts w:ascii="Calibri" w:hAnsi="Calibri"/>
                <w:color w:val="18263A"/>
                <w:sz w:val="15"/>
              </w:rPr>
              <w:t>Build exposure, proof and relationships in advance.</w:t>
            </w:r>
          </w:p>
        </w:tc>
        <w:tc>
          <w:tcPr>
            <w:tcW w:type="dxa" w:w="1960"/>
            <w:tcMar>
              <w:top w:w="80" w:type="dxa"/>
              <w:start w:w="100" w:type="dxa"/>
              <w:bottom w:w="80" w:type="dxa"/>
              <w:end w:w="100" w:type="dxa"/>
            </w:tcMar>
            <w:vAlign w:val="top"/>
          </w:tcPr>
          <w:p>
            <w:pPr>
              <w:spacing w:before="0" w:after="30" w:line="245" w:lineRule="auto"/>
            </w:pPr>
            <w:r>
              <w:rPr>
                <w:rFonts w:ascii="Calibri" w:hAnsi="Calibri"/>
                <w:color w:val="18263A"/>
                <w:sz w:val="15"/>
              </w:rPr>
              <w:t>Which option can I test safely?</w:t>
            </w:r>
          </w:p>
        </w:tc>
      </w:tr>
      <w:tr>
        <w:trPr>
          <w:cantSplit/>
        </w:trPr>
        <w:tc>
          <w:tcPr>
            <w:tcW w:type="dxa" w:w="3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13</w:t>
            </w:r>
          </w:p>
        </w:tc>
        <w:tc>
          <w:tcPr>
            <w:tcW w:type="dxa" w:w="13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Skills too specific to company</w:t>
            </w:r>
          </w:p>
        </w:tc>
        <w:tc>
          <w:tcPr>
            <w:tcW w:type="dxa" w:w="7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Core</w:t>
            </w:r>
          </w:p>
        </w:tc>
        <w:tc>
          <w:tcPr>
            <w:tcW w:type="dxa" w:w="19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Internal language makes value hard to carry.</w:t>
            </w:r>
          </w:p>
        </w:tc>
        <w:tc>
          <w:tcPr>
            <w:tcW w:type="dxa" w:w="21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Long tenure and niche expertise do not guarantee outside legibility.</w:t>
            </w:r>
          </w:p>
        </w:tc>
        <w:tc>
          <w:tcPr>
            <w:tcW w:type="dxa" w:w="184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Separate company nouns from portable judgment.</w:t>
            </w:r>
          </w:p>
        </w:tc>
        <w:tc>
          <w:tcPr>
            <w:tcW w:type="dxa" w:w="19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What actually transfers?</w:t>
            </w:r>
          </w:p>
        </w:tc>
      </w:tr>
      <w:tr>
        <w:trPr>
          <w:cantSplit/>
        </w:trPr>
        <w:tc>
          <w:tcPr>
            <w:tcW w:type="dxa" w:w="360"/>
            <w:tcMar>
              <w:top w:w="80" w:type="dxa"/>
              <w:start w:w="100" w:type="dxa"/>
              <w:bottom w:w="80" w:type="dxa"/>
              <w:end w:w="100" w:type="dxa"/>
            </w:tcMar>
            <w:vAlign w:val="top"/>
          </w:tcPr>
          <w:p>
            <w:pPr>
              <w:spacing w:before="0" w:after="30" w:line="245" w:lineRule="auto"/>
            </w:pPr>
            <w:r>
              <w:rPr>
                <w:rFonts w:ascii="Calibri" w:hAnsi="Calibri"/>
                <w:color w:val="18263A"/>
                <w:sz w:val="15"/>
              </w:rPr>
              <w:t>14</w:t>
            </w:r>
          </w:p>
        </w:tc>
        <w:tc>
          <w:tcPr>
            <w:tcW w:type="dxa" w:w="1380"/>
            <w:tcMar>
              <w:top w:w="80" w:type="dxa"/>
              <w:start w:w="100" w:type="dxa"/>
              <w:bottom w:w="80" w:type="dxa"/>
              <w:end w:w="100" w:type="dxa"/>
            </w:tcMar>
            <w:vAlign w:val="top"/>
          </w:tcPr>
          <w:p>
            <w:pPr>
              <w:spacing w:before="0" w:after="30" w:line="245" w:lineRule="auto"/>
            </w:pPr>
            <w:r>
              <w:rPr>
                <w:rFonts w:ascii="Calibri" w:hAnsi="Calibri"/>
                <w:color w:val="18263A"/>
                <w:sz w:val="15"/>
              </w:rPr>
              <w:t>Stay relevant after 40</w:t>
            </w:r>
          </w:p>
        </w:tc>
        <w:tc>
          <w:tcPr>
            <w:tcW w:type="dxa" w:w="720"/>
            <w:tcMar>
              <w:top w:w="80" w:type="dxa"/>
              <w:start w:w="100" w:type="dxa"/>
              <w:bottom w:w="80" w:type="dxa"/>
              <w:end w:w="100" w:type="dxa"/>
            </w:tcMar>
            <w:vAlign w:val="top"/>
          </w:tcPr>
          <w:p>
            <w:pPr>
              <w:spacing w:before="0" w:after="30" w:line="245" w:lineRule="auto"/>
            </w:pPr>
            <w:r>
              <w:rPr>
                <w:rFonts w:ascii="Calibri" w:hAnsi="Calibri"/>
                <w:color w:val="18263A"/>
                <w:sz w:val="15"/>
              </w:rPr>
              <w:t>Core</w:t>
            </w:r>
          </w:p>
        </w:tc>
        <w:tc>
          <w:tcPr>
            <w:tcW w:type="dxa" w:w="1960"/>
            <w:tcMar>
              <w:top w:w="80" w:type="dxa"/>
              <w:start w:w="100" w:type="dxa"/>
              <w:bottom w:w="80" w:type="dxa"/>
              <w:end w:w="100" w:type="dxa"/>
            </w:tcMar>
            <w:vAlign w:val="top"/>
          </w:tcPr>
          <w:p>
            <w:pPr>
              <w:spacing w:before="0" w:after="30" w:line="245" w:lineRule="auto"/>
            </w:pPr>
            <w:r>
              <w:rPr>
                <w:rFonts w:ascii="Calibri" w:hAnsi="Calibri"/>
                <w:color w:val="18263A"/>
                <w:sz w:val="15"/>
              </w:rPr>
              <w:t>Experience can be read as cost, age or rigidity.</w:t>
            </w:r>
          </w:p>
        </w:tc>
        <w:tc>
          <w:tcPr>
            <w:tcW w:type="dxa" w:w="2180"/>
            <w:tcMar>
              <w:top w:w="80" w:type="dxa"/>
              <w:start w:w="100" w:type="dxa"/>
              <w:bottom w:w="80" w:type="dxa"/>
              <w:end w:w="100" w:type="dxa"/>
            </w:tcMar>
            <w:vAlign w:val="top"/>
          </w:tcPr>
          <w:p>
            <w:pPr>
              <w:spacing w:before="0" w:after="30" w:line="245" w:lineRule="auto"/>
            </w:pPr>
            <w:r>
              <w:rPr>
                <w:rFonts w:ascii="Calibri" w:hAnsi="Calibri"/>
                <w:color w:val="18263A"/>
                <w:sz w:val="15"/>
              </w:rPr>
              <w:t>Age bias, hidden years and re-entry fear recur.</w:t>
            </w:r>
          </w:p>
        </w:tc>
        <w:tc>
          <w:tcPr>
            <w:tcW w:type="dxa" w:w="1840"/>
            <w:tcMar>
              <w:top w:w="80" w:type="dxa"/>
              <w:start w:w="100" w:type="dxa"/>
              <w:bottom w:w="80" w:type="dxa"/>
              <w:end w:w="100" w:type="dxa"/>
            </w:tcMar>
            <w:vAlign w:val="top"/>
          </w:tcPr>
          <w:p>
            <w:pPr>
              <w:spacing w:before="0" w:after="30" w:line="245" w:lineRule="auto"/>
            </w:pPr>
            <w:r>
              <w:rPr>
                <w:rFonts w:ascii="Calibri" w:hAnsi="Calibri"/>
                <w:color w:val="18263A"/>
                <w:sz w:val="15"/>
              </w:rPr>
              <w:t>Curate range, current learning and senior value.</w:t>
            </w:r>
          </w:p>
        </w:tc>
        <w:tc>
          <w:tcPr>
            <w:tcW w:type="dxa" w:w="1960"/>
            <w:tcMar>
              <w:top w:w="80" w:type="dxa"/>
              <w:start w:w="100" w:type="dxa"/>
              <w:bottom w:w="80" w:type="dxa"/>
              <w:end w:w="100" w:type="dxa"/>
            </w:tcMar>
            <w:vAlign w:val="top"/>
          </w:tcPr>
          <w:p>
            <w:pPr>
              <w:spacing w:before="0" w:after="30" w:line="245" w:lineRule="auto"/>
            </w:pPr>
            <w:r>
              <w:rPr>
                <w:rFonts w:ascii="Calibri" w:hAnsi="Calibri"/>
                <w:color w:val="18263A"/>
                <w:sz w:val="15"/>
              </w:rPr>
              <w:t>How do I remain current without erasing history?</w:t>
            </w:r>
          </w:p>
        </w:tc>
      </w:tr>
      <w:tr>
        <w:trPr>
          <w:cantSplit/>
        </w:trPr>
        <w:tc>
          <w:tcPr>
            <w:tcW w:type="dxa" w:w="3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15</w:t>
            </w:r>
          </w:p>
        </w:tc>
        <w:tc>
          <w:tcPr>
            <w:tcW w:type="dxa" w:w="13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Why high performers get stuck</w:t>
            </w:r>
          </w:p>
        </w:tc>
        <w:tc>
          <w:tcPr>
            <w:tcW w:type="dxa" w:w="7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Core but broad</w:t>
            </w:r>
          </w:p>
        </w:tc>
        <w:tc>
          <w:tcPr>
            <w:tcW w:type="dxa" w:w="19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Dependability can create workload without sponsorship or visibility.</w:t>
            </w:r>
          </w:p>
        </w:tc>
        <w:tc>
          <w:tcPr>
            <w:tcW w:type="dxa" w:w="21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Declining recognition and blocked promotion recur.</w:t>
            </w:r>
          </w:p>
        </w:tc>
        <w:tc>
          <w:tcPr>
            <w:tcW w:type="dxa" w:w="184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Separate value, visibility and option-building.</w:t>
            </w:r>
          </w:p>
        </w:tc>
        <w:tc>
          <w:tcPr>
            <w:tcW w:type="dxa" w:w="19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Is the organization still investing in me?</w:t>
            </w:r>
          </w:p>
        </w:tc>
      </w:tr>
      <w:tr>
        <w:trPr>
          <w:cantSplit/>
        </w:trPr>
        <w:tc>
          <w:tcPr>
            <w:tcW w:type="dxa" w:w="360"/>
            <w:tcMar>
              <w:top w:w="80" w:type="dxa"/>
              <w:start w:w="100" w:type="dxa"/>
              <w:bottom w:w="80" w:type="dxa"/>
              <w:end w:w="100" w:type="dxa"/>
            </w:tcMar>
            <w:vAlign w:val="top"/>
          </w:tcPr>
          <w:p>
            <w:pPr>
              <w:spacing w:before="0" w:after="30" w:line="245" w:lineRule="auto"/>
            </w:pPr>
            <w:r>
              <w:rPr>
                <w:rFonts w:ascii="Calibri" w:hAnsi="Calibri"/>
                <w:color w:val="18263A"/>
                <w:sz w:val="15"/>
              </w:rPr>
              <w:t>16</w:t>
            </w:r>
          </w:p>
        </w:tc>
        <w:tc>
          <w:tcPr>
            <w:tcW w:type="dxa" w:w="1380"/>
            <w:tcMar>
              <w:top w:w="80" w:type="dxa"/>
              <w:start w:w="100" w:type="dxa"/>
              <w:bottom w:w="80" w:type="dxa"/>
              <w:end w:w="100" w:type="dxa"/>
            </w:tcMar>
            <w:vAlign w:val="top"/>
          </w:tcPr>
          <w:p>
            <w:pPr>
              <w:spacing w:before="0" w:after="30" w:line="245" w:lineRule="auto"/>
            </w:pPr>
            <w:r>
              <w:rPr>
                <w:rFonts w:ascii="Calibri" w:hAnsi="Calibri"/>
                <w:color w:val="18263A"/>
                <w:sz w:val="15"/>
              </w:rPr>
              <w:t>Prove value when AI does task</w:t>
            </w:r>
          </w:p>
        </w:tc>
        <w:tc>
          <w:tcPr>
            <w:tcW w:type="dxa" w:w="720"/>
            <w:tcMar>
              <w:top w:w="80" w:type="dxa"/>
              <w:start w:w="100" w:type="dxa"/>
              <w:bottom w:w="80" w:type="dxa"/>
              <w:end w:w="100" w:type="dxa"/>
            </w:tcMar>
            <w:vAlign w:val="top"/>
          </w:tcPr>
          <w:p>
            <w:pPr>
              <w:spacing w:before="0" w:after="30" w:line="245" w:lineRule="auto"/>
            </w:pPr>
            <w:r>
              <w:rPr>
                <w:rFonts w:ascii="Calibri" w:hAnsi="Calibri"/>
                <w:color w:val="18263A"/>
                <w:sz w:val="15"/>
              </w:rPr>
              <w:t>Core</w:t>
            </w:r>
          </w:p>
        </w:tc>
        <w:tc>
          <w:tcPr>
            <w:tcW w:type="dxa" w:w="1960"/>
            <w:tcMar>
              <w:top w:w="80" w:type="dxa"/>
              <w:start w:w="100" w:type="dxa"/>
              <w:bottom w:w="80" w:type="dxa"/>
              <w:end w:w="100" w:type="dxa"/>
            </w:tcMar>
            <w:vAlign w:val="top"/>
          </w:tcPr>
          <w:p>
            <w:pPr>
              <w:spacing w:before="0" w:after="30" w:line="245" w:lineRule="auto"/>
            </w:pPr>
            <w:r>
              <w:rPr>
                <w:rFonts w:ascii="Calibri" w:hAnsi="Calibri"/>
                <w:color w:val="18263A"/>
                <w:sz w:val="15"/>
              </w:rPr>
              <w:t>Output is less differentiating when AI produces more of it.</w:t>
            </w:r>
          </w:p>
        </w:tc>
        <w:tc>
          <w:tcPr>
            <w:tcW w:type="dxa" w:w="2180"/>
            <w:tcMar>
              <w:top w:w="80" w:type="dxa"/>
              <w:start w:w="100" w:type="dxa"/>
              <w:bottom w:w="80" w:type="dxa"/>
              <w:end w:w="100" w:type="dxa"/>
            </w:tcMar>
            <w:vAlign w:val="top"/>
          </w:tcPr>
          <w:p>
            <w:pPr>
              <w:spacing w:before="0" w:after="30" w:line="245" w:lineRule="auto"/>
            </w:pPr>
            <w:r>
              <w:rPr>
                <w:rFonts w:ascii="Calibri" w:hAnsi="Calibri"/>
                <w:color w:val="18263A"/>
                <w:sz w:val="15"/>
              </w:rPr>
              <w:t>AI skills alone feel common; consequence still needs ownership.</w:t>
            </w:r>
          </w:p>
        </w:tc>
        <w:tc>
          <w:tcPr>
            <w:tcW w:type="dxa" w:w="1840"/>
            <w:tcMar>
              <w:top w:w="80" w:type="dxa"/>
              <w:start w:w="100" w:type="dxa"/>
              <w:bottom w:w="80" w:type="dxa"/>
              <w:end w:w="100" w:type="dxa"/>
            </w:tcMar>
            <w:vAlign w:val="top"/>
          </w:tcPr>
          <w:p>
            <w:pPr>
              <w:spacing w:before="0" w:after="30" w:line="245" w:lineRule="auto"/>
            </w:pPr>
            <w:r>
              <w:rPr>
                <w:rFonts w:ascii="Calibri" w:hAnsi="Calibri"/>
                <w:color w:val="18263A"/>
                <w:sz w:val="15"/>
              </w:rPr>
              <w:t>Document verification, judgment and outcome.</w:t>
            </w:r>
          </w:p>
        </w:tc>
        <w:tc>
          <w:tcPr>
            <w:tcW w:type="dxa" w:w="1960"/>
            <w:tcMar>
              <w:top w:w="80" w:type="dxa"/>
              <w:start w:w="100" w:type="dxa"/>
              <w:bottom w:w="80" w:type="dxa"/>
              <w:end w:w="100" w:type="dxa"/>
            </w:tcMar>
            <w:vAlign w:val="top"/>
          </w:tcPr>
          <w:p>
            <w:pPr>
              <w:spacing w:before="0" w:after="30" w:line="245" w:lineRule="auto"/>
            </w:pPr>
            <w:r>
              <w:rPr>
                <w:rFonts w:ascii="Calibri" w:hAnsi="Calibri"/>
                <w:color w:val="18263A"/>
                <w:sz w:val="15"/>
              </w:rPr>
              <w:t>How do I show value beyond output?</w:t>
            </w:r>
          </w:p>
        </w:tc>
      </w:tr>
      <w:tr>
        <w:trPr>
          <w:cantSplit/>
        </w:trPr>
        <w:tc>
          <w:tcPr>
            <w:tcW w:type="dxa" w:w="3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17</w:t>
            </w:r>
          </w:p>
        </w:tc>
        <w:tc>
          <w:tcPr>
            <w:tcW w:type="dxa" w:w="13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Skills that matter as AI changes work</w:t>
            </w:r>
          </w:p>
        </w:tc>
        <w:tc>
          <w:tcPr>
            <w:tcW w:type="dxa" w:w="7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Generic</w:t>
            </w:r>
          </w:p>
        </w:tc>
        <w:tc>
          <w:tcPr>
            <w:tcW w:type="dxa" w:w="19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Broad future-skills advice becomes interchangeable.</w:t>
            </w:r>
          </w:p>
        </w:tc>
        <w:tc>
          <w:tcPr>
            <w:tcW w:type="dxa" w:w="21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Upskilling appears often, but advice is already saturated.</w:t>
            </w:r>
          </w:p>
        </w:tc>
        <w:tc>
          <w:tcPr>
            <w:tcW w:type="dxa" w:w="184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Method is possible, but title does not own the niche.</w:t>
            </w:r>
          </w:p>
        </w:tc>
        <w:tc>
          <w:tcPr>
            <w:tcW w:type="dxa" w:w="19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What should I learn?</w:t>
            </w:r>
          </w:p>
        </w:tc>
      </w:tr>
      <w:tr>
        <w:trPr>
          <w:cantSplit/>
        </w:trPr>
        <w:tc>
          <w:tcPr>
            <w:tcW w:type="dxa" w:w="360"/>
            <w:tcMar>
              <w:top w:w="80" w:type="dxa"/>
              <w:start w:w="100" w:type="dxa"/>
              <w:bottom w:w="80" w:type="dxa"/>
              <w:end w:w="100" w:type="dxa"/>
            </w:tcMar>
            <w:vAlign w:val="top"/>
          </w:tcPr>
          <w:p>
            <w:pPr>
              <w:spacing w:before="0" w:after="30" w:line="245" w:lineRule="auto"/>
            </w:pPr>
            <w:r>
              <w:rPr>
                <w:rFonts w:ascii="Calibri" w:hAnsi="Calibri"/>
                <w:color w:val="18263A"/>
                <w:sz w:val="15"/>
              </w:rPr>
              <w:t>18</w:t>
            </w:r>
          </w:p>
        </w:tc>
        <w:tc>
          <w:tcPr>
            <w:tcW w:type="dxa" w:w="1380"/>
            <w:tcMar>
              <w:top w:w="80" w:type="dxa"/>
              <w:start w:w="100" w:type="dxa"/>
              <w:bottom w:w="80" w:type="dxa"/>
              <w:end w:w="100" w:type="dxa"/>
            </w:tcMar>
            <w:vAlign w:val="top"/>
          </w:tcPr>
          <w:p>
            <w:pPr>
              <w:spacing w:before="0" w:after="30" w:line="245" w:lineRule="auto"/>
            </w:pPr>
            <w:r>
              <w:rPr>
                <w:rFonts w:ascii="Calibri" w:hAnsi="Calibri"/>
                <w:color w:val="18263A"/>
                <w:sz w:val="15"/>
              </w:rPr>
              <w:t>AI changing middle management</w:t>
            </w:r>
          </w:p>
        </w:tc>
        <w:tc>
          <w:tcPr>
            <w:tcW w:type="dxa" w:w="720"/>
            <w:tcMar>
              <w:top w:w="80" w:type="dxa"/>
              <w:start w:w="100" w:type="dxa"/>
              <w:bottom w:w="80" w:type="dxa"/>
              <w:end w:w="100" w:type="dxa"/>
            </w:tcMar>
            <w:vAlign w:val="top"/>
          </w:tcPr>
          <w:p>
            <w:pPr>
              <w:spacing w:before="0" w:after="30" w:line="245" w:lineRule="auto"/>
            </w:pPr>
            <w:r>
              <w:rPr>
                <w:rFonts w:ascii="Calibri" w:hAnsi="Calibri"/>
                <w:color w:val="18263A"/>
                <w:sz w:val="15"/>
              </w:rPr>
              <w:t>Enterprise / indirect</w:t>
            </w:r>
          </w:p>
        </w:tc>
        <w:tc>
          <w:tcPr>
            <w:tcW w:type="dxa" w:w="1960"/>
            <w:tcMar>
              <w:top w:w="80" w:type="dxa"/>
              <w:start w:w="100" w:type="dxa"/>
              <w:bottom w:w="80" w:type="dxa"/>
              <w:end w:w="100" w:type="dxa"/>
            </w:tcMar>
            <w:vAlign w:val="top"/>
          </w:tcPr>
          <w:p>
            <w:pPr>
              <w:spacing w:before="0" w:after="30" w:line="245" w:lineRule="auto"/>
            </w:pPr>
            <w:r>
              <w:rPr>
                <w:rFonts w:ascii="Calibri" w:hAnsi="Calibri"/>
                <w:color w:val="18263A"/>
                <w:sz w:val="15"/>
              </w:rPr>
              <w:t>Management layers and accountability change.</w:t>
            </w:r>
          </w:p>
        </w:tc>
        <w:tc>
          <w:tcPr>
            <w:tcW w:type="dxa" w:w="2180"/>
            <w:tcMar>
              <w:top w:w="80" w:type="dxa"/>
              <w:start w:w="100" w:type="dxa"/>
              <w:bottom w:w="80" w:type="dxa"/>
              <w:end w:w="100" w:type="dxa"/>
            </w:tcMar>
            <w:vAlign w:val="top"/>
          </w:tcPr>
          <w:p>
            <w:pPr>
              <w:spacing w:before="0" w:after="30" w:line="245" w:lineRule="auto"/>
            </w:pPr>
            <w:r>
              <w:rPr>
                <w:rFonts w:ascii="Calibri" w:hAnsi="Calibri"/>
                <w:color w:val="18263A"/>
                <w:sz w:val="15"/>
              </w:rPr>
              <w:t>Flatter structures and manager uncertainty appear.</w:t>
            </w:r>
          </w:p>
        </w:tc>
        <w:tc>
          <w:tcPr>
            <w:tcW w:type="dxa" w:w="1840"/>
            <w:tcMar>
              <w:top w:w="80" w:type="dxa"/>
              <w:start w:w="100" w:type="dxa"/>
              <w:bottom w:w="80" w:type="dxa"/>
              <w:end w:w="100" w:type="dxa"/>
            </w:tcMar>
            <w:vAlign w:val="top"/>
          </w:tcPr>
          <w:p>
            <w:pPr>
              <w:spacing w:before="0" w:after="30" w:line="245" w:lineRule="auto"/>
            </w:pPr>
            <w:r>
              <w:rPr>
                <w:rFonts w:ascii="Calibri" w:hAnsi="Calibri"/>
                <w:color w:val="18263A"/>
                <w:sz w:val="15"/>
              </w:rPr>
              <w:t>Useful author-platform question, weaker viewer-first slot.</w:t>
            </w:r>
          </w:p>
        </w:tc>
        <w:tc>
          <w:tcPr>
            <w:tcW w:type="dxa" w:w="1960"/>
            <w:tcMar>
              <w:top w:w="80" w:type="dxa"/>
              <w:start w:w="100" w:type="dxa"/>
              <w:bottom w:w="80" w:type="dxa"/>
              <w:end w:w="100" w:type="dxa"/>
            </w:tcMar>
            <w:vAlign w:val="top"/>
          </w:tcPr>
          <w:p>
            <w:pPr>
              <w:spacing w:before="0" w:after="30" w:line="245" w:lineRule="auto"/>
            </w:pPr>
            <w:r>
              <w:rPr>
                <w:rFonts w:ascii="Calibri" w:hAnsi="Calibri"/>
                <w:color w:val="18263A"/>
                <w:sz w:val="15"/>
              </w:rPr>
              <w:t>What happens to my management path?</w:t>
            </w:r>
          </w:p>
        </w:tc>
      </w:tr>
      <w:tr>
        <w:trPr>
          <w:cantSplit/>
        </w:trPr>
        <w:tc>
          <w:tcPr>
            <w:tcW w:type="dxa" w:w="3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19</w:t>
            </w:r>
          </w:p>
        </w:tc>
        <w:tc>
          <w:tcPr>
            <w:tcW w:type="dxa" w:w="13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If AI does junior work</w:t>
            </w:r>
          </w:p>
        </w:tc>
        <w:tc>
          <w:tcPr>
            <w:tcW w:type="dxa" w:w="7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Enterprise / indirect</w:t>
            </w:r>
          </w:p>
        </w:tc>
        <w:tc>
          <w:tcPr>
            <w:tcW w:type="dxa" w:w="19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Apprenticeship pathways may weaken.</w:t>
            </w:r>
          </w:p>
        </w:tc>
        <w:tc>
          <w:tcPr>
            <w:tcW w:type="dxa" w:w="21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Foundational-practice concern appears, but mostly organizational.</w:t>
            </w:r>
          </w:p>
        </w:tc>
        <w:tc>
          <w:tcPr>
            <w:tcW w:type="dxa" w:w="184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Excellent book/speaking proof, not primary viewer sequence.</w:t>
            </w:r>
          </w:p>
        </w:tc>
        <w:tc>
          <w:tcPr>
            <w:tcW w:type="dxa" w:w="19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How will people learn?</w:t>
            </w:r>
          </w:p>
        </w:tc>
      </w:tr>
      <w:tr>
        <w:trPr>
          <w:cantSplit/>
        </w:trPr>
        <w:tc>
          <w:tcPr>
            <w:tcW w:type="dxa" w:w="360"/>
            <w:tcMar>
              <w:top w:w="80" w:type="dxa"/>
              <w:start w:w="100" w:type="dxa"/>
              <w:bottom w:w="80" w:type="dxa"/>
              <w:end w:w="100" w:type="dxa"/>
            </w:tcMar>
            <w:vAlign w:val="top"/>
          </w:tcPr>
          <w:p>
            <w:pPr>
              <w:spacing w:before="0" w:after="30" w:line="245" w:lineRule="auto"/>
            </w:pPr>
            <w:r>
              <w:rPr>
                <w:rFonts w:ascii="Calibri" w:hAnsi="Calibri"/>
                <w:color w:val="18263A"/>
                <w:sz w:val="15"/>
              </w:rPr>
              <w:t>20</w:t>
            </w:r>
          </w:p>
        </w:tc>
        <w:tc>
          <w:tcPr>
            <w:tcW w:type="dxa" w:w="1380"/>
            <w:tcMar>
              <w:top w:w="80" w:type="dxa"/>
              <w:start w:w="100" w:type="dxa"/>
              <w:bottom w:w="80" w:type="dxa"/>
              <w:end w:w="100" w:type="dxa"/>
            </w:tcMar>
            <w:vAlign w:val="top"/>
          </w:tcPr>
          <w:p>
            <w:pPr>
              <w:spacing w:before="0" w:after="30" w:line="245" w:lineRule="auto"/>
            </w:pPr>
            <w:r>
              <w:rPr>
                <w:rFonts w:ascii="Calibri" w:hAnsi="Calibri"/>
                <w:color w:val="18263A"/>
                <w:sz w:val="15"/>
              </w:rPr>
              <w:t>AI can do first draft</w:t>
            </w:r>
          </w:p>
        </w:tc>
        <w:tc>
          <w:tcPr>
            <w:tcW w:type="dxa" w:w="720"/>
            <w:tcMar>
              <w:top w:w="80" w:type="dxa"/>
              <w:start w:w="100" w:type="dxa"/>
              <w:bottom w:w="80" w:type="dxa"/>
              <w:end w:w="100" w:type="dxa"/>
            </w:tcMar>
            <w:vAlign w:val="top"/>
          </w:tcPr>
          <w:p>
            <w:pPr>
              <w:spacing w:before="0" w:after="30" w:line="245" w:lineRule="auto"/>
            </w:pPr>
            <w:r>
              <w:rPr>
                <w:rFonts w:ascii="Calibri" w:hAnsi="Calibri"/>
                <w:color w:val="18263A"/>
                <w:sz w:val="15"/>
              </w:rPr>
              <w:t>Secondary / abstract</w:t>
            </w:r>
          </w:p>
        </w:tc>
        <w:tc>
          <w:tcPr>
            <w:tcW w:type="dxa" w:w="1960"/>
            <w:tcMar>
              <w:top w:w="80" w:type="dxa"/>
              <w:start w:w="100" w:type="dxa"/>
              <w:bottom w:w="80" w:type="dxa"/>
              <w:end w:w="100" w:type="dxa"/>
            </w:tcMar>
            <w:vAlign w:val="top"/>
          </w:tcPr>
          <w:p>
            <w:pPr>
              <w:spacing w:before="0" w:after="30" w:line="245" w:lineRule="auto"/>
            </w:pPr>
            <w:r>
              <w:rPr>
                <w:rFonts w:ascii="Calibri" w:hAnsi="Calibri"/>
                <w:color w:val="18263A"/>
                <w:sz w:val="15"/>
              </w:rPr>
              <w:t>Professionals may lose foundational practice.</w:t>
            </w:r>
          </w:p>
        </w:tc>
        <w:tc>
          <w:tcPr>
            <w:tcW w:type="dxa" w:w="2180"/>
            <w:tcMar>
              <w:top w:w="80" w:type="dxa"/>
              <w:start w:w="100" w:type="dxa"/>
              <w:bottom w:w="80" w:type="dxa"/>
              <w:end w:w="100" w:type="dxa"/>
            </w:tcMar>
            <w:vAlign w:val="top"/>
          </w:tcPr>
          <w:p>
            <w:pPr>
              <w:spacing w:before="0" w:after="30" w:line="245" w:lineRule="auto"/>
            </w:pPr>
            <w:r>
              <w:rPr>
                <w:rFonts w:ascii="Calibri" w:hAnsi="Calibri"/>
                <w:color w:val="18263A"/>
                <w:sz w:val="15"/>
              </w:rPr>
              <w:t>Foundational learning concern appears in AI discussions.</w:t>
            </w:r>
          </w:p>
        </w:tc>
        <w:tc>
          <w:tcPr>
            <w:tcW w:type="dxa" w:w="1840"/>
            <w:tcMar>
              <w:top w:w="80" w:type="dxa"/>
              <w:start w:w="100" w:type="dxa"/>
              <w:bottom w:w="80" w:type="dxa"/>
              <w:end w:w="100" w:type="dxa"/>
            </w:tcMar>
            <w:vAlign w:val="top"/>
          </w:tcPr>
          <w:p>
            <w:pPr>
              <w:spacing w:before="0" w:after="30" w:line="245" w:lineRule="auto"/>
            </w:pPr>
            <w:r>
              <w:rPr>
                <w:rFonts w:ascii="Calibri" w:hAnsi="Calibri"/>
                <w:color w:val="18263A"/>
                <w:sz w:val="15"/>
              </w:rPr>
              <w:t>Could teach relearning, but current doorway is broad.</w:t>
            </w:r>
          </w:p>
        </w:tc>
        <w:tc>
          <w:tcPr>
            <w:tcW w:type="dxa" w:w="1960"/>
            <w:tcMar>
              <w:top w:w="80" w:type="dxa"/>
              <w:start w:w="100" w:type="dxa"/>
              <w:bottom w:w="80" w:type="dxa"/>
              <w:end w:w="100" w:type="dxa"/>
            </w:tcMar>
            <w:vAlign w:val="top"/>
          </w:tcPr>
          <w:p>
            <w:pPr>
              <w:spacing w:before="0" w:after="30" w:line="245" w:lineRule="auto"/>
            </w:pPr>
            <w:r>
              <w:rPr>
                <w:rFonts w:ascii="Calibri" w:hAnsi="Calibri"/>
                <w:color w:val="18263A"/>
                <w:sz w:val="15"/>
              </w:rPr>
              <w:t>What must I still practice?</w:t>
            </w:r>
          </w:p>
        </w:tc>
      </w:tr>
      <w:tr>
        <w:trPr>
          <w:cantSplit/>
        </w:trPr>
        <w:tc>
          <w:tcPr>
            <w:tcW w:type="dxa" w:w="3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21</w:t>
            </w:r>
          </w:p>
        </w:tc>
        <w:tc>
          <w:tcPr>
            <w:tcW w:type="dxa" w:w="13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No promotion: wait or move?</w:t>
            </w:r>
          </w:p>
        </w:tc>
        <w:tc>
          <w:tcPr>
            <w:tcW w:type="dxa" w:w="7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Core</w:t>
            </w:r>
          </w:p>
        </w:tc>
        <w:tc>
          <w:tcPr>
            <w:tcW w:type="dxa" w:w="19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High performance does not guarantee progression.</w:t>
            </w:r>
          </w:p>
        </w:tc>
        <w:tc>
          <w:tcPr>
            <w:tcW w:type="dxa" w:w="21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Blocked promotions and unclear criteria recur.</w:t>
            </w:r>
          </w:p>
        </w:tc>
        <w:tc>
          <w:tcPr>
            <w:tcW w:type="dxa" w:w="184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Use evidence to diagnose gap, politics and options.</w:t>
            </w:r>
          </w:p>
        </w:tc>
        <w:tc>
          <w:tcPr>
            <w:tcW w:type="dxa" w:w="19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Wait, negotiate or leave?</w:t>
            </w:r>
          </w:p>
        </w:tc>
      </w:tr>
      <w:tr>
        <w:trPr>
          <w:cantSplit/>
        </w:trPr>
        <w:tc>
          <w:tcPr>
            <w:tcW w:type="dxa" w:w="360"/>
            <w:tcMar>
              <w:top w:w="80" w:type="dxa"/>
              <w:start w:w="100" w:type="dxa"/>
              <w:bottom w:w="80" w:type="dxa"/>
              <w:end w:w="100" w:type="dxa"/>
            </w:tcMar>
            <w:vAlign w:val="top"/>
          </w:tcPr>
          <w:p>
            <w:pPr>
              <w:spacing w:before="0" w:after="30" w:line="245" w:lineRule="auto"/>
            </w:pPr>
            <w:r>
              <w:rPr>
                <w:rFonts w:ascii="Calibri" w:hAnsi="Calibri"/>
                <w:color w:val="18263A"/>
                <w:sz w:val="15"/>
              </w:rPr>
              <w:t>22</w:t>
            </w:r>
          </w:p>
        </w:tc>
        <w:tc>
          <w:tcPr>
            <w:tcW w:type="dxa" w:w="1380"/>
            <w:tcMar>
              <w:top w:w="80" w:type="dxa"/>
              <w:start w:w="100" w:type="dxa"/>
              <w:bottom w:w="80" w:type="dxa"/>
              <w:end w:w="100" w:type="dxa"/>
            </w:tcMar>
            <w:vAlign w:val="top"/>
          </w:tcPr>
          <w:p>
            <w:pPr>
              <w:spacing w:before="0" w:after="30" w:line="245" w:lineRule="auto"/>
            </w:pPr>
            <w:r>
              <w:rPr>
                <w:rFonts w:ascii="Calibri" w:hAnsi="Calibri"/>
                <w:color w:val="18263A"/>
                <w:sz w:val="15"/>
              </w:rPr>
              <w:t>Career in a flatter company</w:t>
            </w:r>
          </w:p>
        </w:tc>
        <w:tc>
          <w:tcPr>
            <w:tcW w:type="dxa" w:w="720"/>
            <w:tcMar>
              <w:top w:w="80" w:type="dxa"/>
              <w:start w:w="100" w:type="dxa"/>
              <w:bottom w:w="80" w:type="dxa"/>
              <w:end w:w="100" w:type="dxa"/>
            </w:tcMar>
            <w:vAlign w:val="top"/>
          </w:tcPr>
          <w:p>
            <w:pPr>
              <w:spacing w:before="0" w:after="30" w:line="245" w:lineRule="auto"/>
            </w:pPr>
            <w:r>
              <w:rPr>
                <w:rFonts w:ascii="Calibri" w:hAnsi="Calibri"/>
                <w:color w:val="18263A"/>
                <w:sz w:val="15"/>
              </w:rPr>
              <w:t>Core</w:t>
            </w:r>
          </w:p>
        </w:tc>
        <w:tc>
          <w:tcPr>
            <w:tcW w:type="dxa" w:w="1960"/>
            <w:tcMar>
              <w:top w:w="80" w:type="dxa"/>
              <w:start w:w="100" w:type="dxa"/>
              <w:bottom w:w="80" w:type="dxa"/>
              <w:end w:w="100" w:type="dxa"/>
            </w:tcMar>
            <w:vAlign w:val="top"/>
          </w:tcPr>
          <w:p>
            <w:pPr>
              <w:spacing w:before="0" w:after="30" w:line="245" w:lineRule="auto"/>
            </w:pPr>
            <w:r>
              <w:rPr>
                <w:rFonts w:ascii="Calibri" w:hAnsi="Calibri"/>
                <w:color w:val="18263A"/>
                <w:sz w:val="15"/>
              </w:rPr>
              <w:t>Growth path changes when layers disappear.</w:t>
            </w:r>
          </w:p>
        </w:tc>
        <w:tc>
          <w:tcPr>
            <w:tcW w:type="dxa" w:w="2180"/>
            <w:tcMar>
              <w:top w:w="80" w:type="dxa"/>
              <w:start w:w="100" w:type="dxa"/>
              <w:bottom w:w="80" w:type="dxa"/>
              <w:end w:w="100" w:type="dxa"/>
            </w:tcMar>
            <w:vAlign w:val="top"/>
          </w:tcPr>
          <w:p>
            <w:pPr>
              <w:spacing w:before="0" w:after="30" w:line="245" w:lineRule="auto"/>
            </w:pPr>
            <w:r>
              <w:rPr>
                <w:rFonts w:ascii="Calibri" w:hAnsi="Calibri"/>
                <w:color w:val="18263A"/>
                <w:sz w:val="15"/>
              </w:rPr>
              <w:t>Restructuring and senior-path narrowing recur.</w:t>
            </w:r>
          </w:p>
        </w:tc>
        <w:tc>
          <w:tcPr>
            <w:tcW w:type="dxa" w:w="1840"/>
            <w:tcMar>
              <w:top w:w="80" w:type="dxa"/>
              <w:start w:w="100" w:type="dxa"/>
              <w:bottom w:w="80" w:type="dxa"/>
              <w:end w:w="100" w:type="dxa"/>
            </w:tcMar>
            <w:vAlign w:val="top"/>
          </w:tcPr>
          <w:p>
            <w:pPr>
              <w:spacing w:before="0" w:after="30" w:line="245" w:lineRule="auto"/>
            </w:pPr>
            <w:r>
              <w:rPr>
                <w:rFonts w:ascii="Calibri" w:hAnsi="Calibri"/>
                <w:color w:val="18263A"/>
                <w:sz w:val="15"/>
              </w:rPr>
              <w:t>Shift from title ladder to range, authority and network.</w:t>
            </w:r>
          </w:p>
        </w:tc>
        <w:tc>
          <w:tcPr>
            <w:tcW w:type="dxa" w:w="1960"/>
            <w:tcMar>
              <w:top w:w="80" w:type="dxa"/>
              <w:start w:w="100" w:type="dxa"/>
              <w:bottom w:w="80" w:type="dxa"/>
              <w:end w:w="100" w:type="dxa"/>
            </w:tcMar>
            <w:vAlign w:val="top"/>
          </w:tcPr>
          <w:p>
            <w:pPr>
              <w:spacing w:before="0" w:after="30" w:line="245" w:lineRule="auto"/>
            </w:pPr>
            <w:r>
              <w:rPr>
                <w:rFonts w:ascii="Calibri" w:hAnsi="Calibri"/>
                <w:color w:val="18263A"/>
                <w:sz w:val="15"/>
              </w:rPr>
              <w:t>What counts as progress now?</w:t>
            </w:r>
          </w:p>
        </w:tc>
      </w:tr>
      <w:tr>
        <w:trPr>
          <w:cantSplit/>
        </w:trPr>
        <w:tc>
          <w:tcPr>
            <w:tcW w:type="dxa" w:w="3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23</w:t>
            </w:r>
          </w:p>
        </w:tc>
        <w:tc>
          <w:tcPr>
            <w:tcW w:type="dxa" w:w="13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Grow when already senior</w:t>
            </w:r>
          </w:p>
        </w:tc>
        <w:tc>
          <w:tcPr>
            <w:tcW w:type="dxa" w:w="7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Core</w:t>
            </w:r>
          </w:p>
        </w:tc>
        <w:tc>
          <w:tcPr>
            <w:tcW w:type="dxa" w:w="19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Traditional promotion no longer defines growth.</w:t>
            </w:r>
          </w:p>
        </w:tc>
        <w:tc>
          <w:tcPr>
            <w:tcW w:type="dxa" w:w="21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Senior IC, management, consulting and exit options recur.</w:t>
            </w:r>
          </w:p>
        </w:tc>
        <w:tc>
          <w:tcPr>
            <w:tcW w:type="dxa" w:w="184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Choose growth axes and evidence.</w:t>
            </w:r>
          </w:p>
        </w:tc>
        <w:tc>
          <w:tcPr>
            <w:tcW w:type="dxa" w:w="19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What is my next meaningful form of growth?</w:t>
            </w:r>
          </w:p>
        </w:tc>
      </w:tr>
    </w:tbl>
    <w:p>
      <w:pPr>
        <w:spacing w:after="0"/>
      </w:pPr>
    </w:p>
    <w:p>
      <w:pPr>
        <w:sectPr>
          <w:headerReference w:type="default" r:id="rId11"/>
          <w:footerReference w:type="default" r:id="rId12"/>
          <w:pgSz w:w="15840" w:h="12240" w:orient="landscape"/>
          <w:pgMar w:top="893" w:right="720" w:bottom="893" w:left="720" w:header="605" w:footer="605" w:gutter="0"/>
          <w:cols w:space="720"/>
          <w:docGrid w:linePitch="360"/>
        </w:sectPr>
      </w:pPr>
    </w:p>
    <w:p>
      <w:pPr>
        <w:keepNext/>
        <w:spacing w:after="60"/>
      </w:pPr>
      <w:r>
        <w:rPr>
          <w:rFonts w:ascii="Calibri" w:hAnsi="Calibri"/>
          <w:b/>
          <w:color w:val="C6A646"/>
          <w:sz w:val="18"/>
        </w:rPr>
        <w:t>CURRENT AUDIT  /  RECOMMENDATION</w:t>
      </w:r>
    </w:p>
    <w:p>
      <w:pPr>
        <w:pStyle w:val="Heading1"/>
        <w:keepNext/>
      </w:pPr>
      <w:r>
        <w:rPr>
          <w:rFonts w:ascii="Calibri" w:hAnsi="Calibri"/>
          <w:b/>
          <w:color w:val="10264B"/>
          <w:sz w:val="32"/>
        </w:rPr>
        <w:t>Videos 4–23: proof, CTA and disposition</w:t>
      </w:r>
    </w:p>
    <w:tbl>
      <w:tblPr>
        <w:tblW w:type="dxa" w:w="10400"/>
        <w:jc w:val="center"/>
        <w:tblLook w:firstColumn="1" w:firstRow="1" w:lastColumn="0" w:lastRow="0" w:noHBand="0" w:noVBand="1" w:val="04A0"/>
        <w:tblLayout w:type="fixed"/>
        <w:tblInd w:w="120" w:type="dxa"/>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Pr>
      <w:tblGrid>
        <w:gridCol w:w="420"/>
        <w:gridCol w:w="2860"/>
        <w:gridCol w:w="1000"/>
        <w:gridCol w:w="1320"/>
        <w:gridCol w:w="3100"/>
        <w:gridCol w:w="1700"/>
      </w:tblGrid>
      <w:tr>
        <w:trPr>
          <w:tblHeader w:val="true"/>
          <w:cantSplit/>
        </w:trPr>
        <w:tc>
          <w:tcPr>
            <w:tcW w:type="dxa" w:w="420"/>
            <w:tcMar>
              <w:top w:w="80" w:type="dxa"/>
              <w:start w:w="100" w:type="dxa"/>
              <w:bottom w:w="80" w:type="dxa"/>
              <w:end w:w="100" w:type="dxa"/>
            </w:tcMar>
            <w:vAlign w:val="top"/>
            <w:shd w:fill="10264B"/>
          </w:tcPr>
          <w:p>
            <w:pPr>
              <w:spacing w:after="0" w:line="240" w:lineRule="auto"/>
            </w:pPr>
            <w:r/>
            <w:r>
              <w:rPr>
                <w:rFonts w:ascii="Calibri" w:hAnsi="Calibri"/>
                <w:b/>
                <w:color w:val="FFFFFF"/>
                <w:sz w:val="15"/>
              </w:rPr>
              <w:t>#</w:t>
            </w:r>
          </w:p>
        </w:tc>
        <w:tc>
          <w:tcPr>
            <w:tcW w:type="dxa" w:w="2860"/>
            <w:tcMar>
              <w:top w:w="80" w:type="dxa"/>
              <w:start w:w="100" w:type="dxa"/>
              <w:bottom w:w="80" w:type="dxa"/>
              <w:end w:w="100" w:type="dxa"/>
            </w:tcMar>
            <w:vAlign w:val="top"/>
            <w:shd w:fill="10264B"/>
          </w:tcPr>
          <w:p>
            <w:pPr>
              <w:spacing w:after="0" w:line="240" w:lineRule="auto"/>
            </w:pPr>
            <w:r/>
            <w:r>
              <w:rPr>
                <w:rFonts w:ascii="Calibri" w:hAnsi="Calibri"/>
                <w:b/>
                <w:color w:val="FFFFFF"/>
                <w:sz w:val="15"/>
              </w:rPr>
              <w:t>Proof available / missing</w:t>
            </w:r>
          </w:p>
        </w:tc>
        <w:tc>
          <w:tcPr>
            <w:tcW w:type="dxa" w:w="1000"/>
            <w:tcMar>
              <w:top w:w="80" w:type="dxa"/>
              <w:start w:w="100" w:type="dxa"/>
              <w:bottom w:w="80" w:type="dxa"/>
              <w:end w:w="100" w:type="dxa"/>
            </w:tcMar>
            <w:vAlign w:val="top"/>
            <w:shd w:fill="10264B"/>
          </w:tcPr>
          <w:p>
            <w:pPr>
              <w:spacing w:after="0" w:line="240" w:lineRule="auto"/>
            </w:pPr>
            <w:r/>
            <w:r>
              <w:rPr>
                <w:rFonts w:ascii="Calibri" w:hAnsi="Calibri"/>
                <w:b/>
                <w:color w:val="FFFFFF"/>
                <w:sz w:val="15"/>
              </w:rPr>
              <w:t>CTA fit</w:t>
            </w:r>
          </w:p>
        </w:tc>
        <w:tc>
          <w:tcPr>
            <w:tcW w:type="dxa" w:w="1320"/>
            <w:tcMar>
              <w:top w:w="80" w:type="dxa"/>
              <w:start w:w="100" w:type="dxa"/>
              <w:bottom w:w="80" w:type="dxa"/>
              <w:end w:w="100" w:type="dxa"/>
            </w:tcMar>
            <w:vAlign w:val="top"/>
            <w:shd w:fill="10264B"/>
          </w:tcPr>
          <w:p>
            <w:pPr>
              <w:spacing w:after="0" w:line="240" w:lineRule="auto"/>
            </w:pPr>
            <w:r/>
            <w:r>
              <w:rPr>
                <w:rFonts w:ascii="Calibri" w:hAnsi="Calibri"/>
                <w:b/>
                <w:color w:val="FFFFFF"/>
                <w:sz w:val="15"/>
              </w:rPr>
              <w:t>Action</w:t>
            </w:r>
          </w:p>
        </w:tc>
        <w:tc>
          <w:tcPr>
            <w:tcW w:type="dxa" w:w="3100"/>
            <w:tcMar>
              <w:top w:w="80" w:type="dxa"/>
              <w:start w:w="100" w:type="dxa"/>
              <w:bottom w:w="80" w:type="dxa"/>
              <w:end w:w="100" w:type="dxa"/>
            </w:tcMar>
            <w:vAlign w:val="top"/>
            <w:shd w:fill="10264B"/>
          </w:tcPr>
          <w:p>
            <w:pPr>
              <w:spacing w:after="0" w:line="240" w:lineRule="auto"/>
            </w:pPr>
            <w:r/>
            <w:r>
              <w:rPr>
                <w:rFonts w:ascii="Calibri" w:hAnsi="Calibri"/>
                <w:b/>
                <w:color w:val="FFFFFF"/>
                <w:sz w:val="15"/>
              </w:rPr>
              <w:t>Recommended title</w:t>
            </w:r>
          </w:p>
        </w:tc>
        <w:tc>
          <w:tcPr>
            <w:tcW w:type="dxa" w:w="1700"/>
            <w:tcMar>
              <w:top w:w="80" w:type="dxa"/>
              <w:start w:w="100" w:type="dxa"/>
              <w:bottom w:w="80" w:type="dxa"/>
              <w:end w:w="100" w:type="dxa"/>
            </w:tcMar>
            <w:vAlign w:val="top"/>
            <w:shd w:fill="10264B"/>
          </w:tcPr>
          <w:p>
            <w:pPr>
              <w:spacing w:after="0" w:line="240" w:lineRule="auto"/>
            </w:pPr>
            <w:r/>
            <w:r>
              <w:rPr>
                <w:rFonts w:ascii="Calibri" w:hAnsi="Calibri"/>
                <w:b/>
                <w:color w:val="FFFFFF"/>
                <w:sz w:val="15"/>
              </w:rPr>
              <w:t>Thumbnail</w:t>
            </w:r>
          </w:p>
        </w:tc>
      </w:tr>
      <w:tr>
        <w:trPr>
          <w:cantSplit/>
        </w:trPr>
        <w:tc>
          <w:tcPr>
            <w:tcW w:type="dxa" w:w="420"/>
            <w:tcMar>
              <w:top w:w="80" w:type="dxa"/>
              <w:start w:w="100" w:type="dxa"/>
              <w:bottom w:w="80" w:type="dxa"/>
              <w:end w:w="100" w:type="dxa"/>
            </w:tcMar>
            <w:vAlign w:val="top"/>
          </w:tcPr>
          <w:p>
            <w:pPr>
              <w:spacing w:before="0" w:after="30" w:line="245" w:lineRule="auto"/>
            </w:pPr>
            <w:r>
              <w:rPr>
                <w:rFonts w:ascii="Calibri" w:hAnsi="Calibri"/>
                <w:color w:val="18263A"/>
                <w:sz w:val="15"/>
              </w:rPr>
              <w:t>4</w:t>
            </w:r>
          </w:p>
        </w:tc>
        <w:tc>
          <w:tcPr>
            <w:tcW w:type="dxa" w:w="2860"/>
            <w:tcMar>
              <w:top w:w="80" w:type="dxa"/>
              <w:start w:w="100" w:type="dxa"/>
              <w:bottom w:w="80" w:type="dxa"/>
              <w:end w:w="100" w:type="dxa"/>
            </w:tcMar>
            <w:vAlign w:val="top"/>
          </w:tcPr>
          <w:p>
            <w:pPr>
              <w:spacing w:before="0" w:after="30" w:line="245" w:lineRule="auto"/>
            </w:pPr>
            <w:r>
              <w:rPr>
                <w:rFonts w:ascii="Calibri" w:hAnsi="Calibri"/>
                <w:color w:val="18263A"/>
                <w:sz w:val="15"/>
              </w:rPr>
              <w:t>EY “cat with nine lives”; accounting/audit → cyber → people → transformation.</w:t>
            </w:r>
          </w:p>
        </w:tc>
        <w:tc>
          <w:tcPr>
            <w:tcW w:type="dxa" w:w="1000"/>
            <w:tcMar>
              <w:top w:w="80" w:type="dxa"/>
              <w:start w:w="100" w:type="dxa"/>
              <w:bottom w:w="80" w:type="dxa"/>
              <w:end w:w="100" w:type="dxa"/>
            </w:tcMar>
            <w:vAlign w:val="top"/>
          </w:tcPr>
          <w:p>
            <w:pPr>
              <w:spacing w:before="0" w:after="30" w:line="245" w:lineRule="auto"/>
            </w:pPr>
            <w:r>
              <w:rPr>
                <w:rFonts w:ascii="Calibri" w:hAnsi="Calibri"/>
                <w:color w:val="18263A"/>
                <w:sz w:val="15"/>
              </w:rPr>
              <w:t>KTP: strong</w:t>
            </w:r>
          </w:p>
        </w:tc>
        <w:tc>
          <w:tcPr>
            <w:tcW w:type="dxa" w:w="1320"/>
            <w:tcMar>
              <w:top w:w="80" w:type="dxa"/>
              <w:start w:w="100" w:type="dxa"/>
              <w:bottom w:w="80" w:type="dxa"/>
              <w:end w:w="100" w:type="dxa"/>
            </w:tcMar>
            <w:vAlign w:val="top"/>
          </w:tcPr>
          <w:p>
            <w:pPr>
              <w:spacing w:before="0" w:after="30" w:line="245" w:lineRule="auto"/>
            </w:pPr>
            <w:r>
              <w:rPr>
                <w:rFonts w:ascii="Calibri" w:hAnsi="Calibri"/>
                <w:color w:val="18263A"/>
                <w:sz w:val="15"/>
              </w:rPr>
              <w:t>KEEP</w:t>
            </w:r>
          </w:p>
        </w:tc>
        <w:tc>
          <w:tcPr>
            <w:tcW w:type="dxa" w:w="3100"/>
            <w:tcMar>
              <w:top w:w="80" w:type="dxa"/>
              <w:start w:w="100" w:type="dxa"/>
              <w:bottom w:w="80" w:type="dxa"/>
              <w:end w:w="100" w:type="dxa"/>
            </w:tcMar>
            <w:vAlign w:val="top"/>
          </w:tcPr>
          <w:p>
            <w:pPr>
              <w:spacing w:before="0" w:after="30" w:line="245" w:lineRule="auto"/>
            </w:pPr>
            <w:r>
              <w:rPr>
                <w:rFonts w:ascii="Calibri" w:hAnsi="Calibri"/>
                <w:color w:val="18263A"/>
                <w:sz w:val="15"/>
              </w:rPr>
              <w:t>Keep approved title</w:t>
            </w:r>
          </w:p>
        </w:tc>
        <w:tc>
          <w:tcPr>
            <w:tcW w:type="dxa" w:w="1700"/>
            <w:tcMar>
              <w:top w:w="80" w:type="dxa"/>
              <w:start w:w="100" w:type="dxa"/>
              <w:bottom w:w="80" w:type="dxa"/>
              <w:end w:w="100" w:type="dxa"/>
            </w:tcMar>
            <w:vAlign w:val="top"/>
          </w:tcPr>
          <w:p>
            <w:pPr>
              <w:spacing w:before="0" w:after="30" w:line="245" w:lineRule="auto"/>
            </w:pPr>
            <w:r>
              <w:rPr>
                <w:rFonts w:ascii="Calibri" w:hAnsi="Calibri"/>
                <w:color w:val="18263A"/>
                <w:sz w:val="15"/>
              </w:rPr>
              <w:t>YOUR CAREER MAKES SENSE</w:t>
            </w:r>
          </w:p>
        </w:tc>
      </w:tr>
      <w:tr>
        <w:trPr>
          <w:cantSplit/>
        </w:trPr>
        <w:tc>
          <w:tcPr>
            <w:tcW w:type="dxa" w:w="4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5</w:t>
            </w:r>
          </w:p>
        </w:tc>
        <w:tc>
          <w:tcPr>
            <w:tcW w:type="dxa" w:w="28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Scope expanded roughly six months after maternity return; onboarding was first project back.</w:t>
            </w:r>
          </w:p>
        </w:tc>
        <w:tc>
          <w:tcPr>
            <w:tcW w:type="dxa" w:w="10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Decision Check: exact</w:t>
            </w:r>
          </w:p>
        </w:tc>
        <w:tc>
          <w:tcPr>
            <w:tcW w:type="dxa" w:w="13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KEEP + sharpen proof</w:t>
            </w:r>
          </w:p>
        </w:tc>
        <w:tc>
          <w:tcPr>
            <w:tcW w:type="dxa" w:w="31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Should I Make an Internal Move? 3 Questions to Decide</w:t>
            </w:r>
          </w:p>
        </w:tc>
        <w:tc>
          <w:tcPr>
            <w:tcW w:type="dxa" w:w="17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YOU MAY NOT NEED TO LEAVE</w:t>
            </w:r>
          </w:p>
        </w:tc>
      </w:tr>
      <w:tr>
        <w:trPr>
          <w:cantSplit/>
        </w:trPr>
        <w:tc>
          <w:tcPr>
            <w:tcW w:type="dxa" w:w="420"/>
            <w:tcMar>
              <w:top w:w="80" w:type="dxa"/>
              <w:start w:w="100" w:type="dxa"/>
              <w:bottom w:w="80" w:type="dxa"/>
              <w:end w:w="100" w:type="dxa"/>
            </w:tcMar>
            <w:vAlign w:val="top"/>
          </w:tcPr>
          <w:p>
            <w:pPr>
              <w:spacing w:before="0" w:after="30" w:line="245" w:lineRule="auto"/>
            </w:pPr>
            <w:r>
              <w:rPr>
                <w:rFonts w:ascii="Calibri" w:hAnsi="Calibri"/>
                <w:color w:val="18263A"/>
                <w:sz w:val="15"/>
              </w:rPr>
              <w:t>6</w:t>
            </w:r>
          </w:p>
        </w:tc>
        <w:tc>
          <w:tcPr>
            <w:tcW w:type="dxa" w:w="2860"/>
            <w:tcMar>
              <w:top w:w="80" w:type="dxa"/>
              <w:start w:w="100" w:type="dxa"/>
              <w:bottom w:w="80" w:type="dxa"/>
              <w:end w:w="100" w:type="dxa"/>
            </w:tcMar>
            <w:vAlign w:val="top"/>
          </w:tcPr>
          <w:p>
            <w:pPr>
              <w:spacing w:before="0" w:after="30" w:line="245" w:lineRule="auto"/>
            </w:pPr>
            <w:r>
              <w:rPr>
                <w:rFonts w:ascii="Calibri" w:hAnsi="Calibri"/>
                <w:color w:val="18263A"/>
                <w:sz w:val="15"/>
              </w:rPr>
              <w:t>Scope expanded beyond job description more than once; use only confirmed specifics.</w:t>
            </w:r>
          </w:p>
        </w:tc>
        <w:tc>
          <w:tcPr>
            <w:tcW w:type="dxa" w:w="1000"/>
            <w:tcMar>
              <w:top w:w="80" w:type="dxa"/>
              <w:start w:w="100" w:type="dxa"/>
              <w:bottom w:w="80" w:type="dxa"/>
              <w:end w:w="100" w:type="dxa"/>
            </w:tcMar>
            <w:vAlign w:val="top"/>
          </w:tcPr>
          <w:p>
            <w:pPr>
              <w:spacing w:before="0" w:after="30" w:line="245" w:lineRule="auto"/>
            </w:pPr>
            <w:r>
              <w:rPr>
                <w:rFonts w:ascii="Calibri" w:hAnsi="Calibri"/>
                <w:color w:val="18263A"/>
                <w:sz w:val="15"/>
              </w:rPr>
              <w:t>Field Kit: exact</w:t>
            </w:r>
          </w:p>
        </w:tc>
        <w:tc>
          <w:tcPr>
            <w:tcW w:type="dxa" w:w="1320"/>
            <w:tcMar>
              <w:top w:w="80" w:type="dxa"/>
              <w:start w:w="100" w:type="dxa"/>
              <w:bottom w:w="80" w:type="dxa"/>
              <w:end w:w="100" w:type="dxa"/>
            </w:tcMar>
            <w:vAlign w:val="top"/>
          </w:tcPr>
          <w:p>
            <w:pPr>
              <w:spacing w:before="0" w:after="30" w:line="245" w:lineRule="auto"/>
            </w:pPr>
            <w:r>
              <w:rPr>
                <w:rFonts w:ascii="Calibri" w:hAnsi="Calibri"/>
                <w:color w:val="18263A"/>
                <w:sz w:val="15"/>
              </w:rPr>
              <w:t>KEEP</w:t>
            </w:r>
          </w:p>
        </w:tc>
        <w:tc>
          <w:tcPr>
            <w:tcW w:type="dxa" w:w="3100"/>
            <w:tcMar>
              <w:top w:w="80" w:type="dxa"/>
              <w:start w:w="100" w:type="dxa"/>
              <w:bottom w:w="80" w:type="dxa"/>
              <w:end w:w="100" w:type="dxa"/>
            </w:tcMar>
            <w:vAlign w:val="top"/>
          </w:tcPr>
          <w:p>
            <w:pPr>
              <w:spacing w:before="0" w:after="30" w:line="245" w:lineRule="auto"/>
            </w:pPr>
            <w:r>
              <w:rPr>
                <w:rFonts w:ascii="Calibri" w:hAnsi="Calibri"/>
                <w:color w:val="18263A"/>
                <w:sz w:val="15"/>
              </w:rPr>
              <w:t>Are You Growing—or Just Being Given More Work?</w:t>
            </w:r>
          </w:p>
        </w:tc>
        <w:tc>
          <w:tcPr>
            <w:tcW w:type="dxa" w:w="1700"/>
            <w:tcMar>
              <w:top w:w="80" w:type="dxa"/>
              <w:start w:w="100" w:type="dxa"/>
              <w:bottom w:w="80" w:type="dxa"/>
              <w:end w:w="100" w:type="dxa"/>
            </w:tcMar>
            <w:vAlign w:val="top"/>
          </w:tcPr>
          <w:p>
            <w:pPr>
              <w:spacing w:before="0" w:after="30" w:line="245" w:lineRule="auto"/>
            </w:pPr>
            <w:r>
              <w:rPr>
                <w:rFonts w:ascii="Calibri" w:hAnsi="Calibri"/>
                <w:color w:val="18263A"/>
                <w:sz w:val="15"/>
              </w:rPr>
              <w:t>MORE WORK ≠ GROWTH</w:t>
            </w:r>
          </w:p>
        </w:tc>
      </w:tr>
      <w:tr>
        <w:trPr>
          <w:cantSplit/>
        </w:trPr>
        <w:tc>
          <w:tcPr>
            <w:tcW w:type="dxa" w:w="4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7</w:t>
            </w:r>
          </w:p>
        </w:tc>
        <w:tc>
          <w:tcPr>
            <w:tcW w:type="dxa" w:w="28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First-in-role / builder chapters; exact role and result must be confirmed.</w:t>
            </w:r>
          </w:p>
        </w:tc>
        <w:tc>
          <w:tcPr>
            <w:tcW w:type="dxa" w:w="10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KTP: exact</w:t>
            </w:r>
          </w:p>
        </w:tc>
        <w:tc>
          <w:tcPr>
            <w:tcW w:type="dxa" w:w="13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KEEP</w:t>
            </w:r>
          </w:p>
        </w:tc>
        <w:tc>
          <w:tcPr>
            <w:tcW w:type="dxa" w:w="31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How to Prove the Value of Work That Had No Blueprint</w:t>
            </w:r>
          </w:p>
        </w:tc>
        <w:tc>
          <w:tcPr>
            <w:tcW w:type="dxa" w:w="17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MAKE INVISIBLE WORK VISIBLE</w:t>
            </w:r>
          </w:p>
        </w:tc>
      </w:tr>
      <w:tr>
        <w:trPr>
          <w:cantSplit/>
        </w:trPr>
        <w:tc>
          <w:tcPr>
            <w:tcW w:type="dxa" w:w="420"/>
            <w:tcMar>
              <w:top w:w="80" w:type="dxa"/>
              <w:start w:w="100" w:type="dxa"/>
              <w:bottom w:w="80" w:type="dxa"/>
              <w:end w:w="100" w:type="dxa"/>
            </w:tcMar>
            <w:vAlign w:val="top"/>
          </w:tcPr>
          <w:p>
            <w:pPr>
              <w:spacing w:before="0" w:after="30" w:line="245" w:lineRule="auto"/>
            </w:pPr>
            <w:r>
              <w:rPr>
                <w:rFonts w:ascii="Calibri" w:hAnsi="Calibri"/>
                <w:color w:val="18263A"/>
                <w:sz w:val="15"/>
              </w:rPr>
              <w:t>8</w:t>
            </w:r>
          </w:p>
        </w:tc>
        <w:tc>
          <w:tcPr>
            <w:tcW w:type="dxa" w:w="2860"/>
            <w:tcMar>
              <w:top w:w="80" w:type="dxa"/>
              <w:start w:w="100" w:type="dxa"/>
              <w:bottom w:w="80" w:type="dxa"/>
              <w:end w:w="100" w:type="dxa"/>
            </w:tcMar>
            <w:vAlign w:val="top"/>
          </w:tcPr>
          <w:p>
            <w:pPr>
              <w:spacing w:before="0" w:after="30" w:line="245" w:lineRule="auto"/>
            </w:pPr>
            <w:r>
              <w:rPr>
                <w:rFonts w:ascii="Calibri" w:hAnsi="Calibri"/>
                <w:color w:val="18263A"/>
                <w:sz w:val="15"/>
              </w:rPr>
              <w:t>Hiring/organizational decision perspective; no named personal scene yet.</w:t>
            </w:r>
          </w:p>
        </w:tc>
        <w:tc>
          <w:tcPr>
            <w:tcW w:type="dxa" w:w="1000"/>
            <w:tcMar>
              <w:top w:w="80" w:type="dxa"/>
              <w:start w:w="100" w:type="dxa"/>
              <w:bottom w:w="80" w:type="dxa"/>
              <w:end w:w="100" w:type="dxa"/>
            </w:tcMar>
            <w:vAlign w:val="top"/>
          </w:tcPr>
          <w:p>
            <w:pPr>
              <w:spacing w:before="0" w:after="30" w:line="245" w:lineRule="auto"/>
            </w:pPr>
            <w:r>
              <w:rPr>
                <w:rFonts w:ascii="Calibri" w:hAnsi="Calibri"/>
                <w:color w:val="18263A"/>
                <w:sz w:val="15"/>
              </w:rPr>
              <w:t>KTP: good</w:t>
            </w:r>
          </w:p>
        </w:tc>
        <w:tc>
          <w:tcPr>
            <w:tcW w:type="dxa" w:w="1320"/>
            <w:tcMar>
              <w:top w:w="80" w:type="dxa"/>
              <w:start w:w="100" w:type="dxa"/>
              <w:bottom w:w="80" w:type="dxa"/>
              <w:end w:w="100" w:type="dxa"/>
            </w:tcMar>
            <w:vAlign w:val="top"/>
          </w:tcPr>
          <w:p>
            <w:pPr>
              <w:spacing w:before="0" w:after="30" w:line="245" w:lineRule="auto"/>
            </w:pPr>
            <w:r>
              <w:rPr>
                <w:rFonts w:ascii="Calibri" w:hAnsi="Calibri"/>
                <w:color w:val="18263A"/>
                <w:sz w:val="15"/>
              </w:rPr>
              <w:t>MOVE LATER</w:t>
            </w:r>
          </w:p>
        </w:tc>
        <w:tc>
          <w:tcPr>
            <w:tcW w:type="dxa" w:w="3100"/>
            <w:tcMar>
              <w:top w:w="80" w:type="dxa"/>
              <w:start w:w="100" w:type="dxa"/>
              <w:bottom w:w="80" w:type="dxa"/>
              <w:end w:w="100" w:type="dxa"/>
            </w:tcMar>
            <w:vAlign w:val="top"/>
          </w:tcPr>
          <w:p>
            <w:pPr>
              <w:spacing w:before="0" w:after="30" w:line="245" w:lineRule="auto"/>
            </w:pPr>
            <w:r>
              <w:rPr>
                <w:rFonts w:ascii="Calibri" w:hAnsi="Calibri"/>
                <w:color w:val="18263A"/>
                <w:sz w:val="15"/>
              </w:rPr>
              <w:t>Future interview/evidence series</w:t>
            </w:r>
          </w:p>
        </w:tc>
        <w:tc>
          <w:tcPr>
            <w:tcW w:type="dxa" w:w="1700"/>
            <w:tcMar>
              <w:top w:w="80" w:type="dxa"/>
              <w:start w:w="100" w:type="dxa"/>
              <w:bottom w:w="80" w:type="dxa"/>
              <w:end w:w="100" w:type="dxa"/>
            </w:tcMar>
            <w:vAlign w:val="top"/>
          </w:tcPr>
          <w:p>
            <w:pPr>
              <w:spacing w:before="0" w:after="30" w:line="245" w:lineRule="auto"/>
            </w:pPr>
            <w:r>
              <w:rPr>
                <w:rFonts w:ascii="Calibri" w:hAnsi="Calibri"/>
                <w:color w:val="18263A"/>
                <w:sz w:val="15"/>
              </w:rPr>
              <w:t>SHOW HOW YOU THINK</w:t>
            </w:r>
          </w:p>
        </w:tc>
      </w:tr>
      <w:tr>
        <w:trPr>
          <w:cantSplit/>
        </w:trPr>
        <w:tc>
          <w:tcPr>
            <w:tcW w:type="dxa" w:w="4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9</w:t>
            </w:r>
          </w:p>
        </w:tc>
        <w:tc>
          <w:tcPr>
            <w:tcW w:type="dxa" w:w="28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Experience inside talent/transition systems; do not imply personal layoff.</w:t>
            </w:r>
          </w:p>
        </w:tc>
        <w:tc>
          <w:tcPr>
            <w:tcW w:type="dxa" w:w="10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KTP: exact</w:t>
            </w:r>
          </w:p>
        </w:tc>
        <w:tc>
          <w:tcPr>
            <w:tcW w:type="dxa" w:w="13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KEEP</w:t>
            </w:r>
          </w:p>
        </w:tc>
        <w:tc>
          <w:tcPr>
            <w:tcW w:type="dxa" w:w="31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What to Do Before a Layoff Happens</w:t>
            </w:r>
          </w:p>
        </w:tc>
        <w:tc>
          <w:tcPr>
            <w:tcW w:type="dxa" w:w="17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KEEP THE PROOF</w:t>
            </w:r>
          </w:p>
        </w:tc>
      </w:tr>
      <w:tr>
        <w:trPr>
          <w:cantSplit/>
        </w:trPr>
        <w:tc>
          <w:tcPr>
            <w:tcW w:type="dxa" w:w="420"/>
            <w:tcMar>
              <w:top w:w="80" w:type="dxa"/>
              <w:start w:w="100" w:type="dxa"/>
              <w:bottom w:w="80" w:type="dxa"/>
              <w:end w:w="100" w:type="dxa"/>
            </w:tcMar>
            <w:vAlign w:val="top"/>
          </w:tcPr>
          <w:p>
            <w:pPr>
              <w:spacing w:before="0" w:after="30" w:line="245" w:lineRule="auto"/>
            </w:pPr>
            <w:r>
              <w:rPr>
                <w:rFonts w:ascii="Calibri" w:hAnsi="Calibri"/>
                <w:color w:val="18263A"/>
                <w:sz w:val="15"/>
              </w:rPr>
              <w:t>10</w:t>
            </w:r>
          </w:p>
        </w:tc>
        <w:tc>
          <w:tcPr>
            <w:tcW w:type="dxa" w:w="2860"/>
            <w:tcMar>
              <w:top w:w="80" w:type="dxa"/>
              <w:start w:w="100" w:type="dxa"/>
              <w:bottom w:w="80" w:type="dxa"/>
              <w:end w:w="100" w:type="dxa"/>
            </w:tcMar>
            <w:vAlign w:val="top"/>
          </w:tcPr>
          <w:p>
            <w:pPr>
              <w:spacing w:before="0" w:after="30" w:line="245" w:lineRule="auto"/>
            </w:pPr>
            <w:r>
              <w:rPr>
                <w:rFonts w:ascii="Calibri" w:hAnsi="Calibri"/>
                <w:color w:val="18263A"/>
                <w:sz w:val="15"/>
              </w:rPr>
              <w:t>Enterprise technology / transformation; needs one exact AI-adjacent scene.</w:t>
            </w:r>
          </w:p>
        </w:tc>
        <w:tc>
          <w:tcPr>
            <w:tcW w:type="dxa" w:w="1000"/>
            <w:tcMar>
              <w:top w:w="80" w:type="dxa"/>
              <w:start w:w="100" w:type="dxa"/>
              <w:bottom w:w="80" w:type="dxa"/>
              <w:end w:w="100" w:type="dxa"/>
            </w:tcMar>
            <w:vAlign w:val="top"/>
          </w:tcPr>
          <w:p>
            <w:pPr>
              <w:spacing w:before="0" w:after="30" w:line="245" w:lineRule="auto"/>
            </w:pPr>
            <w:r>
              <w:rPr>
                <w:rFonts w:ascii="Calibri" w:hAnsi="Calibri"/>
                <w:color w:val="18263A"/>
                <w:sz w:val="15"/>
              </w:rPr>
              <w:t>Field Kit: good</w:t>
            </w:r>
          </w:p>
        </w:tc>
        <w:tc>
          <w:tcPr>
            <w:tcW w:type="dxa" w:w="1320"/>
            <w:tcMar>
              <w:top w:w="80" w:type="dxa"/>
              <w:start w:w="100" w:type="dxa"/>
              <w:bottom w:w="80" w:type="dxa"/>
              <w:end w:w="100" w:type="dxa"/>
            </w:tcMar>
            <w:vAlign w:val="top"/>
          </w:tcPr>
          <w:p>
            <w:pPr>
              <w:spacing w:before="0" w:after="30" w:line="245" w:lineRule="auto"/>
            </w:pPr>
            <w:r>
              <w:rPr>
                <w:rFonts w:ascii="Calibri" w:hAnsi="Calibri"/>
                <w:color w:val="18263A"/>
                <w:sz w:val="15"/>
              </w:rPr>
              <w:t>KEEP</w:t>
            </w:r>
          </w:p>
        </w:tc>
        <w:tc>
          <w:tcPr>
            <w:tcW w:type="dxa" w:w="3100"/>
            <w:tcMar>
              <w:top w:w="80" w:type="dxa"/>
              <w:start w:w="100" w:type="dxa"/>
              <w:bottom w:w="80" w:type="dxa"/>
              <w:end w:w="100" w:type="dxa"/>
            </w:tcMar>
            <w:vAlign w:val="top"/>
          </w:tcPr>
          <w:p>
            <w:pPr>
              <w:spacing w:before="0" w:after="30" w:line="245" w:lineRule="auto"/>
            </w:pPr>
            <w:r>
              <w:rPr>
                <w:rFonts w:ascii="Calibri" w:hAnsi="Calibri"/>
                <w:color w:val="18263A"/>
                <w:sz w:val="15"/>
              </w:rPr>
              <w:t>How to Stay Valuable at Work as AI Changes Your Job</w:t>
            </w:r>
          </w:p>
        </w:tc>
        <w:tc>
          <w:tcPr>
            <w:tcW w:type="dxa" w:w="1700"/>
            <w:tcMar>
              <w:top w:w="80" w:type="dxa"/>
              <w:start w:w="100" w:type="dxa"/>
              <w:bottom w:w="80" w:type="dxa"/>
              <w:end w:w="100" w:type="dxa"/>
            </w:tcMar>
            <w:vAlign w:val="top"/>
          </w:tcPr>
          <w:p>
            <w:pPr>
              <w:spacing w:before="0" w:after="30" w:line="245" w:lineRule="auto"/>
            </w:pPr>
            <w:r>
              <w:rPr>
                <w:rFonts w:ascii="Calibri" w:hAnsi="Calibri"/>
                <w:color w:val="18263A"/>
                <w:sz w:val="15"/>
              </w:rPr>
              <w:t>WHAT STILL NEEDS YOU?</w:t>
            </w:r>
          </w:p>
        </w:tc>
      </w:tr>
      <w:tr>
        <w:trPr>
          <w:cantSplit/>
        </w:trPr>
        <w:tc>
          <w:tcPr>
            <w:tcW w:type="dxa" w:w="4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11</w:t>
            </w:r>
          </w:p>
        </w:tc>
        <w:tc>
          <w:tcPr>
            <w:tcW w:type="dxa" w:w="28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No specific personal constraint story supplied; use careful viewer recognition.</w:t>
            </w:r>
          </w:p>
        </w:tc>
        <w:tc>
          <w:tcPr>
            <w:tcW w:type="dxa" w:w="10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Decision Check: exact</w:t>
            </w:r>
          </w:p>
        </w:tc>
        <w:tc>
          <w:tcPr>
            <w:tcW w:type="dxa" w:w="13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KEEP</w:t>
            </w:r>
          </w:p>
        </w:tc>
        <w:tc>
          <w:tcPr>
            <w:tcW w:type="dxa" w:w="31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What to Do When You Can’t Quit Your Job Yet</w:t>
            </w:r>
          </w:p>
        </w:tc>
        <w:tc>
          <w:tcPr>
            <w:tcW w:type="dxa" w:w="17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YOU DON’T HAVE TO LEAVE</w:t>
            </w:r>
          </w:p>
        </w:tc>
      </w:tr>
      <w:tr>
        <w:trPr>
          <w:cantSplit/>
        </w:trPr>
        <w:tc>
          <w:tcPr>
            <w:tcW w:type="dxa" w:w="420"/>
            <w:tcMar>
              <w:top w:w="80" w:type="dxa"/>
              <w:start w:w="100" w:type="dxa"/>
              <w:bottom w:w="80" w:type="dxa"/>
              <w:end w:w="100" w:type="dxa"/>
            </w:tcMar>
            <w:vAlign w:val="top"/>
          </w:tcPr>
          <w:p>
            <w:pPr>
              <w:spacing w:before="0" w:after="30" w:line="245" w:lineRule="auto"/>
            </w:pPr>
            <w:r>
              <w:rPr>
                <w:rFonts w:ascii="Calibri" w:hAnsi="Calibri"/>
                <w:color w:val="18263A"/>
                <w:sz w:val="15"/>
              </w:rPr>
              <w:t>12</w:t>
            </w:r>
          </w:p>
        </w:tc>
        <w:tc>
          <w:tcPr>
            <w:tcW w:type="dxa" w:w="2860"/>
            <w:tcMar>
              <w:top w:w="80" w:type="dxa"/>
              <w:start w:w="100" w:type="dxa"/>
              <w:bottom w:w="80" w:type="dxa"/>
              <w:end w:w="100" w:type="dxa"/>
            </w:tcMar>
            <w:vAlign w:val="top"/>
          </w:tcPr>
          <w:p>
            <w:pPr>
              <w:spacing w:before="0" w:after="30" w:line="245" w:lineRule="auto"/>
            </w:pPr>
            <w:r>
              <w:rPr>
                <w:rFonts w:ascii="Calibri" w:hAnsi="Calibri"/>
                <w:color w:val="18263A"/>
                <w:sz w:val="15"/>
              </w:rPr>
              <w:t>NABA recruiter support; Black Employee Network; IAPP chapter; cross-functional work.</w:t>
            </w:r>
          </w:p>
        </w:tc>
        <w:tc>
          <w:tcPr>
            <w:tcW w:type="dxa" w:w="1000"/>
            <w:tcMar>
              <w:top w:w="80" w:type="dxa"/>
              <w:start w:w="100" w:type="dxa"/>
              <w:bottom w:w="80" w:type="dxa"/>
              <w:end w:w="100" w:type="dxa"/>
            </w:tcMar>
            <w:vAlign w:val="top"/>
          </w:tcPr>
          <w:p>
            <w:pPr>
              <w:spacing w:before="0" w:after="30" w:line="245" w:lineRule="auto"/>
            </w:pPr>
            <w:r>
              <w:rPr>
                <w:rFonts w:ascii="Calibri" w:hAnsi="Calibri"/>
                <w:color w:val="18263A"/>
                <w:sz w:val="15"/>
              </w:rPr>
              <w:t>Field Kit: strong</w:t>
            </w:r>
          </w:p>
        </w:tc>
        <w:tc>
          <w:tcPr>
            <w:tcW w:type="dxa" w:w="1320"/>
            <w:tcMar>
              <w:top w:w="80" w:type="dxa"/>
              <w:start w:w="100" w:type="dxa"/>
              <w:bottom w:w="80" w:type="dxa"/>
              <w:end w:w="100" w:type="dxa"/>
            </w:tcMar>
            <w:vAlign w:val="top"/>
          </w:tcPr>
          <w:p>
            <w:pPr>
              <w:spacing w:before="0" w:after="30" w:line="245" w:lineRule="auto"/>
            </w:pPr>
            <w:r>
              <w:rPr>
                <w:rFonts w:ascii="Calibri" w:hAnsi="Calibri"/>
                <w:color w:val="18263A"/>
                <w:sz w:val="15"/>
              </w:rPr>
              <w:t>KEEP</w:t>
            </w:r>
          </w:p>
        </w:tc>
        <w:tc>
          <w:tcPr>
            <w:tcW w:type="dxa" w:w="3100"/>
            <w:tcMar>
              <w:top w:w="80" w:type="dxa"/>
              <w:start w:w="100" w:type="dxa"/>
              <w:bottom w:w="80" w:type="dxa"/>
              <w:end w:w="100" w:type="dxa"/>
            </w:tcMar>
            <w:vAlign w:val="top"/>
          </w:tcPr>
          <w:p>
            <w:pPr>
              <w:spacing w:before="0" w:after="30" w:line="245" w:lineRule="auto"/>
            </w:pPr>
            <w:r>
              <w:rPr>
                <w:rFonts w:ascii="Calibri" w:hAnsi="Calibri"/>
                <w:color w:val="18263A"/>
                <w:sz w:val="15"/>
              </w:rPr>
              <w:t>How to Build Career Options Without Quitting Your Job</w:t>
            </w:r>
          </w:p>
        </w:tc>
        <w:tc>
          <w:tcPr>
            <w:tcW w:type="dxa" w:w="1700"/>
            <w:tcMar>
              <w:top w:w="80" w:type="dxa"/>
              <w:start w:w="100" w:type="dxa"/>
              <w:bottom w:w="80" w:type="dxa"/>
              <w:end w:w="100" w:type="dxa"/>
            </w:tcMar>
            <w:vAlign w:val="top"/>
          </w:tcPr>
          <w:p>
            <w:pPr>
              <w:spacing w:before="0" w:after="30" w:line="245" w:lineRule="auto"/>
            </w:pPr>
            <w:r>
              <w:rPr>
                <w:rFonts w:ascii="Calibri" w:hAnsi="Calibri"/>
                <w:color w:val="18263A"/>
                <w:sz w:val="15"/>
              </w:rPr>
              <w:t>BUILD OPTIONS FIRST</w:t>
            </w:r>
          </w:p>
        </w:tc>
      </w:tr>
      <w:tr>
        <w:trPr>
          <w:cantSplit/>
        </w:trPr>
        <w:tc>
          <w:tcPr>
            <w:tcW w:type="dxa" w:w="4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13</w:t>
            </w:r>
          </w:p>
        </w:tc>
        <w:tc>
          <w:tcPr>
            <w:tcW w:type="dxa" w:w="28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Eight industries/sectors; CISM preparation; IAPP; systems thinking across functions.</w:t>
            </w:r>
          </w:p>
        </w:tc>
        <w:tc>
          <w:tcPr>
            <w:tcW w:type="dxa" w:w="10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Field Kit: exact</w:t>
            </w:r>
          </w:p>
        </w:tc>
        <w:tc>
          <w:tcPr>
            <w:tcW w:type="dxa" w:w="13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RETITLE</w:t>
            </w:r>
          </w:p>
        </w:tc>
        <w:tc>
          <w:tcPr>
            <w:tcW w:type="dxa" w:w="31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Which Parts of Your Experience Will Transfer to Another Industry?</w:t>
            </w:r>
          </w:p>
        </w:tc>
        <w:tc>
          <w:tcPr>
            <w:tcW w:type="dxa" w:w="17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WHAT ACTUALLY TRAVELS?</w:t>
            </w:r>
          </w:p>
        </w:tc>
      </w:tr>
      <w:tr>
        <w:trPr>
          <w:cantSplit/>
        </w:trPr>
        <w:tc>
          <w:tcPr>
            <w:tcW w:type="dxa" w:w="420"/>
            <w:tcMar>
              <w:top w:w="80" w:type="dxa"/>
              <w:start w:w="100" w:type="dxa"/>
              <w:bottom w:w="80" w:type="dxa"/>
              <w:end w:w="100" w:type="dxa"/>
            </w:tcMar>
            <w:vAlign w:val="top"/>
          </w:tcPr>
          <w:p>
            <w:pPr>
              <w:spacing w:before="0" w:after="30" w:line="245" w:lineRule="auto"/>
            </w:pPr>
            <w:r>
              <w:rPr>
                <w:rFonts w:ascii="Calibri" w:hAnsi="Calibri"/>
                <w:color w:val="18263A"/>
                <w:sz w:val="15"/>
              </w:rPr>
              <w:t>14</w:t>
            </w:r>
          </w:p>
        </w:tc>
        <w:tc>
          <w:tcPr>
            <w:tcW w:type="dxa" w:w="2860"/>
            <w:tcMar>
              <w:top w:w="80" w:type="dxa"/>
              <w:start w:w="100" w:type="dxa"/>
              <w:bottom w:w="80" w:type="dxa"/>
              <w:end w:w="100" w:type="dxa"/>
            </w:tcMar>
            <w:vAlign w:val="top"/>
          </w:tcPr>
          <w:p>
            <w:pPr>
              <w:spacing w:before="0" w:after="30" w:line="245" w:lineRule="auto"/>
            </w:pPr>
            <w:r>
              <w:rPr>
                <w:rFonts w:ascii="Calibri" w:hAnsi="Calibri"/>
                <w:color w:val="18263A"/>
                <w:sz w:val="15"/>
              </w:rPr>
              <w:t>18-year arc and current progression; do not imply Temidayo’s age.</w:t>
            </w:r>
          </w:p>
        </w:tc>
        <w:tc>
          <w:tcPr>
            <w:tcW w:type="dxa" w:w="1000"/>
            <w:tcMar>
              <w:top w:w="80" w:type="dxa"/>
              <w:start w:w="100" w:type="dxa"/>
              <w:bottom w:w="80" w:type="dxa"/>
              <w:end w:w="100" w:type="dxa"/>
            </w:tcMar>
            <w:vAlign w:val="top"/>
          </w:tcPr>
          <w:p>
            <w:pPr>
              <w:spacing w:before="0" w:after="30" w:line="245" w:lineRule="auto"/>
            </w:pPr>
            <w:r>
              <w:rPr>
                <w:rFonts w:ascii="Calibri" w:hAnsi="Calibri"/>
                <w:color w:val="18263A"/>
                <w:sz w:val="15"/>
              </w:rPr>
              <w:t>Field Kit: strong</w:t>
            </w:r>
          </w:p>
        </w:tc>
        <w:tc>
          <w:tcPr>
            <w:tcW w:type="dxa" w:w="1320"/>
            <w:tcMar>
              <w:top w:w="80" w:type="dxa"/>
              <w:start w:w="100" w:type="dxa"/>
              <w:bottom w:w="80" w:type="dxa"/>
              <w:end w:w="100" w:type="dxa"/>
            </w:tcMar>
            <w:vAlign w:val="top"/>
          </w:tcPr>
          <w:p>
            <w:pPr>
              <w:spacing w:before="0" w:after="30" w:line="245" w:lineRule="auto"/>
            </w:pPr>
            <w:r>
              <w:rPr>
                <w:rFonts w:ascii="Calibri" w:hAnsi="Calibri"/>
                <w:color w:val="18263A"/>
                <w:sz w:val="15"/>
              </w:rPr>
              <w:t>RETITLE</w:t>
            </w:r>
          </w:p>
        </w:tc>
        <w:tc>
          <w:tcPr>
            <w:tcW w:type="dxa" w:w="3100"/>
            <w:tcMar>
              <w:top w:w="80" w:type="dxa"/>
              <w:start w:w="100" w:type="dxa"/>
              <w:bottom w:w="80" w:type="dxa"/>
              <w:end w:w="100" w:type="dxa"/>
            </w:tcMar>
            <w:vAlign w:val="top"/>
          </w:tcPr>
          <w:p>
            <w:pPr>
              <w:spacing w:before="0" w:after="30" w:line="245" w:lineRule="auto"/>
            </w:pPr>
            <w:r>
              <w:rPr>
                <w:rFonts w:ascii="Calibri" w:hAnsi="Calibri"/>
                <w:color w:val="18263A"/>
                <w:sz w:val="15"/>
              </w:rPr>
              <w:t>How to Stay Relevant After 40 Without Erasing Your Experience</w:t>
            </w:r>
          </w:p>
        </w:tc>
        <w:tc>
          <w:tcPr>
            <w:tcW w:type="dxa" w:w="1700"/>
            <w:tcMar>
              <w:top w:w="80" w:type="dxa"/>
              <w:start w:w="100" w:type="dxa"/>
              <w:bottom w:w="80" w:type="dxa"/>
              <w:end w:w="100" w:type="dxa"/>
            </w:tcMar>
            <w:vAlign w:val="top"/>
          </w:tcPr>
          <w:p>
            <w:pPr>
              <w:spacing w:before="0" w:after="30" w:line="245" w:lineRule="auto"/>
            </w:pPr>
            <w:r>
              <w:rPr>
                <w:rFonts w:ascii="Calibri" w:hAnsi="Calibri"/>
                <w:color w:val="18263A"/>
                <w:sz w:val="15"/>
              </w:rPr>
              <w:t>DON’T ERASE 20 YEARS</w:t>
            </w:r>
          </w:p>
        </w:tc>
      </w:tr>
      <w:tr>
        <w:trPr>
          <w:cantSplit/>
        </w:trPr>
        <w:tc>
          <w:tcPr>
            <w:tcW w:type="dxa" w:w="4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15</w:t>
            </w:r>
          </w:p>
        </w:tc>
        <w:tc>
          <w:tcPr>
            <w:tcW w:type="dxa" w:w="28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Raising hand; executive 1:1s; internal visibility; exact turning point needed.</w:t>
            </w:r>
          </w:p>
        </w:tc>
        <w:tc>
          <w:tcPr>
            <w:tcW w:type="dxa" w:w="10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Field Kit → KTP</w:t>
            </w:r>
          </w:p>
        </w:tc>
        <w:tc>
          <w:tcPr>
            <w:tcW w:type="dxa" w:w="13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RETITLE</w:t>
            </w:r>
          </w:p>
        </w:tc>
        <w:tc>
          <w:tcPr>
            <w:tcW w:type="dxa" w:w="31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What to Do When Your Work Is Valued but You Are Overlooked</w:t>
            </w:r>
          </w:p>
        </w:tc>
        <w:tc>
          <w:tcPr>
            <w:tcW w:type="dxa" w:w="17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VALUED—BUT OVERLOOKED</w:t>
            </w:r>
          </w:p>
        </w:tc>
      </w:tr>
      <w:tr>
        <w:trPr>
          <w:cantSplit/>
        </w:trPr>
        <w:tc>
          <w:tcPr>
            <w:tcW w:type="dxa" w:w="420"/>
            <w:tcMar>
              <w:top w:w="80" w:type="dxa"/>
              <w:start w:w="100" w:type="dxa"/>
              <w:bottom w:w="80" w:type="dxa"/>
              <w:end w:w="100" w:type="dxa"/>
            </w:tcMar>
            <w:vAlign w:val="top"/>
          </w:tcPr>
          <w:p>
            <w:pPr>
              <w:spacing w:before="0" w:after="30" w:line="245" w:lineRule="auto"/>
            </w:pPr>
            <w:r>
              <w:rPr>
                <w:rFonts w:ascii="Calibri" w:hAnsi="Calibri"/>
                <w:color w:val="18263A"/>
                <w:sz w:val="15"/>
              </w:rPr>
              <w:t>16</w:t>
            </w:r>
          </w:p>
        </w:tc>
        <w:tc>
          <w:tcPr>
            <w:tcW w:type="dxa" w:w="2860"/>
            <w:tcMar>
              <w:top w:w="80" w:type="dxa"/>
              <w:start w:w="100" w:type="dxa"/>
              <w:bottom w:w="80" w:type="dxa"/>
              <w:end w:w="100" w:type="dxa"/>
            </w:tcMar>
            <w:vAlign w:val="top"/>
          </w:tcPr>
          <w:p>
            <w:pPr>
              <w:spacing w:before="0" w:after="30" w:line="245" w:lineRule="auto"/>
            </w:pPr>
            <w:r>
              <w:rPr>
                <w:rFonts w:ascii="Calibri" w:hAnsi="Calibri"/>
                <w:color w:val="18263A"/>
                <w:sz w:val="15"/>
              </w:rPr>
              <w:t>Needs exact AI/accountability example; current proof is conceptual.</w:t>
            </w:r>
          </w:p>
        </w:tc>
        <w:tc>
          <w:tcPr>
            <w:tcW w:type="dxa" w:w="1000"/>
            <w:tcMar>
              <w:top w:w="80" w:type="dxa"/>
              <w:start w:w="100" w:type="dxa"/>
              <w:bottom w:w="80" w:type="dxa"/>
              <w:end w:w="100" w:type="dxa"/>
            </w:tcMar>
            <w:vAlign w:val="top"/>
          </w:tcPr>
          <w:p>
            <w:pPr>
              <w:spacing w:before="0" w:after="30" w:line="245" w:lineRule="auto"/>
            </w:pPr>
            <w:r>
              <w:rPr>
                <w:rFonts w:ascii="Calibri" w:hAnsi="Calibri"/>
                <w:color w:val="18263A"/>
                <w:sz w:val="15"/>
              </w:rPr>
              <w:t>KTP: exact</w:t>
            </w:r>
          </w:p>
        </w:tc>
        <w:tc>
          <w:tcPr>
            <w:tcW w:type="dxa" w:w="1320"/>
            <w:tcMar>
              <w:top w:w="80" w:type="dxa"/>
              <w:start w:w="100" w:type="dxa"/>
              <w:bottom w:w="80" w:type="dxa"/>
              <w:end w:w="100" w:type="dxa"/>
            </w:tcMar>
            <w:vAlign w:val="top"/>
          </w:tcPr>
          <w:p>
            <w:pPr>
              <w:spacing w:before="0" w:after="30" w:line="245" w:lineRule="auto"/>
            </w:pPr>
            <w:r>
              <w:rPr>
                <w:rFonts w:ascii="Calibri" w:hAnsi="Calibri"/>
                <w:color w:val="18263A"/>
                <w:sz w:val="15"/>
              </w:rPr>
              <w:t>KEEP / shorten</w:t>
            </w:r>
          </w:p>
        </w:tc>
        <w:tc>
          <w:tcPr>
            <w:tcW w:type="dxa" w:w="3100"/>
            <w:tcMar>
              <w:top w:w="80" w:type="dxa"/>
              <w:start w:w="100" w:type="dxa"/>
              <w:bottom w:w="80" w:type="dxa"/>
              <w:end w:w="100" w:type="dxa"/>
            </w:tcMar>
            <w:vAlign w:val="top"/>
          </w:tcPr>
          <w:p>
            <w:pPr>
              <w:spacing w:before="0" w:after="30" w:line="245" w:lineRule="auto"/>
            </w:pPr>
            <w:r>
              <w:rPr>
                <w:rFonts w:ascii="Calibri" w:hAnsi="Calibri"/>
                <w:color w:val="18263A"/>
                <w:sz w:val="15"/>
              </w:rPr>
              <w:t>How to Prove Your Value When AI Does More of the Task</w:t>
            </w:r>
          </w:p>
        </w:tc>
        <w:tc>
          <w:tcPr>
            <w:tcW w:type="dxa" w:w="1700"/>
            <w:tcMar>
              <w:top w:w="80" w:type="dxa"/>
              <w:start w:w="100" w:type="dxa"/>
              <w:bottom w:w="80" w:type="dxa"/>
              <w:end w:w="100" w:type="dxa"/>
            </w:tcMar>
            <w:vAlign w:val="top"/>
          </w:tcPr>
          <w:p>
            <w:pPr>
              <w:spacing w:before="0" w:after="30" w:line="245" w:lineRule="auto"/>
            </w:pPr>
            <w:r>
              <w:rPr>
                <w:rFonts w:ascii="Calibri" w:hAnsi="Calibri"/>
                <w:color w:val="18263A"/>
                <w:sz w:val="15"/>
              </w:rPr>
              <w:t>OUTPUT ISN’T ENOUGH</w:t>
            </w:r>
          </w:p>
        </w:tc>
      </w:tr>
      <w:tr>
        <w:trPr>
          <w:cantSplit/>
        </w:trPr>
        <w:tc>
          <w:tcPr>
            <w:tcW w:type="dxa" w:w="4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17</w:t>
            </w:r>
          </w:p>
        </w:tc>
        <w:tc>
          <w:tcPr>
            <w:tcW w:type="dxa" w:w="28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No unique proof beat assigned.</w:t>
            </w:r>
          </w:p>
        </w:tc>
        <w:tc>
          <w:tcPr>
            <w:tcW w:type="dxa" w:w="10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Field Kit: adequate</w:t>
            </w:r>
          </w:p>
        </w:tc>
        <w:tc>
          <w:tcPr>
            <w:tcW w:type="dxa" w:w="13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REPLACE</w:t>
            </w:r>
          </w:p>
        </w:tc>
        <w:tc>
          <w:tcPr>
            <w:tcW w:type="dxa" w:w="31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Senior-path decision video</w:t>
            </w:r>
          </w:p>
        </w:tc>
        <w:tc>
          <w:tcPr>
            <w:tcW w:type="dxa" w:w="17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w:t>
            </w:r>
          </w:p>
        </w:tc>
      </w:tr>
      <w:tr>
        <w:trPr>
          <w:cantSplit/>
        </w:trPr>
        <w:tc>
          <w:tcPr>
            <w:tcW w:type="dxa" w:w="420"/>
            <w:tcMar>
              <w:top w:w="80" w:type="dxa"/>
              <w:start w:w="100" w:type="dxa"/>
              <w:bottom w:w="80" w:type="dxa"/>
              <w:end w:w="100" w:type="dxa"/>
            </w:tcMar>
            <w:vAlign w:val="top"/>
          </w:tcPr>
          <w:p>
            <w:pPr>
              <w:spacing w:before="0" w:after="30" w:line="245" w:lineRule="auto"/>
            </w:pPr>
            <w:r>
              <w:rPr>
                <w:rFonts w:ascii="Calibri" w:hAnsi="Calibri"/>
                <w:color w:val="18263A"/>
                <w:sz w:val="15"/>
              </w:rPr>
              <w:t>18</w:t>
            </w:r>
          </w:p>
        </w:tc>
        <w:tc>
          <w:tcPr>
            <w:tcW w:type="dxa" w:w="2860"/>
            <w:tcMar>
              <w:top w:w="80" w:type="dxa"/>
              <w:start w:w="100" w:type="dxa"/>
              <w:bottom w:w="80" w:type="dxa"/>
              <w:end w:w="100" w:type="dxa"/>
            </w:tcMar>
            <w:vAlign w:val="top"/>
          </w:tcPr>
          <w:p>
            <w:pPr>
              <w:spacing w:before="0" w:after="30" w:line="245" w:lineRule="auto"/>
            </w:pPr>
            <w:r>
              <w:rPr>
                <w:rFonts w:ascii="Calibri" w:hAnsi="Calibri"/>
                <w:color w:val="18263A"/>
                <w:sz w:val="15"/>
              </w:rPr>
              <w:t>Enterprise transformation experience; needs actual example.</w:t>
            </w:r>
          </w:p>
        </w:tc>
        <w:tc>
          <w:tcPr>
            <w:tcW w:type="dxa" w:w="1000"/>
            <w:tcMar>
              <w:top w:w="80" w:type="dxa"/>
              <w:start w:w="100" w:type="dxa"/>
              <w:bottom w:w="80" w:type="dxa"/>
              <w:end w:w="100" w:type="dxa"/>
            </w:tcMar>
            <w:vAlign w:val="top"/>
          </w:tcPr>
          <w:p>
            <w:pPr>
              <w:spacing w:before="0" w:after="30" w:line="245" w:lineRule="auto"/>
            </w:pPr>
            <w:r>
              <w:rPr>
                <w:rFonts w:ascii="Calibri" w:hAnsi="Calibri"/>
                <w:color w:val="18263A"/>
                <w:sz w:val="15"/>
              </w:rPr>
              <w:t>Soft: acceptable</w:t>
            </w:r>
          </w:p>
        </w:tc>
        <w:tc>
          <w:tcPr>
            <w:tcW w:type="dxa" w:w="1320"/>
            <w:tcMar>
              <w:top w:w="80" w:type="dxa"/>
              <w:start w:w="100" w:type="dxa"/>
              <w:bottom w:w="80" w:type="dxa"/>
              <w:end w:w="100" w:type="dxa"/>
            </w:tcMar>
            <w:vAlign w:val="top"/>
          </w:tcPr>
          <w:p>
            <w:pPr>
              <w:spacing w:before="0" w:after="30" w:line="245" w:lineRule="auto"/>
            </w:pPr>
            <w:r>
              <w:rPr>
                <w:rFonts w:ascii="Calibri" w:hAnsi="Calibri"/>
                <w:color w:val="18263A"/>
                <w:sz w:val="15"/>
              </w:rPr>
              <w:t>MOVE TO BOOK/ENTERPRISE LANE</w:t>
            </w:r>
          </w:p>
        </w:tc>
        <w:tc>
          <w:tcPr>
            <w:tcW w:type="dxa" w:w="3100"/>
            <w:tcMar>
              <w:top w:w="80" w:type="dxa"/>
              <w:start w:w="100" w:type="dxa"/>
              <w:bottom w:w="80" w:type="dxa"/>
              <w:end w:w="100" w:type="dxa"/>
            </w:tcMar>
            <w:vAlign w:val="top"/>
          </w:tcPr>
          <w:p>
            <w:pPr>
              <w:spacing w:before="0" w:after="30" w:line="245" w:lineRule="auto"/>
            </w:pPr>
            <w:r>
              <w:rPr>
                <w:rFonts w:ascii="Calibri" w:hAnsi="Calibri"/>
                <w:color w:val="18263A"/>
                <w:sz w:val="15"/>
              </w:rPr>
              <w:t>Senior IC vs management decision</w:t>
            </w:r>
          </w:p>
        </w:tc>
        <w:tc>
          <w:tcPr>
            <w:tcW w:type="dxa" w:w="1700"/>
            <w:tcMar>
              <w:top w:w="80" w:type="dxa"/>
              <w:start w:w="100" w:type="dxa"/>
              <w:bottom w:w="80" w:type="dxa"/>
              <w:end w:w="100" w:type="dxa"/>
            </w:tcMar>
            <w:vAlign w:val="top"/>
          </w:tcPr>
          <w:p>
            <w:pPr>
              <w:spacing w:before="0" w:after="30" w:line="245" w:lineRule="auto"/>
            </w:pPr>
            <w:r>
              <w:rPr>
                <w:rFonts w:ascii="Calibri" w:hAnsi="Calibri"/>
                <w:color w:val="18263A"/>
                <w:sz w:val="15"/>
              </w:rPr>
              <w:t>—</w:t>
            </w:r>
          </w:p>
        </w:tc>
      </w:tr>
      <w:tr>
        <w:trPr>
          <w:cantSplit/>
        </w:trPr>
        <w:tc>
          <w:tcPr>
            <w:tcW w:type="dxa" w:w="4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19</w:t>
            </w:r>
          </w:p>
        </w:tc>
        <w:tc>
          <w:tcPr>
            <w:tcW w:type="dxa" w:w="28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Capability Formation thesis; no immediate individual action.</w:t>
            </w:r>
          </w:p>
        </w:tc>
        <w:tc>
          <w:tcPr>
            <w:tcW w:type="dxa" w:w="10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Soft: good</w:t>
            </w:r>
          </w:p>
        </w:tc>
        <w:tc>
          <w:tcPr>
            <w:tcW w:type="dxa" w:w="13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MOVE TO BOOK/ENTERPRISE LANE</w:t>
            </w:r>
          </w:p>
        </w:tc>
        <w:tc>
          <w:tcPr>
            <w:tcW w:type="dxa" w:w="31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Career re-entry video</w:t>
            </w:r>
          </w:p>
        </w:tc>
        <w:tc>
          <w:tcPr>
            <w:tcW w:type="dxa" w:w="17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w:t>
            </w:r>
          </w:p>
        </w:tc>
      </w:tr>
      <w:tr>
        <w:trPr>
          <w:cantSplit/>
        </w:trPr>
        <w:tc>
          <w:tcPr>
            <w:tcW w:type="dxa" w:w="420"/>
            <w:tcMar>
              <w:top w:w="80" w:type="dxa"/>
              <w:start w:w="100" w:type="dxa"/>
              <w:bottom w:w="80" w:type="dxa"/>
              <w:end w:w="100" w:type="dxa"/>
            </w:tcMar>
            <w:vAlign w:val="top"/>
          </w:tcPr>
          <w:p>
            <w:pPr>
              <w:spacing w:before="0" w:after="30" w:line="245" w:lineRule="auto"/>
            </w:pPr>
            <w:r>
              <w:rPr>
                <w:rFonts w:ascii="Calibri" w:hAnsi="Calibri"/>
                <w:color w:val="18263A"/>
                <w:sz w:val="15"/>
              </w:rPr>
              <w:t>20</w:t>
            </w:r>
          </w:p>
        </w:tc>
        <w:tc>
          <w:tcPr>
            <w:tcW w:type="dxa" w:w="2860"/>
            <w:tcMar>
              <w:top w:w="80" w:type="dxa"/>
              <w:start w:w="100" w:type="dxa"/>
              <w:bottom w:w="80" w:type="dxa"/>
              <w:end w:w="100" w:type="dxa"/>
            </w:tcMar>
            <w:vAlign w:val="top"/>
          </w:tcPr>
          <w:p>
            <w:pPr>
              <w:spacing w:before="0" w:after="30" w:line="245" w:lineRule="auto"/>
            </w:pPr>
            <w:r>
              <w:rPr>
                <w:rFonts w:ascii="Calibri" w:hAnsi="Calibri"/>
                <w:color w:val="18263A"/>
                <w:sz w:val="15"/>
              </w:rPr>
              <w:t>CISM/IAPP experience could support learning, not AI specifically.</w:t>
            </w:r>
          </w:p>
        </w:tc>
        <w:tc>
          <w:tcPr>
            <w:tcW w:type="dxa" w:w="1000"/>
            <w:tcMar>
              <w:top w:w="80" w:type="dxa"/>
              <w:start w:w="100" w:type="dxa"/>
              <w:bottom w:w="80" w:type="dxa"/>
              <w:end w:w="100" w:type="dxa"/>
            </w:tcMar>
            <w:vAlign w:val="top"/>
          </w:tcPr>
          <w:p>
            <w:pPr>
              <w:spacing w:before="0" w:after="30" w:line="245" w:lineRule="auto"/>
            </w:pPr>
            <w:r>
              <w:rPr>
                <w:rFonts w:ascii="Calibri" w:hAnsi="Calibri"/>
                <w:color w:val="18263A"/>
                <w:sz w:val="15"/>
              </w:rPr>
              <w:t>Soft: adequate</w:t>
            </w:r>
          </w:p>
        </w:tc>
        <w:tc>
          <w:tcPr>
            <w:tcW w:type="dxa" w:w="1320"/>
            <w:tcMar>
              <w:top w:w="80" w:type="dxa"/>
              <w:start w:w="100" w:type="dxa"/>
              <w:bottom w:w="80" w:type="dxa"/>
              <w:end w:w="100" w:type="dxa"/>
            </w:tcMar>
            <w:vAlign w:val="top"/>
          </w:tcPr>
          <w:p>
            <w:pPr>
              <w:spacing w:before="0" w:after="30" w:line="245" w:lineRule="auto"/>
            </w:pPr>
            <w:r>
              <w:rPr>
                <w:rFonts w:ascii="Calibri" w:hAnsi="Calibri"/>
                <w:color w:val="18263A"/>
                <w:sz w:val="15"/>
              </w:rPr>
              <w:t>REPLACE / preserve idea later</w:t>
            </w:r>
          </w:p>
        </w:tc>
        <w:tc>
          <w:tcPr>
            <w:tcW w:type="dxa" w:w="3100"/>
            <w:tcMar>
              <w:top w:w="80" w:type="dxa"/>
              <w:start w:w="100" w:type="dxa"/>
              <w:bottom w:w="80" w:type="dxa"/>
              <w:end w:w="100" w:type="dxa"/>
            </w:tcMar>
            <w:vAlign w:val="top"/>
          </w:tcPr>
          <w:p>
            <w:pPr>
              <w:spacing w:before="0" w:after="30" w:line="245" w:lineRule="auto"/>
            </w:pPr>
            <w:r>
              <w:rPr>
                <w:rFonts w:ascii="Calibri" w:hAnsi="Calibri"/>
                <w:color w:val="18263A"/>
                <w:sz w:val="15"/>
              </w:rPr>
              <w:t>Industry-relearning video</w:t>
            </w:r>
          </w:p>
        </w:tc>
        <w:tc>
          <w:tcPr>
            <w:tcW w:type="dxa" w:w="1700"/>
            <w:tcMar>
              <w:top w:w="80" w:type="dxa"/>
              <w:start w:w="100" w:type="dxa"/>
              <w:bottom w:w="80" w:type="dxa"/>
              <w:end w:w="100" w:type="dxa"/>
            </w:tcMar>
            <w:vAlign w:val="top"/>
          </w:tcPr>
          <w:p>
            <w:pPr>
              <w:spacing w:before="0" w:after="30" w:line="245" w:lineRule="auto"/>
            </w:pPr>
            <w:r>
              <w:rPr>
                <w:rFonts w:ascii="Calibri" w:hAnsi="Calibri"/>
                <w:color w:val="18263A"/>
                <w:sz w:val="15"/>
              </w:rPr>
              <w:t>—</w:t>
            </w:r>
          </w:p>
        </w:tc>
      </w:tr>
      <w:tr>
        <w:trPr>
          <w:cantSplit/>
        </w:trPr>
        <w:tc>
          <w:tcPr>
            <w:tcW w:type="dxa" w:w="4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21</w:t>
            </w:r>
          </w:p>
        </w:tc>
        <w:tc>
          <w:tcPr>
            <w:tcW w:type="dxa" w:w="28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Progression and some skip-level moves; no every-industry claim.</w:t>
            </w:r>
          </w:p>
        </w:tc>
        <w:tc>
          <w:tcPr>
            <w:tcW w:type="dxa" w:w="10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Decision Check: exact</w:t>
            </w:r>
          </w:p>
        </w:tc>
        <w:tc>
          <w:tcPr>
            <w:tcW w:type="dxa" w:w="13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KEEP</w:t>
            </w:r>
          </w:p>
        </w:tc>
        <w:tc>
          <w:tcPr>
            <w:tcW w:type="dxa" w:w="31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No Promotion? How to Know Whether to Wait or Move On</w:t>
            </w:r>
          </w:p>
        </w:tc>
        <w:tc>
          <w:tcPr>
            <w:tcW w:type="dxa" w:w="17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WAIT OR MOVE?</w:t>
            </w:r>
          </w:p>
        </w:tc>
      </w:tr>
      <w:tr>
        <w:trPr>
          <w:cantSplit/>
        </w:trPr>
        <w:tc>
          <w:tcPr>
            <w:tcW w:type="dxa" w:w="420"/>
            <w:tcMar>
              <w:top w:w="80" w:type="dxa"/>
              <w:start w:w="100" w:type="dxa"/>
              <w:bottom w:w="80" w:type="dxa"/>
              <w:end w:w="100" w:type="dxa"/>
            </w:tcMar>
            <w:vAlign w:val="top"/>
          </w:tcPr>
          <w:p>
            <w:pPr>
              <w:spacing w:before="0" w:after="30" w:line="245" w:lineRule="auto"/>
            </w:pPr>
            <w:r>
              <w:rPr>
                <w:rFonts w:ascii="Calibri" w:hAnsi="Calibri"/>
                <w:color w:val="18263A"/>
                <w:sz w:val="15"/>
              </w:rPr>
              <w:t>22</w:t>
            </w:r>
          </w:p>
        </w:tc>
        <w:tc>
          <w:tcPr>
            <w:tcW w:type="dxa" w:w="2860"/>
            <w:tcMar>
              <w:top w:w="80" w:type="dxa"/>
              <w:start w:w="100" w:type="dxa"/>
              <w:bottom w:w="80" w:type="dxa"/>
              <w:end w:w="100" w:type="dxa"/>
            </w:tcMar>
            <w:vAlign w:val="top"/>
          </w:tcPr>
          <w:p>
            <w:pPr>
              <w:spacing w:before="0" w:after="30" w:line="245" w:lineRule="auto"/>
            </w:pPr>
            <w:r>
              <w:rPr>
                <w:rFonts w:ascii="Calibri" w:hAnsi="Calibri"/>
                <w:color w:val="18263A"/>
                <w:sz w:val="15"/>
              </w:rPr>
              <w:t>Enterprise transformation / Head-of-Function perspective; exact flattening example needed.</w:t>
            </w:r>
          </w:p>
        </w:tc>
        <w:tc>
          <w:tcPr>
            <w:tcW w:type="dxa" w:w="1000"/>
            <w:tcMar>
              <w:top w:w="80" w:type="dxa"/>
              <w:start w:w="100" w:type="dxa"/>
              <w:bottom w:w="80" w:type="dxa"/>
              <w:end w:w="100" w:type="dxa"/>
            </w:tcMar>
            <w:vAlign w:val="top"/>
          </w:tcPr>
          <w:p>
            <w:pPr>
              <w:spacing w:before="0" w:after="30" w:line="245" w:lineRule="auto"/>
            </w:pPr>
            <w:r>
              <w:rPr>
                <w:rFonts w:ascii="Calibri" w:hAnsi="Calibri"/>
                <w:color w:val="18263A"/>
                <w:sz w:val="15"/>
              </w:rPr>
              <w:t>Field Kit: strong</w:t>
            </w:r>
          </w:p>
        </w:tc>
        <w:tc>
          <w:tcPr>
            <w:tcW w:type="dxa" w:w="1320"/>
            <w:tcMar>
              <w:top w:w="80" w:type="dxa"/>
              <w:start w:w="100" w:type="dxa"/>
              <w:bottom w:w="80" w:type="dxa"/>
              <w:end w:w="100" w:type="dxa"/>
            </w:tcMar>
            <w:vAlign w:val="top"/>
          </w:tcPr>
          <w:p>
            <w:pPr>
              <w:spacing w:before="0" w:after="30" w:line="245" w:lineRule="auto"/>
            </w:pPr>
            <w:r>
              <w:rPr>
                <w:rFonts w:ascii="Calibri" w:hAnsi="Calibri"/>
                <w:color w:val="18263A"/>
                <w:sz w:val="15"/>
              </w:rPr>
              <w:t>KEEP</w:t>
            </w:r>
          </w:p>
        </w:tc>
        <w:tc>
          <w:tcPr>
            <w:tcW w:type="dxa" w:w="3100"/>
            <w:tcMar>
              <w:top w:w="80" w:type="dxa"/>
              <w:start w:w="100" w:type="dxa"/>
              <w:bottom w:w="80" w:type="dxa"/>
              <w:end w:w="100" w:type="dxa"/>
            </w:tcMar>
            <w:vAlign w:val="top"/>
          </w:tcPr>
          <w:p>
            <w:pPr>
              <w:spacing w:before="0" w:after="30" w:line="245" w:lineRule="auto"/>
            </w:pPr>
            <w:r>
              <w:rPr>
                <w:rFonts w:ascii="Calibri" w:hAnsi="Calibri"/>
                <w:color w:val="18263A"/>
                <w:sz w:val="15"/>
              </w:rPr>
              <w:t>What Happens to Your Career When Your Company Gets Flatter?</w:t>
            </w:r>
          </w:p>
        </w:tc>
        <w:tc>
          <w:tcPr>
            <w:tcW w:type="dxa" w:w="1700"/>
            <w:tcMar>
              <w:top w:w="80" w:type="dxa"/>
              <w:start w:w="100" w:type="dxa"/>
              <w:bottom w:w="80" w:type="dxa"/>
              <w:end w:w="100" w:type="dxa"/>
            </w:tcMar>
            <w:vAlign w:val="top"/>
          </w:tcPr>
          <w:p>
            <w:pPr>
              <w:spacing w:before="0" w:after="30" w:line="245" w:lineRule="auto"/>
            </w:pPr>
            <w:r>
              <w:rPr>
                <w:rFonts w:ascii="Calibri" w:hAnsi="Calibri"/>
                <w:color w:val="18263A"/>
                <w:sz w:val="15"/>
              </w:rPr>
              <w:t>THE LADDER CHANGED</w:t>
            </w:r>
          </w:p>
        </w:tc>
      </w:tr>
      <w:tr>
        <w:trPr>
          <w:cantSplit/>
        </w:trPr>
        <w:tc>
          <w:tcPr>
            <w:tcW w:type="dxa" w:w="4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23</w:t>
            </w:r>
          </w:p>
        </w:tc>
        <w:tc>
          <w:tcPr>
            <w:tcW w:type="dxa" w:w="28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Consultant → Head progression; confirmed outcomes may support if correctly tied.</w:t>
            </w:r>
          </w:p>
        </w:tc>
        <w:tc>
          <w:tcPr>
            <w:tcW w:type="dxa" w:w="10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Field Kit: strong</w:t>
            </w:r>
          </w:p>
        </w:tc>
        <w:tc>
          <w:tcPr>
            <w:tcW w:type="dxa" w:w="132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KEEP</w:t>
            </w:r>
          </w:p>
        </w:tc>
        <w:tc>
          <w:tcPr>
            <w:tcW w:type="dxa" w:w="31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How to Grow When You’re Already Senior in Your Career</w:t>
            </w:r>
          </w:p>
        </w:tc>
        <w:tc>
          <w:tcPr>
            <w:tcW w:type="dxa" w:w="17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WHAT’S NEXT AFTER SENIOR?</w:t>
            </w:r>
          </w:p>
        </w:tc>
      </w:tr>
    </w:tbl>
    <w:p>
      <w:pPr>
        <w:spacing w:after="0"/>
      </w:pPr>
    </w:p>
    <w:p>
      <w:pPr>
        <w:sectPr>
          <w:headerReference w:type="default" r:id="rId13"/>
          <w:footerReference w:type="default" r:id="rId14"/>
          <w:pgSz w:w="15840" w:h="12240" w:orient="landscape"/>
          <w:pgMar w:top="893" w:right="720" w:bottom="893" w:left="720" w:header="605" w:footer="605" w:gutter="0"/>
          <w:cols w:space="720"/>
          <w:docGrid w:linePitch="360"/>
        </w:sectPr>
      </w:pPr>
    </w:p>
    <w:p>
      <w:pPr>
        <w:keepNext/>
        <w:spacing w:after="60"/>
      </w:pPr>
      <w:r>
        <w:rPr>
          <w:rFonts w:ascii="Calibri" w:hAnsi="Calibri"/>
          <w:b/>
          <w:color w:val="C6A646"/>
          <w:sz w:val="18"/>
        </w:rPr>
        <w:t>05  /  REVISED ROADMAP</w:t>
      </w:r>
    </w:p>
    <w:p>
      <w:pPr>
        <w:pStyle w:val="Heading1"/>
        <w:keepNext/>
      </w:pPr>
      <w:r>
        <w:rPr>
          <w:rFonts w:ascii="Calibri" w:hAnsi="Calibri"/>
          <w:b/>
          <w:color w:val="10264B"/>
          <w:sz w:val="32"/>
        </w:rPr>
        <w:t>Revised Videos 4–23: viewer-first, proof-led and commercially coherent</w:t>
      </w:r>
    </w:p>
    <w:p>
      <w:pPr>
        <w:keepLines w:val="0"/>
        <w:spacing w:before="0" w:after="120" w:line="300" w:lineRule="auto"/>
      </w:pPr>
      <w:r>
        <w:rPr>
          <w:rFonts w:ascii="Calibri" w:hAnsi="Calibri"/>
          <w:i w:val="0"/>
          <w:color w:val="18263A"/>
          <w:sz w:val="22"/>
        </w:rPr>
        <w:t>The first six-video playlist remains Videos 1–6. The revised next-twenty sequence below starts with the approved Videos 4–6, then adds the missing portability decisions before returning to senior promotion and organizational change. The title is the searchable doorway; the thumbnail carries the emotional recognition; the opening brings proof; the method earns the CTA.</w:t>
      </w:r>
    </w:p>
    <w:p>
      <w:pPr>
        <w:pStyle w:val="Heading2"/>
        <w:keepNext/>
      </w:pPr>
      <w:r>
        <w:rPr>
          <w:rFonts w:ascii="Calibri" w:hAnsi="Calibri"/>
          <w:b/>
          <w:color w:val="10264B"/>
          <w:sz w:val="26"/>
        </w:rPr>
        <w:t>What is kept, moved and replaced</w:t>
      </w:r>
    </w:p>
    <w:tbl>
      <w:tblPr>
        <w:tblW w:type="dxa" w:w="9360"/>
        <w:jc w:val="center"/>
        <w:tblLook w:firstColumn="1" w:firstRow="1" w:lastColumn="0" w:lastRow="0" w:noHBand="0" w:noVBand="1" w:val="04A0"/>
        <w:tblLayout w:type="fixed"/>
        <w:tblInd w:w="120" w:type="dxa"/>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Pr>
      <w:tblGrid>
        <w:gridCol w:w="1950"/>
        <w:gridCol w:w="2650"/>
        <w:gridCol w:w="4760"/>
      </w:tblGrid>
      <w:tr>
        <w:trPr>
          <w:tblHeader w:val="true"/>
          <w:cantSplit/>
        </w:trPr>
        <w:tc>
          <w:tcPr>
            <w:tcW w:type="dxa" w:w="1950"/>
            <w:tcMar>
              <w:top w:w="80" w:type="dxa"/>
              <w:start w:w="100" w:type="dxa"/>
              <w:bottom w:w="80" w:type="dxa"/>
              <w:end w:w="100" w:type="dxa"/>
            </w:tcMar>
            <w:vAlign w:val="top"/>
            <w:shd w:fill="10264B"/>
          </w:tcPr>
          <w:p>
            <w:pPr>
              <w:spacing w:after="0" w:line="240" w:lineRule="auto"/>
            </w:pPr>
            <w:r/>
            <w:r>
              <w:rPr>
                <w:rFonts w:ascii="Calibri" w:hAnsi="Calibri"/>
                <w:b/>
                <w:color w:val="FFFFFF"/>
                <w:sz w:val="18"/>
              </w:rPr>
              <w:t>Disposition</w:t>
            </w:r>
          </w:p>
        </w:tc>
        <w:tc>
          <w:tcPr>
            <w:tcW w:type="dxa" w:w="2650"/>
            <w:tcMar>
              <w:top w:w="80" w:type="dxa"/>
              <w:start w:w="100" w:type="dxa"/>
              <w:bottom w:w="80" w:type="dxa"/>
              <w:end w:w="100" w:type="dxa"/>
            </w:tcMar>
            <w:vAlign w:val="top"/>
            <w:shd w:fill="10264B"/>
          </w:tcPr>
          <w:p>
            <w:pPr>
              <w:spacing w:after="0" w:line="240" w:lineRule="auto"/>
            </w:pPr>
            <w:r/>
            <w:r>
              <w:rPr>
                <w:rFonts w:ascii="Calibri" w:hAnsi="Calibri"/>
                <w:b/>
                <w:color w:val="FFFFFF"/>
                <w:sz w:val="18"/>
              </w:rPr>
              <w:t>Videos / ideas</w:t>
            </w:r>
          </w:p>
        </w:tc>
        <w:tc>
          <w:tcPr>
            <w:tcW w:type="dxa" w:w="4760"/>
            <w:tcMar>
              <w:top w:w="80" w:type="dxa"/>
              <w:start w:w="100" w:type="dxa"/>
              <w:bottom w:w="80" w:type="dxa"/>
              <w:end w:w="100" w:type="dxa"/>
            </w:tcMar>
            <w:vAlign w:val="top"/>
            <w:shd w:fill="10264B"/>
          </w:tcPr>
          <w:p>
            <w:pPr>
              <w:spacing w:after="0" w:line="240" w:lineRule="auto"/>
            </w:pPr>
            <w:r/>
            <w:r>
              <w:rPr>
                <w:rFonts w:ascii="Calibri" w:hAnsi="Calibri"/>
                <w:b/>
                <w:color w:val="FFFFFF"/>
                <w:sz w:val="18"/>
              </w:rPr>
              <w:t>Why</w:t>
            </w:r>
          </w:p>
        </w:tc>
      </w:tr>
      <w:tr>
        <w:trPr>
          <w:cantSplit/>
        </w:trPr>
        <w:tc>
          <w:tcPr>
            <w:tcW w:type="dxa" w:w="1950"/>
            <w:tcMar>
              <w:top w:w="80" w:type="dxa"/>
              <w:start w:w="100" w:type="dxa"/>
              <w:bottom w:w="80" w:type="dxa"/>
              <w:end w:w="100" w:type="dxa"/>
            </w:tcMar>
            <w:vAlign w:val="top"/>
          </w:tcPr>
          <w:p>
            <w:pPr>
              <w:spacing w:before="0" w:after="30" w:line="245" w:lineRule="auto"/>
            </w:pPr>
            <w:r>
              <w:rPr>
                <w:rFonts w:ascii="Calibri" w:hAnsi="Calibri"/>
                <w:color w:val="18263A"/>
                <w:sz w:val="18"/>
              </w:rPr>
              <w:t>Kept substantially</w:t>
            </w:r>
          </w:p>
        </w:tc>
        <w:tc>
          <w:tcPr>
            <w:tcW w:type="dxa" w:w="2650"/>
            <w:tcMar>
              <w:top w:w="80" w:type="dxa"/>
              <w:start w:w="100" w:type="dxa"/>
              <w:bottom w:w="80" w:type="dxa"/>
              <w:end w:w="100" w:type="dxa"/>
            </w:tcMar>
            <w:vAlign w:val="top"/>
          </w:tcPr>
          <w:p>
            <w:pPr>
              <w:spacing w:before="0" w:after="30" w:line="245" w:lineRule="auto"/>
            </w:pPr>
            <w:r>
              <w:rPr>
                <w:rFonts w:ascii="Calibri" w:hAnsi="Calibri"/>
                <w:color w:val="18263A"/>
                <w:sz w:val="18"/>
              </w:rPr>
              <w:t>4, 5, 6, 7, 9, 10, 11, 12, 16, 21, 22, 23</w:t>
            </w:r>
          </w:p>
        </w:tc>
        <w:tc>
          <w:tcPr>
            <w:tcW w:type="dxa" w:w="4760"/>
            <w:tcMar>
              <w:top w:w="80" w:type="dxa"/>
              <w:start w:w="100" w:type="dxa"/>
              <w:bottom w:w="80" w:type="dxa"/>
              <w:end w:w="100" w:type="dxa"/>
            </w:tcMar>
            <w:vAlign w:val="top"/>
          </w:tcPr>
          <w:p>
            <w:pPr>
              <w:spacing w:before="0" w:after="30" w:line="245" w:lineRule="auto"/>
            </w:pPr>
            <w:r>
              <w:rPr>
                <w:rFonts w:ascii="Calibri" w:hAnsi="Calibri"/>
                <w:color w:val="18263A"/>
                <w:sz w:val="18"/>
              </w:rPr>
              <w:t>These already answer urgent viewer problems and fit the method.</w:t>
            </w:r>
          </w:p>
        </w:tc>
      </w:tr>
      <w:tr>
        <w:trPr>
          <w:cantSplit/>
        </w:trPr>
        <w:tc>
          <w:tcPr>
            <w:tcW w:type="dxa" w:w="195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Retitled / sharpened</w:t>
            </w:r>
          </w:p>
        </w:tc>
        <w:tc>
          <w:tcPr>
            <w:tcW w:type="dxa" w:w="265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5, 13, 14, 15, 16</w:t>
            </w:r>
          </w:p>
        </w:tc>
        <w:tc>
          <w:tcPr>
            <w:tcW w:type="dxa" w:w="476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Approved upload decisions or more specific senior-career language.</w:t>
            </w:r>
          </w:p>
        </w:tc>
      </w:tr>
      <w:tr>
        <w:trPr>
          <w:cantSplit/>
        </w:trPr>
        <w:tc>
          <w:tcPr>
            <w:tcW w:type="dxa" w:w="1950"/>
            <w:tcMar>
              <w:top w:w="80" w:type="dxa"/>
              <w:start w:w="100" w:type="dxa"/>
              <w:bottom w:w="80" w:type="dxa"/>
              <w:end w:w="100" w:type="dxa"/>
            </w:tcMar>
            <w:vAlign w:val="top"/>
          </w:tcPr>
          <w:p>
            <w:pPr>
              <w:spacing w:before="0" w:after="30" w:line="245" w:lineRule="auto"/>
            </w:pPr>
            <w:r>
              <w:rPr>
                <w:rFonts w:ascii="Calibri" w:hAnsi="Calibri"/>
                <w:color w:val="18263A"/>
                <w:sz w:val="18"/>
              </w:rPr>
              <w:t>Moved later</w:t>
            </w:r>
          </w:p>
        </w:tc>
        <w:tc>
          <w:tcPr>
            <w:tcW w:type="dxa" w:w="2650"/>
            <w:tcMar>
              <w:top w:w="80" w:type="dxa"/>
              <w:start w:w="100" w:type="dxa"/>
              <w:bottom w:w="80" w:type="dxa"/>
              <w:end w:w="100" w:type="dxa"/>
            </w:tcMar>
            <w:vAlign w:val="top"/>
          </w:tcPr>
          <w:p>
            <w:pPr>
              <w:spacing w:before="0" w:after="30" w:line="245" w:lineRule="auto"/>
            </w:pPr>
            <w:r>
              <w:rPr>
                <w:rFonts w:ascii="Calibri" w:hAnsi="Calibri"/>
                <w:color w:val="18263A"/>
                <w:sz w:val="18"/>
              </w:rPr>
              <w:t>Current 8, 18, 19</w:t>
            </w:r>
          </w:p>
        </w:tc>
        <w:tc>
          <w:tcPr>
            <w:tcW w:type="dxa" w:w="4760"/>
            <w:tcMar>
              <w:top w:w="80" w:type="dxa"/>
              <w:start w:w="100" w:type="dxa"/>
              <w:bottom w:w="80" w:type="dxa"/>
              <w:end w:w="100" w:type="dxa"/>
            </w:tcMar>
            <w:vAlign w:val="top"/>
          </w:tcPr>
          <w:p>
            <w:pPr>
              <w:spacing w:before="0" w:after="30" w:line="245" w:lineRule="auto"/>
            </w:pPr>
            <w:r>
              <w:rPr>
                <w:rFonts w:ascii="Calibri" w:hAnsi="Calibri"/>
                <w:color w:val="18263A"/>
                <w:sz w:val="18"/>
              </w:rPr>
              <w:t>Interview judgment and enterprise AI questions remain useful but do not lead this viewer-first run.</w:t>
            </w:r>
          </w:p>
        </w:tc>
      </w:tr>
      <w:tr>
        <w:trPr>
          <w:cantSplit/>
        </w:trPr>
        <w:tc>
          <w:tcPr>
            <w:tcW w:type="dxa" w:w="195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Replaced in first twenty</w:t>
            </w:r>
          </w:p>
        </w:tc>
        <w:tc>
          <w:tcPr>
            <w:tcW w:type="dxa" w:w="265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Current 17 and 20; current 19 slot</w:t>
            </w:r>
          </w:p>
        </w:tc>
        <w:tc>
          <w:tcPr>
            <w:tcW w:type="dxa" w:w="476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Add senior-path, consulting, re-entry and industry-relearning decisions.</w:t>
            </w:r>
          </w:p>
        </w:tc>
      </w:tr>
      <w:tr>
        <w:trPr>
          <w:cantSplit/>
        </w:trPr>
        <w:tc>
          <w:tcPr>
            <w:tcW w:type="dxa" w:w="1950"/>
            <w:tcMar>
              <w:top w:w="80" w:type="dxa"/>
              <w:start w:w="100" w:type="dxa"/>
              <w:bottom w:w="80" w:type="dxa"/>
              <w:end w:w="100" w:type="dxa"/>
            </w:tcMar>
            <w:vAlign w:val="top"/>
          </w:tcPr>
          <w:p>
            <w:pPr>
              <w:spacing w:before="0" w:after="30" w:line="245" w:lineRule="auto"/>
            </w:pPr>
            <w:r>
              <w:rPr>
                <w:rFonts w:ascii="Calibri" w:hAnsi="Calibri"/>
                <w:color w:val="18263A"/>
                <w:sz w:val="18"/>
              </w:rPr>
              <w:t>Enterprise/book lane</w:t>
            </w:r>
          </w:p>
        </w:tc>
        <w:tc>
          <w:tcPr>
            <w:tcW w:type="dxa" w:w="2650"/>
            <w:tcMar>
              <w:top w:w="80" w:type="dxa"/>
              <w:start w:w="100" w:type="dxa"/>
              <w:bottom w:w="80" w:type="dxa"/>
              <w:end w:w="100" w:type="dxa"/>
            </w:tcMar>
            <w:vAlign w:val="top"/>
          </w:tcPr>
          <w:p>
            <w:pPr>
              <w:spacing w:before="0" w:after="30" w:line="245" w:lineRule="auto"/>
            </w:pPr>
            <w:r>
              <w:rPr>
                <w:rFonts w:ascii="Calibri" w:hAnsi="Calibri"/>
                <w:color w:val="18263A"/>
                <w:sz w:val="18"/>
              </w:rPr>
              <w:t>AI middle management; junior-work apprenticeship; AI first-draft practice</w:t>
            </w:r>
          </w:p>
        </w:tc>
        <w:tc>
          <w:tcPr>
            <w:tcW w:type="dxa" w:w="4760"/>
            <w:tcMar>
              <w:top w:w="80" w:type="dxa"/>
              <w:start w:w="100" w:type="dxa"/>
              <w:bottom w:w="80" w:type="dxa"/>
              <w:end w:w="100" w:type="dxa"/>
            </w:tcMar>
            <w:vAlign w:val="top"/>
          </w:tcPr>
          <w:p>
            <w:pPr>
              <w:spacing w:before="0" w:after="30" w:line="245" w:lineRule="auto"/>
            </w:pPr>
            <w:r>
              <w:rPr>
                <w:rFonts w:ascii="Calibri" w:hAnsi="Calibri"/>
                <w:color w:val="18263A"/>
                <w:sz w:val="18"/>
              </w:rPr>
              <w:t>These strengthen The Capability Audit and speaking platform more than the immediate viewer sequence.</w:t>
            </w:r>
          </w:p>
        </w:tc>
      </w:tr>
    </w:tbl>
    <w:p>
      <w:pPr>
        <w:spacing w:after="0"/>
      </w:pPr>
    </w:p>
    <w:p>
      <w:pPr>
        <w:sectPr>
          <w:headerReference w:type="default" r:id="rId15"/>
          <w:footerReference w:type="default" r:id="rId16"/>
          <w:pgSz w:w="12240" w:h="15840"/>
          <w:pgMar w:top="1181" w:right="1440" w:bottom="1181" w:left="1440" w:header="605" w:footer="605" w:gutter="0"/>
          <w:cols w:space="720"/>
          <w:docGrid w:linePitch="360"/>
        </w:sectPr>
      </w:pPr>
    </w:p>
    <w:p>
      <w:pPr>
        <w:keepNext/>
        <w:spacing w:after="60"/>
      </w:pPr>
      <w:r>
        <w:rPr>
          <w:rFonts w:ascii="Calibri" w:hAnsi="Calibri"/>
          <w:b/>
          <w:color w:val="C6A646"/>
          <w:sz w:val="18"/>
        </w:rPr>
        <w:t>REVISED ROADMAP  /  SEQUENCE</w:t>
      </w:r>
    </w:p>
    <w:p>
      <w:pPr>
        <w:pStyle w:val="Heading1"/>
        <w:keepNext/>
      </w:pPr>
      <w:r>
        <w:rPr>
          <w:rFonts w:ascii="Calibri" w:hAnsi="Calibri"/>
          <w:b/>
          <w:color w:val="10264B"/>
          <w:sz w:val="32"/>
        </w:rPr>
        <w:t>Titles, thumbnails, viewer questions and CTA routing</w:t>
      </w:r>
    </w:p>
    <w:tbl>
      <w:tblPr>
        <w:tblW w:type="dxa" w:w="10400"/>
        <w:jc w:val="center"/>
        <w:tblLook w:firstColumn="1" w:firstRow="1" w:lastColumn="0" w:lastRow="0" w:noHBand="0" w:noVBand="1" w:val="04A0"/>
        <w:tblLayout w:type="fixed"/>
        <w:tblInd w:w="120" w:type="dxa"/>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Pr>
      <w:tblGrid>
        <w:gridCol w:w="360"/>
        <w:gridCol w:w="2580"/>
        <w:gridCol w:w="1500"/>
        <w:gridCol w:w="2600"/>
        <w:gridCol w:w="1100"/>
        <w:gridCol w:w="2260"/>
      </w:tblGrid>
      <w:tr>
        <w:trPr>
          <w:tblHeader w:val="true"/>
          <w:cantSplit/>
        </w:trPr>
        <w:tc>
          <w:tcPr>
            <w:tcW w:type="dxa" w:w="360"/>
            <w:tcMar>
              <w:top w:w="80" w:type="dxa"/>
              <w:start w:w="100" w:type="dxa"/>
              <w:bottom w:w="80" w:type="dxa"/>
              <w:end w:w="100" w:type="dxa"/>
            </w:tcMar>
            <w:vAlign w:val="top"/>
            <w:shd w:fill="10264B"/>
          </w:tcPr>
          <w:p>
            <w:pPr>
              <w:spacing w:after="0" w:line="240" w:lineRule="auto"/>
            </w:pPr>
            <w:r/>
            <w:r>
              <w:rPr>
                <w:rFonts w:ascii="Calibri" w:hAnsi="Calibri"/>
                <w:b/>
                <w:color w:val="FFFFFF"/>
                <w:sz w:val="15"/>
              </w:rPr>
              <w:t>#</w:t>
            </w:r>
          </w:p>
        </w:tc>
        <w:tc>
          <w:tcPr>
            <w:tcW w:type="dxa" w:w="2580"/>
            <w:tcMar>
              <w:top w:w="80" w:type="dxa"/>
              <w:start w:w="100" w:type="dxa"/>
              <w:bottom w:w="80" w:type="dxa"/>
              <w:end w:w="100" w:type="dxa"/>
            </w:tcMar>
            <w:vAlign w:val="top"/>
            <w:shd w:fill="10264B"/>
          </w:tcPr>
          <w:p>
            <w:pPr>
              <w:spacing w:after="0" w:line="240" w:lineRule="auto"/>
            </w:pPr>
            <w:r/>
            <w:r>
              <w:rPr>
                <w:rFonts w:ascii="Calibri" w:hAnsi="Calibri"/>
                <w:b/>
                <w:color w:val="FFFFFF"/>
                <w:sz w:val="15"/>
              </w:rPr>
              <w:t>Recommended title</w:t>
            </w:r>
          </w:p>
        </w:tc>
        <w:tc>
          <w:tcPr>
            <w:tcW w:type="dxa" w:w="1500"/>
            <w:tcMar>
              <w:top w:w="80" w:type="dxa"/>
              <w:start w:w="100" w:type="dxa"/>
              <w:bottom w:w="80" w:type="dxa"/>
              <w:end w:w="100" w:type="dxa"/>
            </w:tcMar>
            <w:vAlign w:val="top"/>
            <w:shd w:fill="10264B"/>
          </w:tcPr>
          <w:p>
            <w:pPr>
              <w:spacing w:after="0" w:line="240" w:lineRule="auto"/>
            </w:pPr>
            <w:r/>
            <w:r>
              <w:rPr>
                <w:rFonts w:ascii="Calibri" w:hAnsi="Calibri"/>
                <w:b/>
                <w:color w:val="FFFFFF"/>
                <w:sz w:val="15"/>
              </w:rPr>
              <w:t>Thumbnail</w:t>
            </w:r>
          </w:p>
        </w:tc>
        <w:tc>
          <w:tcPr>
            <w:tcW w:type="dxa" w:w="2600"/>
            <w:tcMar>
              <w:top w:w="80" w:type="dxa"/>
              <w:start w:w="100" w:type="dxa"/>
              <w:bottom w:w="80" w:type="dxa"/>
              <w:end w:w="100" w:type="dxa"/>
            </w:tcMar>
            <w:vAlign w:val="top"/>
            <w:shd w:fill="10264B"/>
          </w:tcPr>
          <w:p>
            <w:pPr>
              <w:spacing w:after="0" w:line="240" w:lineRule="auto"/>
            </w:pPr>
            <w:r/>
            <w:r>
              <w:rPr>
                <w:rFonts w:ascii="Calibri" w:hAnsi="Calibri"/>
                <w:b/>
                <w:color w:val="FFFFFF"/>
                <w:sz w:val="15"/>
              </w:rPr>
              <w:t>Viewer question</w:t>
            </w:r>
          </w:p>
        </w:tc>
        <w:tc>
          <w:tcPr>
            <w:tcW w:type="dxa" w:w="1100"/>
            <w:tcMar>
              <w:top w:w="80" w:type="dxa"/>
              <w:start w:w="100" w:type="dxa"/>
              <w:bottom w:w="80" w:type="dxa"/>
              <w:end w:w="100" w:type="dxa"/>
            </w:tcMar>
            <w:vAlign w:val="top"/>
            <w:shd w:fill="10264B"/>
          </w:tcPr>
          <w:p>
            <w:pPr>
              <w:spacing w:after="0" w:line="240" w:lineRule="auto"/>
            </w:pPr>
            <w:r/>
            <w:r>
              <w:rPr>
                <w:rFonts w:ascii="Calibri" w:hAnsi="Calibri"/>
                <w:b/>
                <w:color w:val="FFFFFF"/>
                <w:sz w:val="15"/>
              </w:rPr>
              <w:t>CTA</w:t>
            </w:r>
          </w:p>
        </w:tc>
        <w:tc>
          <w:tcPr>
            <w:tcW w:type="dxa" w:w="2260"/>
            <w:tcMar>
              <w:top w:w="80" w:type="dxa"/>
              <w:start w:w="100" w:type="dxa"/>
              <w:bottom w:w="80" w:type="dxa"/>
              <w:end w:w="100" w:type="dxa"/>
            </w:tcMar>
            <w:vAlign w:val="top"/>
            <w:shd w:fill="10264B"/>
          </w:tcPr>
          <w:p>
            <w:pPr>
              <w:spacing w:after="0" w:line="240" w:lineRule="auto"/>
            </w:pPr>
            <w:r/>
            <w:r>
              <w:rPr>
                <w:rFonts w:ascii="Calibri" w:hAnsi="Calibri"/>
                <w:b/>
                <w:color w:val="FFFFFF"/>
                <w:sz w:val="15"/>
              </w:rPr>
              <w:t>Why here</w:t>
            </w:r>
          </w:p>
        </w:tc>
      </w:tr>
      <w:tr>
        <w:trPr>
          <w:cantSplit/>
        </w:trPr>
        <w:tc>
          <w:tcPr>
            <w:tcW w:type="dxa" w:w="360"/>
            <w:tcMar>
              <w:top w:w="80" w:type="dxa"/>
              <w:start w:w="100" w:type="dxa"/>
              <w:bottom w:w="80" w:type="dxa"/>
              <w:end w:w="100" w:type="dxa"/>
            </w:tcMar>
            <w:vAlign w:val="top"/>
          </w:tcPr>
          <w:p>
            <w:pPr>
              <w:spacing w:before="0" w:after="30" w:line="245" w:lineRule="auto"/>
            </w:pPr>
            <w:r>
              <w:rPr>
                <w:rFonts w:ascii="Calibri" w:hAnsi="Calibri"/>
                <w:color w:val="18263A"/>
                <w:sz w:val="15"/>
              </w:rPr>
              <w:t>4</w:t>
            </w:r>
          </w:p>
        </w:tc>
        <w:tc>
          <w:tcPr>
            <w:tcW w:type="dxa" w:w="2580"/>
            <w:tcMar>
              <w:top w:w="80" w:type="dxa"/>
              <w:start w:w="100" w:type="dxa"/>
              <w:bottom w:w="80" w:type="dxa"/>
              <w:end w:w="100" w:type="dxa"/>
            </w:tcMar>
            <w:vAlign w:val="top"/>
          </w:tcPr>
          <w:p>
            <w:pPr>
              <w:spacing w:before="0" w:after="30" w:line="245" w:lineRule="auto"/>
            </w:pPr>
            <w:r>
              <w:rPr>
                <w:rFonts w:ascii="Calibri" w:hAnsi="Calibri"/>
                <w:color w:val="18263A"/>
                <w:sz w:val="15"/>
              </w:rPr>
              <w:t>How to Explain a Nonlinear Career Without Looking Unfocused</w:t>
            </w:r>
          </w:p>
        </w:tc>
        <w:tc>
          <w:tcPr>
            <w:tcW w:type="dxa" w:w="1500"/>
            <w:tcMar>
              <w:top w:w="80" w:type="dxa"/>
              <w:start w:w="100" w:type="dxa"/>
              <w:bottom w:w="80" w:type="dxa"/>
              <w:end w:w="100" w:type="dxa"/>
            </w:tcMar>
            <w:vAlign w:val="top"/>
          </w:tcPr>
          <w:p>
            <w:pPr>
              <w:spacing w:before="0" w:after="30" w:line="245" w:lineRule="auto"/>
            </w:pPr>
            <w:r>
              <w:rPr>
                <w:rFonts w:ascii="Calibri" w:hAnsi="Calibri"/>
                <w:color w:val="18263A"/>
                <w:sz w:val="15"/>
              </w:rPr>
              <w:t>YOUR CAREER MAKES SENSE</w:t>
            </w:r>
          </w:p>
        </w:tc>
        <w:tc>
          <w:tcPr>
            <w:tcW w:type="dxa" w:w="2600"/>
            <w:tcMar>
              <w:top w:w="80" w:type="dxa"/>
              <w:start w:w="100" w:type="dxa"/>
              <w:bottom w:w="80" w:type="dxa"/>
              <w:end w:w="100" w:type="dxa"/>
            </w:tcMar>
            <w:vAlign w:val="top"/>
          </w:tcPr>
          <w:p>
            <w:pPr>
              <w:spacing w:before="0" w:after="30" w:line="245" w:lineRule="auto"/>
            </w:pPr>
            <w:r>
              <w:rPr>
                <w:rFonts w:ascii="Calibri" w:hAnsi="Calibri"/>
                <w:color w:val="18263A"/>
                <w:sz w:val="15"/>
              </w:rPr>
              <w:t>How do I make this path coherent without pretending it was planned?</w:t>
            </w:r>
          </w:p>
        </w:tc>
        <w:tc>
          <w:tcPr>
            <w:tcW w:type="dxa" w:w="1100"/>
            <w:tcMar>
              <w:top w:w="80" w:type="dxa"/>
              <w:start w:w="100" w:type="dxa"/>
              <w:bottom w:w="80" w:type="dxa"/>
              <w:end w:w="100" w:type="dxa"/>
            </w:tcMar>
            <w:vAlign w:val="top"/>
          </w:tcPr>
          <w:p>
            <w:pPr>
              <w:spacing w:before="0" w:after="30" w:line="245" w:lineRule="auto"/>
            </w:pPr>
            <w:r>
              <w:rPr>
                <w:rFonts w:ascii="Calibri" w:hAnsi="Calibri"/>
                <w:color w:val="18263A"/>
                <w:sz w:val="15"/>
              </w:rPr>
              <w:t>Keep the Proof</w:t>
            </w:r>
          </w:p>
        </w:tc>
        <w:tc>
          <w:tcPr>
            <w:tcW w:type="dxa" w:w="2260"/>
            <w:tcMar>
              <w:top w:w="80" w:type="dxa"/>
              <w:start w:w="100" w:type="dxa"/>
              <w:bottom w:w="80" w:type="dxa"/>
              <w:end w:w="100" w:type="dxa"/>
            </w:tcMar>
            <w:vAlign w:val="top"/>
          </w:tcPr>
          <w:p>
            <w:pPr>
              <w:spacing w:before="0" w:after="30" w:line="245" w:lineRule="auto"/>
            </w:pPr>
            <w:r>
              <w:rPr>
                <w:rFonts w:ascii="Calibri" w:hAnsi="Calibri"/>
                <w:color w:val="18263A"/>
                <w:sz w:val="15"/>
              </w:rPr>
              <w:t>Opens the next twenty with Temidayo’s most distinctive authority.</w:t>
            </w:r>
          </w:p>
        </w:tc>
      </w:tr>
      <w:tr>
        <w:trPr>
          <w:cantSplit/>
        </w:trPr>
        <w:tc>
          <w:tcPr>
            <w:tcW w:type="dxa" w:w="3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5</w:t>
            </w:r>
          </w:p>
        </w:tc>
        <w:tc>
          <w:tcPr>
            <w:tcW w:type="dxa" w:w="25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Should I Make an Internal Move? 3 Questions to Decide</w:t>
            </w:r>
          </w:p>
        </w:tc>
        <w:tc>
          <w:tcPr>
            <w:tcW w:type="dxa" w:w="15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YOU MAY NOT NEED TO LEAVE</w:t>
            </w:r>
          </w:p>
        </w:tc>
        <w:tc>
          <w:tcPr>
            <w:tcW w:type="dxa" w:w="26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Can this organization still give me work that expands me?</w:t>
            </w:r>
          </w:p>
        </w:tc>
        <w:tc>
          <w:tcPr>
            <w:tcW w:type="dxa" w:w="11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Decision Check</w:t>
            </w:r>
          </w:p>
        </w:tc>
        <w:tc>
          <w:tcPr>
            <w:tcW w:type="dxa" w:w="22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Turns portability inward before telling the viewer to leave.</w:t>
            </w:r>
          </w:p>
        </w:tc>
      </w:tr>
      <w:tr>
        <w:trPr>
          <w:cantSplit/>
        </w:trPr>
        <w:tc>
          <w:tcPr>
            <w:tcW w:type="dxa" w:w="360"/>
            <w:tcMar>
              <w:top w:w="80" w:type="dxa"/>
              <w:start w:w="100" w:type="dxa"/>
              <w:bottom w:w="80" w:type="dxa"/>
              <w:end w:w="100" w:type="dxa"/>
            </w:tcMar>
            <w:vAlign w:val="top"/>
          </w:tcPr>
          <w:p>
            <w:pPr>
              <w:spacing w:before="0" w:after="30" w:line="245" w:lineRule="auto"/>
            </w:pPr>
            <w:r>
              <w:rPr>
                <w:rFonts w:ascii="Calibri" w:hAnsi="Calibri"/>
                <w:color w:val="18263A"/>
                <w:sz w:val="15"/>
              </w:rPr>
              <w:t>6</w:t>
            </w:r>
          </w:p>
        </w:tc>
        <w:tc>
          <w:tcPr>
            <w:tcW w:type="dxa" w:w="2580"/>
            <w:tcMar>
              <w:top w:w="80" w:type="dxa"/>
              <w:start w:w="100" w:type="dxa"/>
              <w:bottom w:w="80" w:type="dxa"/>
              <w:end w:w="100" w:type="dxa"/>
            </w:tcMar>
            <w:vAlign w:val="top"/>
          </w:tcPr>
          <w:p>
            <w:pPr>
              <w:spacing w:before="0" w:after="30" w:line="245" w:lineRule="auto"/>
            </w:pPr>
            <w:r>
              <w:rPr>
                <w:rFonts w:ascii="Calibri" w:hAnsi="Calibri"/>
                <w:color w:val="18263A"/>
                <w:sz w:val="15"/>
              </w:rPr>
              <w:t>Are You Growing—or Just Being Given More Work?</w:t>
            </w:r>
          </w:p>
        </w:tc>
        <w:tc>
          <w:tcPr>
            <w:tcW w:type="dxa" w:w="1500"/>
            <w:tcMar>
              <w:top w:w="80" w:type="dxa"/>
              <w:start w:w="100" w:type="dxa"/>
              <w:bottom w:w="80" w:type="dxa"/>
              <w:end w:w="100" w:type="dxa"/>
            </w:tcMar>
            <w:vAlign w:val="top"/>
          </w:tcPr>
          <w:p>
            <w:pPr>
              <w:spacing w:before="0" w:after="30" w:line="245" w:lineRule="auto"/>
            </w:pPr>
            <w:r>
              <w:rPr>
                <w:rFonts w:ascii="Calibri" w:hAnsi="Calibri"/>
                <w:color w:val="18263A"/>
                <w:sz w:val="15"/>
              </w:rPr>
              <w:t>MORE WORK ≠ GROWTH</w:t>
            </w:r>
          </w:p>
        </w:tc>
        <w:tc>
          <w:tcPr>
            <w:tcW w:type="dxa" w:w="2600"/>
            <w:tcMar>
              <w:top w:w="80" w:type="dxa"/>
              <w:start w:w="100" w:type="dxa"/>
              <w:bottom w:w="80" w:type="dxa"/>
              <w:end w:w="100" w:type="dxa"/>
            </w:tcMar>
            <w:vAlign w:val="top"/>
          </w:tcPr>
          <w:p>
            <w:pPr>
              <w:spacing w:before="0" w:after="30" w:line="245" w:lineRule="auto"/>
            </w:pPr>
            <w:r>
              <w:rPr>
                <w:rFonts w:ascii="Calibri" w:hAnsi="Calibri"/>
                <w:color w:val="18263A"/>
                <w:sz w:val="15"/>
              </w:rPr>
              <w:t>Is expanded scope forming capability or consuming capacity?</w:t>
            </w:r>
          </w:p>
        </w:tc>
        <w:tc>
          <w:tcPr>
            <w:tcW w:type="dxa" w:w="1100"/>
            <w:tcMar>
              <w:top w:w="80" w:type="dxa"/>
              <w:start w:w="100" w:type="dxa"/>
              <w:bottom w:w="80" w:type="dxa"/>
              <w:end w:w="100" w:type="dxa"/>
            </w:tcMar>
            <w:vAlign w:val="top"/>
          </w:tcPr>
          <w:p>
            <w:pPr>
              <w:spacing w:before="0" w:after="30" w:line="245" w:lineRule="auto"/>
            </w:pPr>
            <w:r>
              <w:rPr>
                <w:rFonts w:ascii="Calibri" w:hAnsi="Calibri"/>
                <w:color w:val="18263A"/>
                <w:sz w:val="15"/>
              </w:rPr>
              <w:t>Field Kit</w:t>
            </w:r>
          </w:p>
        </w:tc>
        <w:tc>
          <w:tcPr>
            <w:tcW w:type="dxa" w:w="2260"/>
            <w:tcMar>
              <w:top w:w="80" w:type="dxa"/>
              <w:start w:w="100" w:type="dxa"/>
              <w:bottom w:w="80" w:type="dxa"/>
              <w:end w:w="100" w:type="dxa"/>
            </w:tcMar>
            <w:vAlign w:val="top"/>
          </w:tcPr>
          <w:p>
            <w:pPr>
              <w:spacing w:before="0" w:after="30" w:line="245" w:lineRule="auto"/>
            </w:pPr>
            <w:r>
              <w:rPr>
                <w:rFonts w:ascii="Calibri" w:hAnsi="Calibri"/>
                <w:color w:val="18263A"/>
                <w:sz w:val="15"/>
              </w:rPr>
              <w:t>Deepens Video 5 without repeating it.</w:t>
            </w:r>
          </w:p>
        </w:tc>
      </w:tr>
      <w:tr>
        <w:trPr>
          <w:cantSplit/>
        </w:trPr>
        <w:tc>
          <w:tcPr>
            <w:tcW w:type="dxa" w:w="3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7</w:t>
            </w:r>
          </w:p>
        </w:tc>
        <w:tc>
          <w:tcPr>
            <w:tcW w:type="dxa" w:w="25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How to Prove the Value of Work That Had No Blueprint</w:t>
            </w:r>
          </w:p>
        </w:tc>
        <w:tc>
          <w:tcPr>
            <w:tcW w:type="dxa" w:w="15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MAKE INVISIBLE WORK VISIBLE</w:t>
            </w:r>
          </w:p>
        </w:tc>
        <w:tc>
          <w:tcPr>
            <w:tcW w:type="dxa" w:w="26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How do I prove foundational work with no baseline?</w:t>
            </w:r>
          </w:p>
        </w:tc>
        <w:tc>
          <w:tcPr>
            <w:tcW w:type="dxa" w:w="11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Keep the Proof</w:t>
            </w:r>
          </w:p>
        </w:tc>
        <w:tc>
          <w:tcPr>
            <w:tcW w:type="dxa" w:w="22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Converts the strongest LinkedIn recognition signal into method.</w:t>
            </w:r>
          </w:p>
        </w:tc>
      </w:tr>
      <w:tr>
        <w:trPr>
          <w:cantSplit/>
        </w:trPr>
        <w:tc>
          <w:tcPr>
            <w:tcW w:type="dxa" w:w="360"/>
            <w:tcMar>
              <w:top w:w="80" w:type="dxa"/>
              <w:start w:w="100" w:type="dxa"/>
              <w:bottom w:w="80" w:type="dxa"/>
              <w:end w:w="100" w:type="dxa"/>
            </w:tcMar>
            <w:vAlign w:val="top"/>
          </w:tcPr>
          <w:p>
            <w:pPr>
              <w:spacing w:before="0" w:after="30" w:line="245" w:lineRule="auto"/>
            </w:pPr>
            <w:r>
              <w:rPr>
                <w:rFonts w:ascii="Calibri" w:hAnsi="Calibri"/>
                <w:color w:val="18263A"/>
                <w:sz w:val="15"/>
              </w:rPr>
              <w:t>8</w:t>
            </w:r>
          </w:p>
        </w:tc>
        <w:tc>
          <w:tcPr>
            <w:tcW w:type="dxa" w:w="2580"/>
            <w:tcMar>
              <w:top w:w="80" w:type="dxa"/>
              <w:start w:w="100" w:type="dxa"/>
              <w:bottom w:w="80" w:type="dxa"/>
              <w:end w:w="100" w:type="dxa"/>
            </w:tcMar>
            <w:vAlign w:val="top"/>
          </w:tcPr>
          <w:p>
            <w:pPr>
              <w:spacing w:before="0" w:after="30" w:line="245" w:lineRule="auto"/>
            </w:pPr>
            <w:r>
              <w:rPr>
                <w:rFonts w:ascii="Calibri" w:hAnsi="Calibri"/>
                <w:color w:val="18263A"/>
                <w:sz w:val="15"/>
              </w:rPr>
              <w:t>How to Change Industries Without Starting at Entry Level</w:t>
            </w:r>
          </w:p>
        </w:tc>
        <w:tc>
          <w:tcPr>
            <w:tcW w:type="dxa" w:w="1500"/>
            <w:tcMar>
              <w:top w:w="80" w:type="dxa"/>
              <w:start w:w="100" w:type="dxa"/>
              <w:bottom w:w="80" w:type="dxa"/>
              <w:end w:w="100" w:type="dxa"/>
            </w:tcMar>
            <w:vAlign w:val="top"/>
          </w:tcPr>
          <w:p>
            <w:pPr>
              <w:spacing w:before="0" w:after="30" w:line="245" w:lineRule="auto"/>
            </w:pPr>
            <w:r>
              <w:rPr>
                <w:rFonts w:ascii="Calibri" w:hAnsi="Calibri"/>
                <w:color w:val="18263A"/>
                <w:sz w:val="15"/>
              </w:rPr>
              <w:t>YOUR EXPERIENCE STILL COUNTS</w:t>
            </w:r>
          </w:p>
        </w:tc>
        <w:tc>
          <w:tcPr>
            <w:tcW w:type="dxa" w:w="2600"/>
            <w:tcMar>
              <w:top w:w="80" w:type="dxa"/>
              <w:start w:w="100" w:type="dxa"/>
              <w:bottom w:w="80" w:type="dxa"/>
              <w:end w:w="100" w:type="dxa"/>
            </w:tcMar>
            <w:vAlign w:val="top"/>
          </w:tcPr>
          <w:p>
            <w:pPr>
              <w:spacing w:before="0" w:after="30" w:line="245" w:lineRule="auto"/>
            </w:pPr>
            <w:r>
              <w:rPr>
                <w:rFonts w:ascii="Calibri" w:hAnsi="Calibri"/>
                <w:color w:val="18263A"/>
                <w:sz w:val="15"/>
              </w:rPr>
              <w:t>What can I carry into a field where I am new?</w:t>
            </w:r>
          </w:p>
        </w:tc>
        <w:tc>
          <w:tcPr>
            <w:tcW w:type="dxa" w:w="1100"/>
            <w:tcMar>
              <w:top w:w="80" w:type="dxa"/>
              <w:start w:w="100" w:type="dxa"/>
              <w:bottom w:w="80" w:type="dxa"/>
              <w:end w:w="100" w:type="dxa"/>
            </w:tcMar>
            <w:vAlign w:val="top"/>
          </w:tcPr>
          <w:p>
            <w:pPr>
              <w:spacing w:before="0" w:after="30" w:line="245" w:lineRule="auto"/>
            </w:pPr>
            <w:r>
              <w:rPr>
                <w:rFonts w:ascii="Calibri" w:hAnsi="Calibri"/>
                <w:color w:val="18263A"/>
                <w:sz w:val="15"/>
              </w:rPr>
              <w:t>Field Kit</w:t>
            </w:r>
          </w:p>
        </w:tc>
        <w:tc>
          <w:tcPr>
            <w:tcW w:type="dxa" w:w="2260"/>
            <w:tcMar>
              <w:top w:w="80" w:type="dxa"/>
              <w:start w:w="100" w:type="dxa"/>
              <w:bottom w:w="80" w:type="dxa"/>
              <w:end w:w="100" w:type="dxa"/>
            </w:tcMar>
            <w:vAlign w:val="top"/>
          </w:tcPr>
          <w:p>
            <w:pPr>
              <w:spacing w:before="0" w:after="30" w:line="245" w:lineRule="auto"/>
            </w:pPr>
            <w:r>
              <w:rPr>
                <w:rFonts w:ascii="Calibri" w:hAnsi="Calibri"/>
                <w:color w:val="18263A"/>
                <w:sz w:val="15"/>
              </w:rPr>
              <w:t>Fulfills the public promise directly and replaces generic interview content.</w:t>
            </w:r>
          </w:p>
        </w:tc>
      </w:tr>
      <w:tr>
        <w:trPr>
          <w:cantSplit/>
        </w:trPr>
        <w:tc>
          <w:tcPr>
            <w:tcW w:type="dxa" w:w="3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9</w:t>
            </w:r>
          </w:p>
        </w:tc>
        <w:tc>
          <w:tcPr>
            <w:tcW w:type="dxa" w:w="25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What to Do Before a Layoff Happens</w:t>
            </w:r>
          </w:p>
        </w:tc>
        <w:tc>
          <w:tcPr>
            <w:tcW w:type="dxa" w:w="15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KEEP THE PROOF</w:t>
            </w:r>
          </w:p>
        </w:tc>
        <w:tc>
          <w:tcPr>
            <w:tcW w:type="dxa" w:w="26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What can I preserve before access and context change?</w:t>
            </w:r>
          </w:p>
        </w:tc>
        <w:tc>
          <w:tcPr>
            <w:tcW w:type="dxa" w:w="11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Keep the Proof</w:t>
            </w:r>
          </w:p>
        </w:tc>
        <w:tc>
          <w:tcPr>
            <w:tcW w:type="dxa" w:w="22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Meets an urgent audience trigger with calm action.</w:t>
            </w:r>
          </w:p>
        </w:tc>
      </w:tr>
      <w:tr>
        <w:trPr>
          <w:cantSplit/>
        </w:trPr>
        <w:tc>
          <w:tcPr>
            <w:tcW w:type="dxa" w:w="360"/>
            <w:tcMar>
              <w:top w:w="80" w:type="dxa"/>
              <w:start w:w="100" w:type="dxa"/>
              <w:bottom w:w="80" w:type="dxa"/>
              <w:end w:w="100" w:type="dxa"/>
            </w:tcMar>
            <w:vAlign w:val="top"/>
          </w:tcPr>
          <w:p>
            <w:pPr>
              <w:spacing w:before="0" w:after="30" w:line="245" w:lineRule="auto"/>
            </w:pPr>
            <w:r>
              <w:rPr>
                <w:rFonts w:ascii="Calibri" w:hAnsi="Calibri"/>
                <w:color w:val="18263A"/>
                <w:sz w:val="15"/>
              </w:rPr>
              <w:t>10</w:t>
            </w:r>
          </w:p>
        </w:tc>
        <w:tc>
          <w:tcPr>
            <w:tcW w:type="dxa" w:w="2580"/>
            <w:tcMar>
              <w:top w:w="80" w:type="dxa"/>
              <w:start w:w="100" w:type="dxa"/>
              <w:bottom w:w="80" w:type="dxa"/>
              <w:end w:w="100" w:type="dxa"/>
            </w:tcMar>
            <w:vAlign w:val="top"/>
          </w:tcPr>
          <w:p>
            <w:pPr>
              <w:spacing w:before="0" w:after="30" w:line="245" w:lineRule="auto"/>
            </w:pPr>
            <w:r>
              <w:rPr>
                <w:rFonts w:ascii="Calibri" w:hAnsi="Calibri"/>
                <w:color w:val="18263A"/>
                <w:sz w:val="15"/>
              </w:rPr>
              <w:t>How to Stay Valuable at Work as AI Changes Your Job</w:t>
            </w:r>
          </w:p>
        </w:tc>
        <w:tc>
          <w:tcPr>
            <w:tcW w:type="dxa" w:w="1500"/>
            <w:tcMar>
              <w:top w:w="80" w:type="dxa"/>
              <w:start w:w="100" w:type="dxa"/>
              <w:bottom w:w="80" w:type="dxa"/>
              <w:end w:w="100" w:type="dxa"/>
            </w:tcMar>
            <w:vAlign w:val="top"/>
          </w:tcPr>
          <w:p>
            <w:pPr>
              <w:spacing w:before="0" w:after="30" w:line="245" w:lineRule="auto"/>
            </w:pPr>
            <w:r>
              <w:rPr>
                <w:rFonts w:ascii="Calibri" w:hAnsi="Calibri"/>
                <w:color w:val="18263A"/>
                <w:sz w:val="15"/>
              </w:rPr>
              <w:t>WHAT STILL NEEDS YOU?</w:t>
            </w:r>
          </w:p>
        </w:tc>
        <w:tc>
          <w:tcPr>
            <w:tcW w:type="dxa" w:w="2600"/>
            <w:tcMar>
              <w:top w:w="80" w:type="dxa"/>
              <w:start w:w="100" w:type="dxa"/>
              <w:bottom w:w="80" w:type="dxa"/>
              <w:end w:w="100" w:type="dxa"/>
            </w:tcMar>
            <w:vAlign w:val="top"/>
          </w:tcPr>
          <w:p>
            <w:pPr>
              <w:spacing w:before="0" w:after="30" w:line="245" w:lineRule="auto"/>
            </w:pPr>
            <w:r>
              <w:rPr>
                <w:rFonts w:ascii="Calibri" w:hAnsi="Calibri"/>
                <w:color w:val="18263A"/>
                <w:sz w:val="15"/>
              </w:rPr>
              <w:t>What remains mine when AI changes the task?</w:t>
            </w:r>
          </w:p>
        </w:tc>
        <w:tc>
          <w:tcPr>
            <w:tcW w:type="dxa" w:w="1100"/>
            <w:tcMar>
              <w:top w:w="80" w:type="dxa"/>
              <w:start w:w="100" w:type="dxa"/>
              <w:bottom w:w="80" w:type="dxa"/>
              <w:end w:w="100" w:type="dxa"/>
            </w:tcMar>
            <w:vAlign w:val="top"/>
          </w:tcPr>
          <w:p>
            <w:pPr>
              <w:spacing w:before="0" w:after="30" w:line="245" w:lineRule="auto"/>
            </w:pPr>
            <w:r>
              <w:rPr>
                <w:rFonts w:ascii="Calibri" w:hAnsi="Calibri"/>
                <w:color w:val="18263A"/>
                <w:sz w:val="15"/>
              </w:rPr>
              <w:t>Field Kit</w:t>
            </w:r>
          </w:p>
        </w:tc>
        <w:tc>
          <w:tcPr>
            <w:tcW w:type="dxa" w:w="2260"/>
            <w:tcMar>
              <w:top w:w="80" w:type="dxa"/>
              <w:start w:w="100" w:type="dxa"/>
              <w:bottom w:w="80" w:type="dxa"/>
              <w:end w:w="100" w:type="dxa"/>
            </w:tcMar>
            <w:vAlign w:val="top"/>
          </w:tcPr>
          <w:p>
            <w:pPr>
              <w:spacing w:before="0" w:after="30" w:line="245" w:lineRule="auto"/>
            </w:pPr>
            <w:r>
              <w:rPr>
                <w:rFonts w:ascii="Calibri" w:hAnsi="Calibri"/>
                <w:color w:val="18263A"/>
                <w:sz w:val="15"/>
              </w:rPr>
              <w:t>Introduces AI only after the human portability promise is clear.</w:t>
            </w:r>
          </w:p>
        </w:tc>
      </w:tr>
      <w:tr>
        <w:trPr>
          <w:cantSplit/>
        </w:trPr>
        <w:tc>
          <w:tcPr>
            <w:tcW w:type="dxa" w:w="3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11</w:t>
            </w:r>
          </w:p>
        </w:tc>
        <w:tc>
          <w:tcPr>
            <w:tcW w:type="dxa" w:w="25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What to Do When You Can’t Quit Your Job Yet</w:t>
            </w:r>
          </w:p>
        </w:tc>
        <w:tc>
          <w:tcPr>
            <w:tcW w:type="dxa" w:w="15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YOU DON’T HAVE TO LEAVE</w:t>
            </w:r>
          </w:p>
        </w:tc>
        <w:tc>
          <w:tcPr>
            <w:tcW w:type="dxa" w:w="26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How do I act when income, benefits or caregiving constrain timing?</w:t>
            </w:r>
          </w:p>
        </w:tc>
        <w:tc>
          <w:tcPr>
            <w:tcW w:type="dxa" w:w="11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Decision Check</w:t>
            </w:r>
          </w:p>
        </w:tc>
        <w:tc>
          <w:tcPr>
            <w:tcW w:type="dxa" w:w="22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Acknowledges real life instead of prescribing courage.</w:t>
            </w:r>
          </w:p>
        </w:tc>
      </w:tr>
      <w:tr>
        <w:trPr>
          <w:cantSplit/>
        </w:trPr>
        <w:tc>
          <w:tcPr>
            <w:tcW w:type="dxa" w:w="360"/>
            <w:tcMar>
              <w:top w:w="80" w:type="dxa"/>
              <w:start w:w="100" w:type="dxa"/>
              <w:bottom w:w="80" w:type="dxa"/>
              <w:end w:w="100" w:type="dxa"/>
            </w:tcMar>
            <w:vAlign w:val="top"/>
          </w:tcPr>
          <w:p>
            <w:pPr>
              <w:spacing w:before="0" w:after="30" w:line="245" w:lineRule="auto"/>
            </w:pPr>
            <w:r>
              <w:rPr>
                <w:rFonts w:ascii="Calibri" w:hAnsi="Calibri"/>
                <w:color w:val="18263A"/>
                <w:sz w:val="15"/>
              </w:rPr>
              <w:t>12</w:t>
            </w:r>
          </w:p>
        </w:tc>
        <w:tc>
          <w:tcPr>
            <w:tcW w:type="dxa" w:w="2580"/>
            <w:tcMar>
              <w:top w:w="80" w:type="dxa"/>
              <w:start w:w="100" w:type="dxa"/>
              <w:bottom w:w="80" w:type="dxa"/>
              <w:end w:w="100" w:type="dxa"/>
            </w:tcMar>
            <w:vAlign w:val="top"/>
          </w:tcPr>
          <w:p>
            <w:pPr>
              <w:spacing w:before="0" w:after="30" w:line="245" w:lineRule="auto"/>
            </w:pPr>
            <w:r>
              <w:rPr>
                <w:rFonts w:ascii="Calibri" w:hAnsi="Calibri"/>
                <w:color w:val="18263A"/>
                <w:sz w:val="15"/>
              </w:rPr>
              <w:t>How to Build Career Options Without Quitting Your Job</w:t>
            </w:r>
          </w:p>
        </w:tc>
        <w:tc>
          <w:tcPr>
            <w:tcW w:type="dxa" w:w="1500"/>
            <w:tcMar>
              <w:top w:w="80" w:type="dxa"/>
              <w:start w:w="100" w:type="dxa"/>
              <w:bottom w:w="80" w:type="dxa"/>
              <w:end w:w="100" w:type="dxa"/>
            </w:tcMar>
            <w:vAlign w:val="top"/>
          </w:tcPr>
          <w:p>
            <w:pPr>
              <w:spacing w:before="0" w:after="30" w:line="245" w:lineRule="auto"/>
            </w:pPr>
            <w:r>
              <w:rPr>
                <w:rFonts w:ascii="Calibri" w:hAnsi="Calibri"/>
                <w:color w:val="18263A"/>
                <w:sz w:val="15"/>
              </w:rPr>
              <w:t>BUILD OPTIONS FIRST</w:t>
            </w:r>
          </w:p>
        </w:tc>
        <w:tc>
          <w:tcPr>
            <w:tcW w:type="dxa" w:w="2600"/>
            <w:tcMar>
              <w:top w:w="80" w:type="dxa"/>
              <w:start w:w="100" w:type="dxa"/>
              <w:bottom w:w="80" w:type="dxa"/>
              <w:end w:w="100" w:type="dxa"/>
            </w:tcMar>
            <w:vAlign w:val="top"/>
          </w:tcPr>
          <w:p>
            <w:pPr>
              <w:spacing w:before="0" w:after="30" w:line="245" w:lineRule="auto"/>
            </w:pPr>
            <w:r>
              <w:rPr>
                <w:rFonts w:ascii="Calibri" w:hAnsi="Calibri"/>
                <w:color w:val="18263A"/>
                <w:sz w:val="15"/>
              </w:rPr>
              <w:t>How do I create choices before urgency?</w:t>
            </w:r>
          </w:p>
        </w:tc>
        <w:tc>
          <w:tcPr>
            <w:tcW w:type="dxa" w:w="1100"/>
            <w:tcMar>
              <w:top w:w="80" w:type="dxa"/>
              <w:start w:w="100" w:type="dxa"/>
              <w:bottom w:w="80" w:type="dxa"/>
              <w:end w:w="100" w:type="dxa"/>
            </w:tcMar>
            <w:vAlign w:val="top"/>
          </w:tcPr>
          <w:p>
            <w:pPr>
              <w:spacing w:before="0" w:after="30" w:line="245" w:lineRule="auto"/>
            </w:pPr>
            <w:r>
              <w:rPr>
                <w:rFonts w:ascii="Calibri" w:hAnsi="Calibri"/>
                <w:color w:val="18263A"/>
                <w:sz w:val="15"/>
              </w:rPr>
              <w:t>Field Kit</w:t>
            </w:r>
          </w:p>
        </w:tc>
        <w:tc>
          <w:tcPr>
            <w:tcW w:type="dxa" w:w="2260"/>
            <w:tcMar>
              <w:top w:w="80" w:type="dxa"/>
              <w:start w:w="100" w:type="dxa"/>
              <w:bottom w:w="80" w:type="dxa"/>
              <w:end w:w="100" w:type="dxa"/>
            </w:tcMar>
            <w:vAlign w:val="top"/>
          </w:tcPr>
          <w:p>
            <w:pPr>
              <w:spacing w:before="0" w:after="30" w:line="245" w:lineRule="auto"/>
            </w:pPr>
            <w:r>
              <w:rPr>
                <w:rFonts w:ascii="Calibri" w:hAnsi="Calibri"/>
                <w:color w:val="18263A"/>
                <w:sz w:val="15"/>
              </w:rPr>
              <w:t>Shows how optionality is formed while employed.</w:t>
            </w:r>
          </w:p>
        </w:tc>
      </w:tr>
      <w:tr>
        <w:trPr>
          <w:cantSplit/>
        </w:trPr>
        <w:tc>
          <w:tcPr>
            <w:tcW w:type="dxa" w:w="3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13</w:t>
            </w:r>
          </w:p>
        </w:tc>
        <w:tc>
          <w:tcPr>
            <w:tcW w:type="dxa" w:w="25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Which Parts of Your Experience Will Transfer to Another Industry?</w:t>
            </w:r>
          </w:p>
        </w:tc>
        <w:tc>
          <w:tcPr>
            <w:tcW w:type="dxa" w:w="15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WHAT ACTUALLY TRAVELS?</w:t>
            </w:r>
          </w:p>
        </w:tc>
        <w:tc>
          <w:tcPr>
            <w:tcW w:type="dxa" w:w="26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Which parts of my value are portable—and which are context-specific?</w:t>
            </w:r>
          </w:p>
        </w:tc>
        <w:tc>
          <w:tcPr>
            <w:tcW w:type="dxa" w:w="11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Field Kit</w:t>
            </w:r>
          </w:p>
        </w:tc>
        <w:tc>
          <w:tcPr>
            <w:tcW w:type="dxa" w:w="22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Makes “industry agnostic” a rigorous test rather than a slogan.</w:t>
            </w:r>
          </w:p>
        </w:tc>
      </w:tr>
      <w:tr>
        <w:trPr>
          <w:cantSplit/>
        </w:trPr>
        <w:tc>
          <w:tcPr>
            <w:tcW w:type="dxa" w:w="360"/>
            <w:tcMar>
              <w:top w:w="80" w:type="dxa"/>
              <w:start w:w="100" w:type="dxa"/>
              <w:bottom w:w="80" w:type="dxa"/>
              <w:end w:w="100" w:type="dxa"/>
            </w:tcMar>
            <w:vAlign w:val="top"/>
          </w:tcPr>
          <w:p>
            <w:pPr>
              <w:spacing w:before="0" w:after="30" w:line="245" w:lineRule="auto"/>
            </w:pPr>
            <w:r>
              <w:rPr>
                <w:rFonts w:ascii="Calibri" w:hAnsi="Calibri"/>
                <w:color w:val="18263A"/>
                <w:sz w:val="15"/>
              </w:rPr>
              <w:t>14</w:t>
            </w:r>
          </w:p>
        </w:tc>
        <w:tc>
          <w:tcPr>
            <w:tcW w:type="dxa" w:w="2580"/>
            <w:tcMar>
              <w:top w:w="80" w:type="dxa"/>
              <w:start w:w="100" w:type="dxa"/>
              <w:bottom w:w="80" w:type="dxa"/>
              <w:end w:w="100" w:type="dxa"/>
            </w:tcMar>
            <w:vAlign w:val="top"/>
          </w:tcPr>
          <w:p>
            <w:pPr>
              <w:spacing w:before="0" w:after="30" w:line="245" w:lineRule="auto"/>
            </w:pPr>
            <w:r>
              <w:rPr>
                <w:rFonts w:ascii="Calibri" w:hAnsi="Calibri"/>
                <w:color w:val="18263A"/>
                <w:sz w:val="15"/>
              </w:rPr>
              <w:t>How to Stay Relevant After 40 Without Erasing Your Experience</w:t>
            </w:r>
          </w:p>
        </w:tc>
        <w:tc>
          <w:tcPr>
            <w:tcW w:type="dxa" w:w="1500"/>
            <w:tcMar>
              <w:top w:w="80" w:type="dxa"/>
              <w:start w:w="100" w:type="dxa"/>
              <w:bottom w:w="80" w:type="dxa"/>
              <w:end w:w="100" w:type="dxa"/>
            </w:tcMar>
            <w:vAlign w:val="top"/>
          </w:tcPr>
          <w:p>
            <w:pPr>
              <w:spacing w:before="0" w:after="30" w:line="245" w:lineRule="auto"/>
            </w:pPr>
            <w:r>
              <w:rPr>
                <w:rFonts w:ascii="Calibri" w:hAnsi="Calibri"/>
                <w:color w:val="18263A"/>
                <w:sz w:val="15"/>
              </w:rPr>
              <w:t>DON’T ERASE 20 YEARS</w:t>
            </w:r>
          </w:p>
        </w:tc>
        <w:tc>
          <w:tcPr>
            <w:tcW w:type="dxa" w:w="2600"/>
            <w:tcMar>
              <w:top w:w="80" w:type="dxa"/>
              <w:start w:w="100" w:type="dxa"/>
              <w:bottom w:w="80" w:type="dxa"/>
              <w:end w:w="100" w:type="dxa"/>
            </w:tcMar>
            <w:vAlign w:val="top"/>
          </w:tcPr>
          <w:p>
            <w:pPr>
              <w:spacing w:before="0" w:after="30" w:line="245" w:lineRule="auto"/>
            </w:pPr>
            <w:r>
              <w:rPr>
                <w:rFonts w:ascii="Calibri" w:hAnsi="Calibri"/>
                <w:color w:val="18263A"/>
                <w:sz w:val="15"/>
              </w:rPr>
              <w:t>How do I show current value without hiding my history?</w:t>
            </w:r>
          </w:p>
        </w:tc>
        <w:tc>
          <w:tcPr>
            <w:tcW w:type="dxa" w:w="1100"/>
            <w:tcMar>
              <w:top w:w="80" w:type="dxa"/>
              <w:start w:w="100" w:type="dxa"/>
              <w:bottom w:w="80" w:type="dxa"/>
              <w:end w:w="100" w:type="dxa"/>
            </w:tcMar>
            <w:vAlign w:val="top"/>
          </w:tcPr>
          <w:p>
            <w:pPr>
              <w:spacing w:before="0" w:after="30" w:line="245" w:lineRule="auto"/>
            </w:pPr>
            <w:r>
              <w:rPr>
                <w:rFonts w:ascii="Calibri" w:hAnsi="Calibri"/>
                <w:color w:val="18263A"/>
                <w:sz w:val="15"/>
              </w:rPr>
              <w:t>Field Kit</w:t>
            </w:r>
          </w:p>
        </w:tc>
        <w:tc>
          <w:tcPr>
            <w:tcW w:type="dxa" w:w="2260"/>
            <w:tcMar>
              <w:top w:w="80" w:type="dxa"/>
              <w:start w:w="100" w:type="dxa"/>
              <w:bottom w:w="80" w:type="dxa"/>
              <w:end w:w="100" w:type="dxa"/>
            </w:tcMar>
            <w:vAlign w:val="top"/>
          </w:tcPr>
          <w:p>
            <w:pPr>
              <w:spacing w:before="0" w:after="30" w:line="245" w:lineRule="auto"/>
            </w:pPr>
            <w:r>
              <w:rPr>
                <w:rFonts w:ascii="Calibri" w:hAnsi="Calibri"/>
                <w:color w:val="18263A"/>
                <w:sz w:val="15"/>
              </w:rPr>
              <w:t>Names age and seniority without making the channel women-only.</w:t>
            </w:r>
          </w:p>
        </w:tc>
      </w:tr>
      <w:tr>
        <w:trPr>
          <w:cantSplit/>
        </w:trPr>
        <w:tc>
          <w:tcPr>
            <w:tcW w:type="dxa" w:w="3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15</w:t>
            </w:r>
          </w:p>
        </w:tc>
        <w:tc>
          <w:tcPr>
            <w:tcW w:type="dxa" w:w="25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What to Do When Your Work Is Valued but You Are Overlooked</w:t>
            </w:r>
          </w:p>
        </w:tc>
        <w:tc>
          <w:tcPr>
            <w:tcW w:type="dxa" w:w="15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VALUED—BUT OVERLOOKED</w:t>
            </w:r>
          </w:p>
        </w:tc>
        <w:tc>
          <w:tcPr>
            <w:tcW w:type="dxa" w:w="26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What if responsibility grows while sponsorship and visibility fade?</w:t>
            </w:r>
          </w:p>
        </w:tc>
        <w:tc>
          <w:tcPr>
            <w:tcW w:type="dxa" w:w="11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Keep the Proof</w:t>
            </w:r>
          </w:p>
        </w:tc>
        <w:tc>
          <w:tcPr>
            <w:tcW w:type="dxa" w:w="22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Directly addresses a repeated senior-women pain point.</w:t>
            </w:r>
          </w:p>
        </w:tc>
      </w:tr>
      <w:tr>
        <w:trPr>
          <w:cantSplit/>
        </w:trPr>
        <w:tc>
          <w:tcPr>
            <w:tcW w:type="dxa" w:w="360"/>
            <w:tcMar>
              <w:top w:w="80" w:type="dxa"/>
              <w:start w:w="100" w:type="dxa"/>
              <w:bottom w:w="80" w:type="dxa"/>
              <w:end w:w="100" w:type="dxa"/>
            </w:tcMar>
            <w:vAlign w:val="top"/>
          </w:tcPr>
          <w:p>
            <w:pPr>
              <w:spacing w:before="0" w:after="30" w:line="245" w:lineRule="auto"/>
            </w:pPr>
            <w:r>
              <w:rPr>
                <w:rFonts w:ascii="Calibri" w:hAnsi="Calibri"/>
                <w:color w:val="18263A"/>
                <w:sz w:val="15"/>
              </w:rPr>
              <w:t>16</w:t>
            </w:r>
          </w:p>
        </w:tc>
        <w:tc>
          <w:tcPr>
            <w:tcW w:type="dxa" w:w="2580"/>
            <w:tcMar>
              <w:top w:w="80" w:type="dxa"/>
              <w:start w:w="100" w:type="dxa"/>
              <w:bottom w:w="80" w:type="dxa"/>
              <w:end w:w="100" w:type="dxa"/>
            </w:tcMar>
            <w:vAlign w:val="top"/>
          </w:tcPr>
          <w:p>
            <w:pPr>
              <w:spacing w:before="0" w:after="30" w:line="245" w:lineRule="auto"/>
            </w:pPr>
            <w:r>
              <w:rPr>
                <w:rFonts w:ascii="Calibri" w:hAnsi="Calibri"/>
                <w:color w:val="18263A"/>
                <w:sz w:val="15"/>
              </w:rPr>
              <w:t>How to Prove Your Value When AI Does More of the Task</w:t>
            </w:r>
          </w:p>
        </w:tc>
        <w:tc>
          <w:tcPr>
            <w:tcW w:type="dxa" w:w="1500"/>
            <w:tcMar>
              <w:top w:w="80" w:type="dxa"/>
              <w:start w:w="100" w:type="dxa"/>
              <w:bottom w:w="80" w:type="dxa"/>
              <w:end w:w="100" w:type="dxa"/>
            </w:tcMar>
            <w:vAlign w:val="top"/>
          </w:tcPr>
          <w:p>
            <w:pPr>
              <w:spacing w:before="0" w:after="30" w:line="245" w:lineRule="auto"/>
            </w:pPr>
            <w:r>
              <w:rPr>
                <w:rFonts w:ascii="Calibri" w:hAnsi="Calibri"/>
                <w:color w:val="18263A"/>
                <w:sz w:val="15"/>
              </w:rPr>
              <w:t>OUTPUT ISN’T ENOUGH</w:t>
            </w:r>
          </w:p>
        </w:tc>
        <w:tc>
          <w:tcPr>
            <w:tcW w:type="dxa" w:w="2600"/>
            <w:tcMar>
              <w:top w:w="80" w:type="dxa"/>
              <w:start w:w="100" w:type="dxa"/>
              <w:bottom w:w="80" w:type="dxa"/>
              <w:end w:w="100" w:type="dxa"/>
            </w:tcMar>
            <w:vAlign w:val="top"/>
          </w:tcPr>
          <w:p>
            <w:pPr>
              <w:spacing w:before="0" w:after="30" w:line="245" w:lineRule="auto"/>
            </w:pPr>
            <w:r>
              <w:rPr>
                <w:rFonts w:ascii="Calibri" w:hAnsi="Calibri"/>
                <w:color w:val="18263A"/>
                <w:sz w:val="15"/>
              </w:rPr>
              <w:t>How do I show value beyond producing the draft?</w:t>
            </w:r>
          </w:p>
        </w:tc>
        <w:tc>
          <w:tcPr>
            <w:tcW w:type="dxa" w:w="1100"/>
            <w:tcMar>
              <w:top w:w="80" w:type="dxa"/>
              <w:start w:w="100" w:type="dxa"/>
              <w:bottom w:w="80" w:type="dxa"/>
              <w:end w:w="100" w:type="dxa"/>
            </w:tcMar>
            <w:vAlign w:val="top"/>
          </w:tcPr>
          <w:p>
            <w:pPr>
              <w:spacing w:before="0" w:after="30" w:line="245" w:lineRule="auto"/>
            </w:pPr>
            <w:r>
              <w:rPr>
                <w:rFonts w:ascii="Calibri" w:hAnsi="Calibri"/>
                <w:color w:val="18263A"/>
                <w:sz w:val="15"/>
              </w:rPr>
              <w:t>Keep the Proof</w:t>
            </w:r>
          </w:p>
        </w:tc>
        <w:tc>
          <w:tcPr>
            <w:tcW w:type="dxa" w:w="2260"/>
            <w:tcMar>
              <w:top w:w="80" w:type="dxa"/>
              <w:start w:w="100" w:type="dxa"/>
              <w:bottom w:w="80" w:type="dxa"/>
              <w:end w:w="100" w:type="dxa"/>
            </w:tcMar>
            <w:vAlign w:val="top"/>
          </w:tcPr>
          <w:p>
            <w:pPr>
              <w:spacing w:before="0" w:after="30" w:line="245" w:lineRule="auto"/>
            </w:pPr>
            <w:r>
              <w:rPr>
                <w:rFonts w:ascii="Calibri" w:hAnsi="Calibri"/>
                <w:color w:val="18263A"/>
                <w:sz w:val="15"/>
              </w:rPr>
              <w:t>Second and final individual-facing AI video in the first twenty.</w:t>
            </w:r>
          </w:p>
        </w:tc>
      </w:tr>
      <w:tr>
        <w:trPr>
          <w:cantSplit/>
        </w:trPr>
        <w:tc>
          <w:tcPr>
            <w:tcW w:type="dxa" w:w="3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17</w:t>
            </w:r>
          </w:p>
        </w:tc>
        <w:tc>
          <w:tcPr>
            <w:tcW w:type="dxa" w:w="25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Should You Stay an Individual Contributor—or Become a Manager?</w:t>
            </w:r>
          </w:p>
        </w:tc>
        <w:tc>
          <w:tcPr>
            <w:tcW w:type="dxa" w:w="15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YOU DON’T HAVE TO MANAGE</w:t>
            </w:r>
          </w:p>
        </w:tc>
        <w:tc>
          <w:tcPr>
            <w:tcW w:type="dxa" w:w="26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Which senior path fits the work I actually want to do?</w:t>
            </w:r>
          </w:p>
        </w:tc>
        <w:tc>
          <w:tcPr>
            <w:tcW w:type="dxa" w:w="11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Decision Check</w:t>
            </w:r>
          </w:p>
        </w:tc>
        <w:tc>
          <w:tcPr>
            <w:tcW w:type="dxa" w:w="22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Answers a visible senior-path branch without assuming management is superior.</w:t>
            </w:r>
          </w:p>
        </w:tc>
      </w:tr>
      <w:tr>
        <w:trPr>
          <w:cantSplit/>
        </w:trPr>
        <w:tc>
          <w:tcPr>
            <w:tcW w:type="dxa" w:w="360"/>
            <w:tcMar>
              <w:top w:w="80" w:type="dxa"/>
              <w:start w:w="100" w:type="dxa"/>
              <w:bottom w:w="80" w:type="dxa"/>
              <w:end w:w="100" w:type="dxa"/>
            </w:tcMar>
            <w:vAlign w:val="top"/>
          </w:tcPr>
          <w:p>
            <w:pPr>
              <w:spacing w:before="0" w:after="30" w:line="245" w:lineRule="auto"/>
            </w:pPr>
            <w:r>
              <w:rPr>
                <w:rFonts w:ascii="Calibri" w:hAnsi="Calibri"/>
                <w:color w:val="18263A"/>
                <w:sz w:val="15"/>
              </w:rPr>
              <w:t>18</w:t>
            </w:r>
          </w:p>
        </w:tc>
        <w:tc>
          <w:tcPr>
            <w:tcW w:type="dxa" w:w="2580"/>
            <w:tcMar>
              <w:top w:w="80" w:type="dxa"/>
              <w:start w:w="100" w:type="dxa"/>
              <w:bottom w:w="80" w:type="dxa"/>
              <w:end w:w="100" w:type="dxa"/>
            </w:tcMar>
            <w:vAlign w:val="top"/>
          </w:tcPr>
          <w:p>
            <w:pPr>
              <w:spacing w:before="0" w:after="30" w:line="245" w:lineRule="auto"/>
            </w:pPr>
            <w:r>
              <w:rPr>
                <w:rFonts w:ascii="Calibri" w:hAnsi="Calibri"/>
                <w:color w:val="18263A"/>
                <w:sz w:val="15"/>
              </w:rPr>
              <w:t>Is Consulting a Real Next Step for Your Career?</w:t>
            </w:r>
          </w:p>
        </w:tc>
        <w:tc>
          <w:tcPr>
            <w:tcW w:type="dxa" w:w="1500"/>
            <w:tcMar>
              <w:top w:w="80" w:type="dxa"/>
              <w:start w:w="100" w:type="dxa"/>
              <w:bottom w:w="80" w:type="dxa"/>
              <w:end w:w="100" w:type="dxa"/>
            </w:tcMar>
            <w:vAlign w:val="top"/>
          </w:tcPr>
          <w:p>
            <w:pPr>
              <w:spacing w:before="0" w:after="30" w:line="245" w:lineRule="auto"/>
            </w:pPr>
            <w:r>
              <w:rPr>
                <w:rFonts w:ascii="Calibri" w:hAnsi="Calibri"/>
                <w:color w:val="18263A"/>
                <w:sz w:val="15"/>
              </w:rPr>
              <w:t>EXPERIENCE ISN’T AN OFFER</w:t>
            </w:r>
          </w:p>
        </w:tc>
        <w:tc>
          <w:tcPr>
            <w:tcW w:type="dxa" w:w="2600"/>
            <w:tcMar>
              <w:top w:w="80" w:type="dxa"/>
              <w:start w:w="100" w:type="dxa"/>
              <w:bottom w:w="80" w:type="dxa"/>
              <w:end w:w="100" w:type="dxa"/>
            </w:tcMar>
            <w:vAlign w:val="top"/>
          </w:tcPr>
          <w:p>
            <w:pPr>
              <w:spacing w:before="0" w:after="30" w:line="245" w:lineRule="auto"/>
            </w:pPr>
            <w:r>
              <w:rPr>
                <w:rFonts w:ascii="Calibri" w:hAnsi="Calibri"/>
                <w:color w:val="18263A"/>
                <w:sz w:val="15"/>
              </w:rPr>
              <w:t>Can my experience become a consulting proposition?</w:t>
            </w:r>
          </w:p>
        </w:tc>
        <w:tc>
          <w:tcPr>
            <w:tcW w:type="dxa" w:w="1100"/>
            <w:tcMar>
              <w:top w:w="80" w:type="dxa"/>
              <w:start w:w="100" w:type="dxa"/>
              <w:bottom w:w="80" w:type="dxa"/>
              <w:end w:w="100" w:type="dxa"/>
            </w:tcMar>
            <w:vAlign w:val="top"/>
          </w:tcPr>
          <w:p>
            <w:pPr>
              <w:spacing w:before="0" w:after="30" w:line="245" w:lineRule="auto"/>
            </w:pPr>
            <w:r>
              <w:rPr>
                <w:rFonts w:ascii="Calibri" w:hAnsi="Calibri"/>
                <w:color w:val="18263A"/>
                <w:sz w:val="15"/>
              </w:rPr>
              <w:t>Decision Check</w:t>
            </w:r>
          </w:p>
        </w:tc>
        <w:tc>
          <w:tcPr>
            <w:tcW w:type="dxa" w:w="2260"/>
            <w:tcMar>
              <w:top w:w="80" w:type="dxa"/>
              <w:start w:w="100" w:type="dxa"/>
              <w:bottom w:w="80" w:type="dxa"/>
              <w:end w:w="100" w:type="dxa"/>
            </w:tcMar>
            <w:vAlign w:val="top"/>
          </w:tcPr>
          <w:p>
            <w:pPr>
              <w:spacing w:before="0" w:after="30" w:line="245" w:lineRule="auto"/>
            </w:pPr>
            <w:r>
              <w:rPr>
                <w:rFonts w:ascii="Calibri" w:hAnsi="Calibri"/>
                <w:color w:val="18263A"/>
                <w:sz w:val="15"/>
              </w:rPr>
              <w:t>Addresses a common senior option with needed skepticism.</w:t>
            </w:r>
          </w:p>
        </w:tc>
      </w:tr>
      <w:tr>
        <w:trPr>
          <w:cantSplit/>
        </w:trPr>
        <w:tc>
          <w:tcPr>
            <w:tcW w:type="dxa" w:w="3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19</w:t>
            </w:r>
          </w:p>
        </w:tc>
        <w:tc>
          <w:tcPr>
            <w:tcW w:type="dxa" w:w="25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How to Return After a Career Break Without Starting at Zero</w:t>
            </w:r>
          </w:p>
        </w:tc>
        <w:tc>
          <w:tcPr>
            <w:tcW w:type="dxa" w:w="15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THE GAP ISN’T THE WHOLE STORY</w:t>
            </w:r>
          </w:p>
        </w:tc>
        <w:tc>
          <w:tcPr>
            <w:tcW w:type="dxa" w:w="26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How do I make earlier value and current readiness visible?</w:t>
            </w:r>
          </w:p>
        </w:tc>
        <w:tc>
          <w:tcPr>
            <w:tcW w:type="dxa" w:w="11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Field Kit</w:t>
            </w:r>
          </w:p>
        </w:tc>
        <w:tc>
          <w:tcPr>
            <w:tcW w:type="dxa" w:w="22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Adds caregiving/re-entry with direct lived credibility and honest friction.</w:t>
            </w:r>
          </w:p>
        </w:tc>
      </w:tr>
      <w:tr>
        <w:trPr>
          <w:cantSplit/>
        </w:trPr>
        <w:tc>
          <w:tcPr>
            <w:tcW w:type="dxa" w:w="360"/>
            <w:tcMar>
              <w:top w:w="80" w:type="dxa"/>
              <w:start w:w="100" w:type="dxa"/>
              <w:bottom w:w="80" w:type="dxa"/>
              <w:end w:w="100" w:type="dxa"/>
            </w:tcMar>
            <w:vAlign w:val="top"/>
          </w:tcPr>
          <w:p>
            <w:pPr>
              <w:spacing w:before="0" w:after="30" w:line="245" w:lineRule="auto"/>
            </w:pPr>
            <w:r>
              <w:rPr>
                <w:rFonts w:ascii="Calibri" w:hAnsi="Calibri"/>
                <w:color w:val="18263A"/>
                <w:sz w:val="15"/>
              </w:rPr>
              <w:t>20</w:t>
            </w:r>
          </w:p>
        </w:tc>
        <w:tc>
          <w:tcPr>
            <w:tcW w:type="dxa" w:w="2580"/>
            <w:tcMar>
              <w:top w:w="80" w:type="dxa"/>
              <w:start w:w="100" w:type="dxa"/>
              <w:bottom w:w="80" w:type="dxa"/>
              <w:end w:w="100" w:type="dxa"/>
            </w:tcMar>
            <w:vAlign w:val="top"/>
          </w:tcPr>
          <w:p>
            <w:pPr>
              <w:spacing w:before="0" w:after="30" w:line="245" w:lineRule="auto"/>
            </w:pPr>
            <w:r>
              <w:rPr>
                <w:rFonts w:ascii="Calibri" w:hAnsi="Calibri"/>
                <w:color w:val="18263A"/>
                <w:sz w:val="15"/>
              </w:rPr>
              <w:t>What You Must Relearn When You Change Industries</w:t>
            </w:r>
          </w:p>
        </w:tc>
        <w:tc>
          <w:tcPr>
            <w:tcW w:type="dxa" w:w="1500"/>
            <w:tcMar>
              <w:top w:w="80" w:type="dxa"/>
              <w:start w:w="100" w:type="dxa"/>
              <w:bottom w:w="80" w:type="dxa"/>
              <w:end w:w="100" w:type="dxa"/>
            </w:tcMar>
            <w:vAlign w:val="top"/>
          </w:tcPr>
          <w:p>
            <w:pPr>
              <w:spacing w:before="0" w:after="30" w:line="245" w:lineRule="auto"/>
            </w:pPr>
            <w:r>
              <w:rPr>
                <w:rFonts w:ascii="Calibri" w:hAnsi="Calibri"/>
                <w:color w:val="18263A"/>
                <w:sz w:val="15"/>
              </w:rPr>
              <w:t>NOT EVERYTHING TRAVELS</w:t>
            </w:r>
          </w:p>
        </w:tc>
        <w:tc>
          <w:tcPr>
            <w:tcW w:type="dxa" w:w="2600"/>
            <w:tcMar>
              <w:top w:w="80" w:type="dxa"/>
              <w:start w:w="100" w:type="dxa"/>
              <w:bottom w:w="80" w:type="dxa"/>
              <w:end w:w="100" w:type="dxa"/>
            </w:tcMar>
            <w:vAlign w:val="top"/>
          </w:tcPr>
          <w:p>
            <w:pPr>
              <w:spacing w:before="0" w:after="30" w:line="245" w:lineRule="auto"/>
            </w:pPr>
            <w:r>
              <w:rPr>
                <w:rFonts w:ascii="Calibri" w:hAnsi="Calibri"/>
                <w:color w:val="18263A"/>
                <w:sz w:val="15"/>
              </w:rPr>
              <w:t>What should I carry—and what must I earn again?</w:t>
            </w:r>
          </w:p>
        </w:tc>
        <w:tc>
          <w:tcPr>
            <w:tcW w:type="dxa" w:w="1100"/>
            <w:tcMar>
              <w:top w:w="80" w:type="dxa"/>
              <w:start w:w="100" w:type="dxa"/>
              <w:bottom w:w="80" w:type="dxa"/>
              <w:end w:w="100" w:type="dxa"/>
            </w:tcMar>
            <w:vAlign w:val="top"/>
          </w:tcPr>
          <w:p>
            <w:pPr>
              <w:spacing w:before="0" w:after="30" w:line="245" w:lineRule="auto"/>
            </w:pPr>
            <w:r>
              <w:rPr>
                <w:rFonts w:ascii="Calibri" w:hAnsi="Calibri"/>
                <w:color w:val="18263A"/>
                <w:sz w:val="15"/>
              </w:rPr>
              <w:t>Field Kit</w:t>
            </w:r>
          </w:p>
        </w:tc>
        <w:tc>
          <w:tcPr>
            <w:tcW w:type="dxa" w:w="2260"/>
            <w:tcMar>
              <w:top w:w="80" w:type="dxa"/>
              <w:start w:w="100" w:type="dxa"/>
              <w:bottom w:w="80" w:type="dxa"/>
              <w:end w:w="100" w:type="dxa"/>
            </w:tcMar>
            <w:vAlign w:val="top"/>
          </w:tcPr>
          <w:p>
            <w:pPr>
              <w:spacing w:before="0" w:after="30" w:line="245" w:lineRule="auto"/>
            </w:pPr>
            <w:r>
              <w:rPr>
                <w:rFonts w:ascii="Calibri" w:hAnsi="Calibri"/>
                <w:color w:val="18263A"/>
                <w:sz w:val="15"/>
              </w:rPr>
              <w:t>Makes the portability promise credible by naming its boundary.</w:t>
            </w:r>
          </w:p>
        </w:tc>
      </w:tr>
      <w:tr>
        <w:trPr>
          <w:cantSplit/>
        </w:trPr>
        <w:tc>
          <w:tcPr>
            <w:tcW w:type="dxa" w:w="3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21</w:t>
            </w:r>
          </w:p>
        </w:tc>
        <w:tc>
          <w:tcPr>
            <w:tcW w:type="dxa" w:w="25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No Promotion? How to Know Whether to Wait or Move On</w:t>
            </w:r>
          </w:p>
        </w:tc>
        <w:tc>
          <w:tcPr>
            <w:tcW w:type="dxa" w:w="15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WAIT OR MOVE?</w:t>
            </w:r>
          </w:p>
        </w:tc>
        <w:tc>
          <w:tcPr>
            <w:tcW w:type="dxa" w:w="26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Is this delay a solvable gap or evidence the path is closed?</w:t>
            </w:r>
          </w:p>
        </w:tc>
        <w:tc>
          <w:tcPr>
            <w:tcW w:type="dxa" w:w="11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Decision Check</w:t>
            </w:r>
          </w:p>
        </w:tc>
        <w:tc>
          <w:tcPr>
            <w:tcW w:type="dxa" w:w="22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Returns to an urgent internal decision after expanding the option set.</w:t>
            </w:r>
          </w:p>
        </w:tc>
      </w:tr>
      <w:tr>
        <w:trPr>
          <w:cantSplit/>
        </w:trPr>
        <w:tc>
          <w:tcPr>
            <w:tcW w:type="dxa" w:w="360"/>
            <w:tcMar>
              <w:top w:w="80" w:type="dxa"/>
              <w:start w:w="100" w:type="dxa"/>
              <w:bottom w:w="80" w:type="dxa"/>
              <w:end w:w="100" w:type="dxa"/>
            </w:tcMar>
            <w:vAlign w:val="top"/>
          </w:tcPr>
          <w:p>
            <w:pPr>
              <w:spacing w:before="0" w:after="30" w:line="245" w:lineRule="auto"/>
            </w:pPr>
            <w:r>
              <w:rPr>
                <w:rFonts w:ascii="Calibri" w:hAnsi="Calibri"/>
                <w:color w:val="18263A"/>
                <w:sz w:val="15"/>
              </w:rPr>
              <w:t>22</w:t>
            </w:r>
          </w:p>
        </w:tc>
        <w:tc>
          <w:tcPr>
            <w:tcW w:type="dxa" w:w="2580"/>
            <w:tcMar>
              <w:top w:w="80" w:type="dxa"/>
              <w:start w:w="100" w:type="dxa"/>
              <w:bottom w:w="80" w:type="dxa"/>
              <w:end w:w="100" w:type="dxa"/>
            </w:tcMar>
            <w:vAlign w:val="top"/>
          </w:tcPr>
          <w:p>
            <w:pPr>
              <w:spacing w:before="0" w:after="30" w:line="245" w:lineRule="auto"/>
            </w:pPr>
            <w:r>
              <w:rPr>
                <w:rFonts w:ascii="Calibri" w:hAnsi="Calibri"/>
                <w:color w:val="18263A"/>
                <w:sz w:val="15"/>
              </w:rPr>
              <w:t>What Happens to Your Career When Your Company Gets Flatter?</w:t>
            </w:r>
          </w:p>
        </w:tc>
        <w:tc>
          <w:tcPr>
            <w:tcW w:type="dxa" w:w="1500"/>
            <w:tcMar>
              <w:top w:w="80" w:type="dxa"/>
              <w:start w:w="100" w:type="dxa"/>
              <w:bottom w:w="80" w:type="dxa"/>
              <w:end w:w="100" w:type="dxa"/>
            </w:tcMar>
            <w:vAlign w:val="top"/>
          </w:tcPr>
          <w:p>
            <w:pPr>
              <w:spacing w:before="0" w:after="30" w:line="245" w:lineRule="auto"/>
            </w:pPr>
            <w:r>
              <w:rPr>
                <w:rFonts w:ascii="Calibri" w:hAnsi="Calibri"/>
                <w:color w:val="18263A"/>
                <w:sz w:val="15"/>
              </w:rPr>
              <w:t>THE LADDER CHANGED</w:t>
            </w:r>
          </w:p>
        </w:tc>
        <w:tc>
          <w:tcPr>
            <w:tcW w:type="dxa" w:w="2600"/>
            <w:tcMar>
              <w:top w:w="80" w:type="dxa"/>
              <w:start w:w="100" w:type="dxa"/>
              <w:bottom w:w="80" w:type="dxa"/>
              <w:end w:w="100" w:type="dxa"/>
            </w:tcMar>
            <w:vAlign w:val="top"/>
          </w:tcPr>
          <w:p>
            <w:pPr>
              <w:spacing w:before="0" w:after="30" w:line="245" w:lineRule="auto"/>
            </w:pPr>
            <w:r>
              <w:rPr>
                <w:rFonts w:ascii="Calibri" w:hAnsi="Calibri"/>
                <w:color w:val="18263A"/>
                <w:sz w:val="15"/>
              </w:rPr>
              <w:t>How do I grow when layers and titles disappear?</w:t>
            </w:r>
          </w:p>
        </w:tc>
        <w:tc>
          <w:tcPr>
            <w:tcW w:type="dxa" w:w="1100"/>
            <w:tcMar>
              <w:top w:w="80" w:type="dxa"/>
              <w:start w:w="100" w:type="dxa"/>
              <w:bottom w:w="80" w:type="dxa"/>
              <w:end w:w="100" w:type="dxa"/>
            </w:tcMar>
            <w:vAlign w:val="top"/>
          </w:tcPr>
          <w:p>
            <w:pPr>
              <w:spacing w:before="0" w:after="30" w:line="245" w:lineRule="auto"/>
            </w:pPr>
            <w:r>
              <w:rPr>
                <w:rFonts w:ascii="Calibri" w:hAnsi="Calibri"/>
                <w:color w:val="18263A"/>
                <w:sz w:val="15"/>
              </w:rPr>
              <w:t>Field Kit</w:t>
            </w:r>
          </w:p>
        </w:tc>
        <w:tc>
          <w:tcPr>
            <w:tcW w:type="dxa" w:w="2260"/>
            <w:tcMar>
              <w:top w:w="80" w:type="dxa"/>
              <w:start w:w="100" w:type="dxa"/>
              <w:bottom w:w="80" w:type="dxa"/>
              <w:end w:w="100" w:type="dxa"/>
            </w:tcMar>
            <w:vAlign w:val="top"/>
          </w:tcPr>
          <w:p>
            <w:pPr>
              <w:spacing w:before="0" w:after="30" w:line="245" w:lineRule="auto"/>
            </w:pPr>
            <w:r>
              <w:rPr>
                <w:rFonts w:ascii="Calibri" w:hAnsi="Calibri"/>
                <w:color w:val="18263A"/>
                <w:sz w:val="15"/>
              </w:rPr>
              <w:t>Connects enterprise change to the viewer’s practical path.</w:t>
            </w:r>
          </w:p>
        </w:tc>
      </w:tr>
      <w:tr>
        <w:trPr>
          <w:cantSplit/>
        </w:trPr>
        <w:tc>
          <w:tcPr>
            <w:tcW w:type="dxa" w:w="3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23</w:t>
            </w:r>
          </w:p>
        </w:tc>
        <w:tc>
          <w:tcPr>
            <w:tcW w:type="dxa" w:w="258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How to Grow When You’re Already Senior in Your Career</w:t>
            </w:r>
          </w:p>
        </w:tc>
        <w:tc>
          <w:tcPr>
            <w:tcW w:type="dxa" w:w="15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WHAT’S NEXT AFTER SENIOR?</w:t>
            </w:r>
          </w:p>
        </w:tc>
        <w:tc>
          <w:tcPr>
            <w:tcW w:type="dxa" w:w="26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What counts as meaningful growth when title progression slows?</w:t>
            </w:r>
          </w:p>
        </w:tc>
        <w:tc>
          <w:tcPr>
            <w:tcW w:type="dxa" w:w="110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Field Kit</w:t>
            </w:r>
          </w:p>
        </w:tc>
        <w:tc>
          <w:tcPr>
            <w:tcW w:type="dxa" w:w="2260"/>
            <w:tcMar>
              <w:top w:w="80" w:type="dxa"/>
              <w:start w:w="100" w:type="dxa"/>
              <w:bottom w:w="80" w:type="dxa"/>
              <w:end w:w="100" w:type="dxa"/>
            </w:tcMar>
            <w:vAlign w:val="top"/>
            <w:shd w:fill="F3F5F7"/>
          </w:tcPr>
          <w:p>
            <w:pPr>
              <w:spacing w:before="0" w:after="30" w:line="245" w:lineRule="auto"/>
            </w:pPr>
            <w:r>
              <w:rPr>
                <w:rFonts w:ascii="Calibri" w:hAnsi="Calibri"/>
                <w:color w:val="18263A"/>
                <w:sz w:val="15"/>
              </w:rPr>
              <w:t>Closes the sequence with agency rather than a narrower ladder.</w:t>
            </w:r>
          </w:p>
        </w:tc>
      </w:tr>
    </w:tbl>
    <w:p>
      <w:pPr>
        <w:spacing w:after="0"/>
      </w:pPr>
    </w:p>
    <w:p>
      <w:pPr>
        <w:sectPr>
          <w:headerReference w:type="default" r:id="rId17"/>
          <w:footerReference w:type="default" r:id="rId18"/>
          <w:pgSz w:w="15840" w:h="12240" w:orient="landscape"/>
          <w:pgMar w:top="893" w:right="720" w:bottom="893" w:left="720" w:header="605" w:footer="605" w:gutter="0"/>
          <w:cols w:space="720"/>
          <w:docGrid w:linePitch="360"/>
        </w:sectPr>
      </w:pPr>
    </w:p>
    <w:p>
      <w:pPr>
        <w:keepNext/>
        <w:spacing w:after="60"/>
      </w:pPr>
      <w:r>
        <w:rPr>
          <w:rFonts w:ascii="Calibri" w:hAnsi="Calibri"/>
          <w:b/>
          <w:color w:val="C6A646"/>
          <w:sz w:val="18"/>
        </w:rPr>
        <w:t>REVISED ROADMAP  /  PRODUCTION ARCHITECTURE</w:t>
      </w:r>
    </w:p>
    <w:p>
      <w:pPr>
        <w:pStyle w:val="Heading1"/>
        <w:keepNext/>
      </w:pPr>
      <w:r>
        <w:rPr>
          <w:rFonts w:ascii="Calibri" w:hAnsi="Calibri"/>
          <w:b/>
          <w:color w:val="10264B"/>
          <w:sz w:val="32"/>
        </w:rPr>
        <w:t>Proof beat and three teaching moves</w:t>
      </w:r>
    </w:p>
    <w:tbl>
      <w:tblPr>
        <w:tblW w:type="dxa" w:w="10400"/>
        <w:jc w:val="center"/>
        <w:tblLook w:firstColumn="1" w:firstRow="1" w:lastColumn="0" w:lastRow="0" w:noHBand="0" w:noVBand="1" w:val="04A0"/>
        <w:tblLayout w:type="fixed"/>
        <w:tblInd w:w="120" w:type="dxa"/>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Pr>
      <w:tblGrid>
        <w:gridCol w:w="420"/>
        <w:gridCol w:w="5000"/>
        <w:gridCol w:w="4980"/>
      </w:tblGrid>
      <w:tr>
        <w:trPr>
          <w:tblHeader w:val="true"/>
          <w:cantSplit/>
        </w:trPr>
        <w:tc>
          <w:tcPr>
            <w:tcW w:type="dxa" w:w="420"/>
            <w:tcMar>
              <w:top w:w="80" w:type="dxa"/>
              <w:start w:w="100" w:type="dxa"/>
              <w:bottom w:w="80" w:type="dxa"/>
              <w:end w:w="100" w:type="dxa"/>
            </w:tcMar>
            <w:vAlign w:val="top"/>
            <w:shd w:fill="10264B"/>
          </w:tcPr>
          <w:p>
            <w:pPr>
              <w:spacing w:after="0" w:line="240" w:lineRule="auto"/>
            </w:pPr>
            <w:r/>
            <w:r>
              <w:rPr>
                <w:rFonts w:ascii="Calibri" w:hAnsi="Calibri"/>
                <w:b/>
                <w:color w:val="FFFFFF"/>
                <w:sz w:val="16"/>
              </w:rPr>
              <w:t>#</w:t>
            </w:r>
          </w:p>
        </w:tc>
        <w:tc>
          <w:tcPr>
            <w:tcW w:type="dxa" w:w="5000"/>
            <w:tcMar>
              <w:top w:w="80" w:type="dxa"/>
              <w:start w:w="100" w:type="dxa"/>
              <w:bottom w:w="80" w:type="dxa"/>
              <w:end w:w="100" w:type="dxa"/>
            </w:tcMar>
            <w:vAlign w:val="top"/>
            <w:shd w:fill="10264B"/>
          </w:tcPr>
          <w:p>
            <w:pPr>
              <w:spacing w:after="0" w:line="240" w:lineRule="auto"/>
            </w:pPr>
            <w:r/>
            <w:r>
              <w:rPr>
                <w:rFonts w:ascii="Calibri" w:hAnsi="Calibri"/>
                <w:b/>
                <w:color w:val="FFFFFF"/>
                <w:sz w:val="16"/>
              </w:rPr>
              <w:t>Early lived proof / evidence</w:t>
            </w:r>
          </w:p>
        </w:tc>
        <w:tc>
          <w:tcPr>
            <w:tcW w:type="dxa" w:w="4980"/>
            <w:tcMar>
              <w:top w:w="80" w:type="dxa"/>
              <w:start w:w="100" w:type="dxa"/>
              <w:bottom w:w="80" w:type="dxa"/>
              <w:end w:w="100" w:type="dxa"/>
            </w:tcMar>
            <w:vAlign w:val="top"/>
            <w:shd w:fill="10264B"/>
          </w:tcPr>
          <w:p>
            <w:pPr>
              <w:spacing w:after="0" w:line="240" w:lineRule="auto"/>
            </w:pPr>
            <w:r/>
            <w:r>
              <w:rPr>
                <w:rFonts w:ascii="Calibri" w:hAnsi="Calibri"/>
                <w:b/>
                <w:color w:val="FFFFFF"/>
                <w:sz w:val="16"/>
              </w:rPr>
              <w:t>Three teaching moves</w:t>
            </w:r>
          </w:p>
        </w:tc>
      </w:tr>
      <w:tr>
        <w:trPr>
          <w:cantSplit/>
        </w:trPr>
        <w:tc>
          <w:tcPr>
            <w:tcW w:type="dxa" w:w="420"/>
            <w:tcMar>
              <w:top w:w="80" w:type="dxa"/>
              <w:start w:w="100" w:type="dxa"/>
              <w:bottom w:w="80" w:type="dxa"/>
              <w:end w:w="100" w:type="dxa"/>
            </w:tcMar>
            <w:vAlign w:val="top"/>
          </w:tcPr>
          <w:p>
            <w:pPr>
              <w:spacing w:before="0" w:after="30" w:line="245" w:lineRule="auto"/>
            </w:pPr>
            <w:r>
              <w:rPr>
                <w:rFonts w:ascii="Calibri" w:hAnsi="Calibri"/>
                <w:color w:val="18263A"/>
                <w:sz w:val="16"/>
              </w:rPr>
              <w:t>4</w:t>
            </w:r>
          </w:p>
        </w:tc>
        <w:tc>
          <w:tcPr>
            <w:tcW w:type="dxa" w:w="5000"/>
            <w:tcMar>
              <w:top w:w="80" w:type="dxa"/>
              <w:start w:w="100" w:type="dxa"/>
              <w:bottom w:w="80" w:type="dxa"/>
              <w:end w:w="100" w:type="dxa"/>
            </w:tcMar>
            <w:vAlign w:val="top"/>
          </w:tcPr>
          <w:p>
            <w:pPr>
              <w:spacing w:before="0" w:after="30" w:line="245" w:lineRule="auto"/>
            </w:pPr>
            <w:r>
              <w:rPr>
                <w:rFonts w:ascii="Calibri" w:hAnsi="Calibri"/>
                <w:color w:val="18263A"/>
                <w:sz w:val="16"/>
              </w:rPr>
              <w:t>“Cat with nine lives” → accounting/audit, cyber, people strategy and transformation.</w:t>
            </w:r>
          </w:p>
        </w:tc>
        <w:tc>
          <w:tcPr>
            <w:tcW w:type="dxa" w:w="4980"/>
            <w:tcMar>
              <w:top w:w="80" w:type="dxa"/>
              <w:start w:w="100" w:type="dxa"/>
              <w:bottom w:w="80" w:type="dxa"/>
              <w:end w:w="100" w:type="dxa"/>
            </w:tcMar>
            <w:vAlign w:val="top"/>
          </w:tcPr>
          <w:p>
            <w:pPr>
              <w:spacing w:before="0" w:after="30" w:line="245" w:lineRule="auto"/>
            </w:pPr>
            <w:r>
              <w:rPr>
                <w:rFonts w:ascii="Calibri" w:hAnsi="Calibri"/>
                <w:color w:val="18263A"/>
                <w:sz w:val="16"/>
              </w:rPr>
              <w:t>Name chapters briefly; find recurring work; explain direction and honest relearning.</w:t>
            </w:r>
          </w:p>
        </w:tc>
      </w:tr>
      <w:tr>
        <w:trPr>
          <w:cantSplit/>
        </w:trPr>
        <w:tc>
          <w:tcPr>
            <w:tcW w:type="dxa" w:w="42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5</w:t>
            </w:r>
          </w:p>
        </w:tc>
        <w:tc>
          <w:tcPr>
            <w:tcW w:type="dxa" w:w="500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Return from maternity leave; onboarding first; scope expanded roughly six months later. Confirm exact causal sequence before recording.</w:t>
            </w:r>
          </w:p>
        </w:tc>
        <w:tc>
          <w:tcPr>
            <w:tcW w:type="dxa" w:w="498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Different work; greater judgment; portable evidence.</w:t>
            </w:r>
          </w:p>
        </w:tc>
      </w:tr>
      <w:tr>
        <w:trPr>
          <w:cantSplit/>
        </w:trPr>
        <w:tc>
          <w:tcPr>
            <w:tcW w:type="dxa" w:w="420"/>
            <w:tcMar>
              <w:top w:w="80" w:type="dxa"/>
              <w:start w:w="100" w:type="dxa"/>
              <w:bottom w:w="80" w:type="dxa"/>
              <w:end w:w="100" w:type="dxa"/>
            </w:tcMar>
            <w:vAlign w:val="top"/>
          </w:tcPr>
          <w:p>
            <w:pPr>
              <w:spacing w:before="0" w:after="30" w:line="245" w:lineRule="auto"/>
            </w:pPr>
            <w:r>
              <w:rPr>
                <w:rFonts w:ascii="Calibri" w:hAnsi="Calibri"/>
                <w:color w:val="18263A"/>
                <w:sz w:val="16"/>
              </w:rPr>
              <w:t>6</w:t>
            </w:r>
          </w:p>
        </w:tc>
        <w:tc>
          <w:tcPr>
            <w:tcW w:type="dxa" w:w="5000"/>
            <w:tcMar>
              <w:top w:w="80" w:type="dxa"/>
              <w:start w:w="100" w:type="dxa"/>
              <w:bottom w:w="80" w:type="dxa"/>
              <w:end w:w="100" w:type="dxa"/>
            </w:tcMar>
            <w:vAlign w:val="top"/>
          </w:tcPr>
          <w:p>
            <w:pPr>
              <w:spacing w:before="0" w:after="30" w:line="245" w:lineRule="auto"/>
            </w:pPr>
            <w:r>
              <w:rPr>
                <w:rFonts w:ascii="Calibri" w:hAnsi="Calibri"/>
                <w:color w:val="18263A"/>
                <w:sz w:val="16"/>
              </w:rPr>
              <w:t>Scope expanded beyond original job description more than once; use a distinct scene if available.</w:t>
            </w:r>
          </w:p>
        </w:tc>
        <w:tc>
          <w:tcPr>
            <w:tcW w:type="dxa" w:w="4980"/>
            <w:tcMar>
              <w:top w:w="80" w:type="dxa"/>
              <w:start w:w="100" w:type="dxa"/>
              <w:bottom w:w="80" w:type="dxa"/>
              <w:end w:w="100" w:type="dxa"/>
            </w:tcMar>
            <w:vAlign w:val="top"/>
          </w:tcPr>
          <w:p>
            <w:pPr>
              <w:spacing w:before="0" w:after="30" w:line="245" w:lineRule="auto"/>
            </w:pPr>
            <w:r>
              <w:rPr>
                <w:rFonts w:ascii="Calibri" w:hAnsi="Calibri"/>
                <w:color w:val="18263A"/>
                <w:sz w:val="16"/>
              </w:rPr>
              <w:t>Complexity; authority; return.</w:t>
            </w:r>
          </w:p>
        </w:tc>
      </w:tr>
      <w:tr>
        <w:trPr>
          <w:cantSplit/>
        </w:trPr>
        <w:tc>
          <w:tcPr>
            <w:tcW w:type="dxa" w:w="42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7</w:t>
            </w:r>
          </w:p>
        </w:tc>
        <w:tc>
          <w:tcPr>
            <w:tcW w:type="dxa" w:w="500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First-in-role/builder chapter. Confirm whether 30% retention and &gt;$2M avoided turnover belong to this story.</w:t>
            </w:r>
          </w:p>
        </w:tc>
        <w:tc>
          <w:tcPr>
            <w:tcW w:type="dxa" w:w="498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Reconstruct the before; name judgment and infrastructure; preserve permitted evidence.</w:t>
            </w:r>
          </w:p>
        </w:tc>
      </w:tr>
      <w:tr>
        <w:trPr>
          <w:cantSplit/>
        </w:trPr>
        <w:tc>
          <w:tcPr>
            <w:tcW w:type="dxa" w:w="420"/>
            <w:tcMar>
              <w:top w:w="80" w:type="dxa"/>
              <w:start w:w="100" w:type="dxa"/>
              <w:bottom w:w="80" w:type="dxa"/>
              <w:end w:w="100" w:type="dxa"/>
            </w:tcMar>
            <w:vAlign w:val="top"/>
          </w:tcPr>
          <w:p>
            <w:pPr>
              <w:spacing w:before="0" w:after="30" w:line="245" w:lineRule="auto"/>
            </w:pPr>
            <w:r>
              <w:rPr>
                <w:rFonts w:ascii="Calibri" w:hAnsi="Calibri"/>
                <w:color w:val="18263A"/>
                <w:sz w:val="16"/>
              </w:rPr>
              <w:t>8</w:t>
            </w:r>
          </w:p>
        </w:tc>
        <w:tc>
          <w:tcPr>
            <w:tcW w:type="dxa" w:w="5000"/>
            <w:tcMar>
              <w:top w:w="80" w:type="dxa"/>
              <w:start w:w="100" w:type="dxa"/>
              <w:bottom w:w="80" w:type="dxa"/>
              <w:end w:w="100" w:type="dxa"/>
            </w:tcMar>
            <w:vAlign w:val="top"/>
          </w:tcPr>
          <w:p>
            <w:pPr>
              <w:spacing w:before="0" w:after="30" w:line="245" w:lineRule="auto"/>
            </w:pPr>
            <w:r>
              <w:rPr>
                <w:rFonts w:ascii="Calibri" w:hAnsi="Calibri"/>
                <w:color w:val="18263A"/>
                <w:sz w:val="16"/>
              </w:rPr>
              <w:t>18 years; eight industries/sectors; three Big Four; CISM attempt and IAPP chapter show relearning.</w:t>
            </w:r>
          </w:p>
        </w:tc>
        <w:tc>
          <w:tcPr>
            <w:tcW w:type="dxa" w:w="4980"/>
            <w:tcMar>
              <w:top w:w="80" w:type="dxa"/>
              <w:start w:w="100" w:type="dxa"/>
              <w:bottom w:w="80" w:type="dxa"/>
              <w:end w:w="100" w:type="dxa"/>
            </w:tcMar>
            <w:vAlign w:val="top"/>
          </w:tcPr>
          <w:p>
            <w:pPr>
              <w:spacing w:before="0" w:after="30" w:line="245" w:lineRule="auto"/>
            </w:pPr>
            <w:r>
              <w:rPr>
                <w:rFonts w:ascii="Calibri" w:hAnsi="Calibri"/>
                <w:color w:val="18263A"/>
                <w:sz w:val="16"/>
              </w:rPr>
              <w:t>Separate capability/context/credential; match destination problems; build bridge evidence and a learning plan.</w:t>
            </w:r>
          </w:p>
        </w:tc>
      </w:tr>
      <w:tr>
        <w:trPr>
          <w:cantSplit/>
        </w:trPr>
        <w:tc>
          <w:tcPr>
            <w:tcW w:type="dxa" w:w="42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9</w:t>
            </w:r>
          </w:p>
        </w:tc>
        <w:tc>
          <w:tcPr>
            <w:tcW w:type="dxa" w:w="500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Inside view of performance, talent and transition systems; never imply a personal layoff.</w:t>
            </w:r>
          </w:p>
        </w:tc>
        <w:tc>
          <w:tcPr>
            <w:tcW w:type="dxa" w:w="498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Preserve permitted evidence; translate decisions/results; build immediate constraints plan.</w:t>
            </w:r>
          </w:p>
        </w:tc>
      </w:tr>
      <w:tr>
        <w:trPr>
          <w:cantSplit/>
        </w:trPr>
        <w:tc>
          <w:tcPr>
            <w:tcW w:type="dxa" w:w="420"/>
            <w:tcMar>
              <w:top w:w="80" w:type="dxa"/>
              <w:start w:w="100" w:type="dxa"/>
              <w:bottom w:w="80" w:type="dxa"/>
              <w:end w:w="100" w:type="dxa"/>
            </w:tcMar>
            <w:vAlign w:val="top"/>
          </w:tcPr>
          <w:p>
            <w:pPr>
              <w:spacing w:before="0" w:after="30" w:line="245" w:lineRule="auto"/>
            </w:pPr>
            <w:r>
              <w:rPr>
                <w:rFonts w:ascii="Calibri" w:hAnsi="Calibri"/>
                <w:color w:val="18263A"/>
                <w:sz w:val="16"/>
              </w:rPr>
              <w:t>10</w:t>
            </w:r>
          </w:p>
        </w:tc>
        <w:tc>
          <w:tcPr>
            <w:tcW w:type="dxa" w:w="5000"/>
            <w:tcMar>
              <w:top w:w="80" w:type="dxa"/>
              <w:start w:w="100" w:type="dxa"/>
              <w:bottom w:w="80" w:type="dxa"/>
              <w:end w:w="100" w:type="dxa"/>
            </w:tcMar>
            <w:vAlign w:val="top"/>
          </w:tcPr>
          <w:p>
            <w:pPr>
              <w:spacing w:before="0" w:after="30" w:line="245" w:lineRule="auto"/>
            </w:pPr>
            <w:r>
              <w:rPr>
                <w:rFonts w:ascii="Calibri" w:hAnsi="Calibri"/>
                <w:color w:val="18263A"/>
                <w:sz w:val="16"/>
              </w:rPr>
              <w:t>Enterprise technology and transformation; obtain one specific accountability example.</w:t>
            </w:r>
          </w:p>
        </w:tc>
        <w:tc>
          <w:tcPr>
            <w:tcW w:type="dxa" w:w="4980"/>
            <w:tcMar>
              <w:top w:w="80" w:type="dxa"/>
              <w:start w:w="100" w:type="dxa"/>
              <w:bottom w:w="80" w:type="dxa"/>
              <w:end w:w="100" w:type="dxa"/>
            </w:tcMar>
            <w:vAlign w:val="top"/>
          </w:tcPr>
          <w:p>
            <w:pPr>
              <w:spacing w:before="0" w:after="30" w:line="245" w:lineRule="auto"/>
            </w:pPr>
            <w:r>
              <w:rPr>
                <w:rFonts w:ascii="Calibri" w:hAnsi="Calibri"/>
                <w:color w:val="18263A"/>
                <w:sz w:val="16"/>
              </w:rPr>
              <w:t>Separate task/output/outcome; retain verification; own consequence and context.</w:t>
            </w:r>
          </w:p>
        </w:tc>
      </w:tr>
      <w:tr>
        <w:trPr>
          <w:cantSplit/>
        </w:trPr>
        <w:tc>
          <w:tcPr>
            <w:tcW w:type="dxa" w:w="42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11</w:t>
            </w:r>
          </w:p>
        </w:tc>
        <w:tc>
          <w:tcPr>
            <w:tcW w:type="dxa" w:w="500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Viewer constraints; add personal story only if Temidayo has one she wants public.</w:t>
            </w:r>
          </w:p>
        </w:tc>
        <w:tc>
          <w:tcPr>
            <w:tcW w:type="dxa" w:w="498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Stabilize risk; build evidence/options; set a decision date and boundary.</w:t>
            </w:r>
          </w:p>
        </w:tc>
      </w:tr>
      <w:tr>
        <w:trPr>
          <w:cantSplit/>
        </w:trPr>
        <w:tc>
          <w:tcPr>
            <w:tcW w:type="dxa" w:w="420"/>
            <w:tcMar>
              <w:top w:w="80" w:type="dxa"/>
              <w:start w:w="100" w:type="dxa"/>
              <w:bottom w:w="80" w:type="dxa"/>
              <w:end w:w="100" w:type="dxa"/>
            </w:tcMar>
            <w:vAlign w:val="top"/>
          </w:tcPr>
          <w:p>
            <w:pPr>
              <w:spacing w:before="0" w:after="30" w:line="245" w:lineRule="auto"/>
            </w:pPr>
            <w:r>
              <w:rPr>
                <w:rFonts w:ascii="Calibri" w:hAnsi="Calibri"/>
                <w:color w:val="18263A"/>
                <w:sz w:val="16"/>
              </w:rPr>
              <w:t>12</w:t>
            </w:r>
          </w:p>
        </w:tc>
        <w:tc>
          <w:tcPr>
            <w:tcW w:type="dxa" w:w="5000"/>
            <w:tcMar>
              <w:top w:w="80" w:type="dxa"/>
              <w:start w:w="100" w:type="dxa"/>
              <w:bottom w:w="80" w:type="dxa"/>
              <w:end w:w="100" w:type="dxa"/>
            </w:tcMar>
            <w:vAlign w:val="top"/>
          </w:tcPr>
          <w:p>
            <w:pPr>
              <w:spacing w:before="0" w:after="30" w:line="245" w:lineRule="auto"/>
            </w:pPr>
            <w:r>
              <w:rPr>
                <w:rFonts w:ascii="Calibri" w:hAnsi="Calibri"/>
                <w:color w:val="18263A"/>
                <w:sz w:val="16"/>
              </w:rPr>
              <w:t>NABA support; Black Employee Network; IAPP chapter; cross-functional work and executive 1:1s.</w:t>
            </w:r>
          </w:p>
        </w:tc>
        <w:tc>
          <w:tcPr>
            <w:tcW w:type="dxa" w:w="4980"/>
            <w:tcMar>
              <w:top w:w="80" w:type="dxa"/>
              <w:start w:w="100" w:type="dxa"/>
              <w:bottom w:w="80" w:type="dxa"/>
              <w:end w:w="100" w:type="dxa"/>
            </w:tcMar>
            <w:vAlign w:val="top"/>
          </w:tcPr>
          <w:p>
            <w:pPr>
              <w:spacing w:before="0" w:after="30" w:line="245" w:lineRule="auto"/>
            </w:pPr>
            <w:r>
              <w:rPr>
                <w:rFonts w:ascii="Calibri" w:hAnsi="Calibri"/>
                <w:color w:val="18263A"/>
                <w:sz w:val="16"/>
              </w:rPr>
              <w:t>Build exposure; build credible proof; build relationships around real problems.</w:t>
            </w:r>
          </w:p>
        </w:tc>
      </w:tr>
      <w:tr>
        <w:trPr>
          <w:cantSplit/>
        </w:trPr>
        <w:tc>
          <w:tcPr>
            <w:tcW w:type="dxa" w:w="42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13</w:t>
            </w:r>
          </w:p>
        </w:tc>
        <w:tc>
          <w:tcPr>
            <w:tcW w:type="dxa" w:w="500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Accounting/audit → cyber/privacy → people/experience; CISM and IAPP show context acquisition.</w:t>
            </w:r>
          </w:p>
        </w:tc>
        <w:tc>
          <w:tcPr>
            <w:tcW w:type="dxa" w:w="498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Remove company nouns; identify recurring judgment; test against the destination and learning gap.</w:t>
            </w:r>
          </w:p>
        </w:tc>
      </w:tr>
      <w:tr>
        <w:trPr>
          <w:cantSplit/>
        </w:trPr>
        <w:tc>
          <w:tcPr>
            <w:tcW w:type="dxa" w:w="420"/>
            <w:tcMar>
              <w:top w:w="80" w:type="dxa"/>
              <w:start w:w="100" w:type="dxa"/>
              <w:bottom w:w="80" w:type="dxa"/>
              <w:end w:w="100" w:type="dxa"/>
            </w:tcMar>
            <w:vAlign w:val="top"/>
          </w:tcPr>
          <w:p>
            <w:pPr>
              <w:spacing w:before="0" w:after="30" w:line="245" w:lineRule="auto"/>
            </w:pPr>
            <w:r>
              <w:rPr>
                <w:rFonts w:ascii="Calibri" w:hAnsi="Calibri"/>
                <w:color w:val="18263A"/>
                <w:sz w:val="16"/>
              </w:rPr>
              <w:t>14</w:t>
            </w:r>
          </w:p>
        </w:tc>
        <w:tc>
          <w:tcPr>
            <w:tcW w:type="dxa" w:w="5000"/>
            <w:tcMar>
              <w:top w:w="80" w:type="dxa"/>
              <w:start w:w="100" w:type="dxa"/>
              <w:bottom w:w="80" w:type="dxa"/>
              <w:end w:w="100" w:type="dxa"/>
            </w:tcMar>
            <w:vAlign w:val="top"/>
          </w:tcPr>
          <w:p>
            <w:pPr>
              <w:spacing w:before="0" w:after="30" w:line="245" w:lineRule="auto"/>
            </w:pPr>
            <w:r>
              <w:rPr>
                <w:rFonts w:ascii="Calibri" w:hAnsi="Calibri"/>
                <w:color w:val="18263A"/>
                <w:sz w:val="16"/>
              </w:rPr>
              <w:t>18-year progression; use no claim about Temidayo’s age.</w:t>
            </w:r>
          </w:p>
        </w:tc>
        <w:tc>
          <w:tcPr>
            <w:tcW w:type="dxa" w:w="4980"/>
            <w:tcMar>
              <w:top w:w="80" w:type="dxa"/>
              <w:start w:w="100" w:type="dxa"/>
              <w:bottom w:w="80" w:type="dxa"/>
              <w:end w:w="100" w:type="dxa"/>
            </w:tcMar>
            <w:vAlign w:val="top"/>
          </w:tcPr>
          <w:p>
            <w:pPr>
              <w:spacing w:before="0" w:after="30" w:line="245" w:lineRule="auto"/>
            </w:pPr>
            <w:r>
              <w:rPr>
                <w:rFonts w:ascii="Calibri" w:hAnsi="Calibri"/>
                <w:color w:val="18263A"/>
                <w:sz w:val="16"/>
              </w:rPr>
              <w:t>Curate range; show current learning; translate senior consequence, not task volume.</w:t>
            </w:r>
          </w:p>
        </w:tc>
      </w:tr>
      <w:tr>
        <w:trPr>
          <w:cantSplit/>
        </w:trPr>
        <w:tc>
          <w:tcPr>
            <w:tcW w:type="dxa" w:w="42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15</w:t>
            </w:r>
          </w:p>
        </w:tc>
        <w:tc>
          <w:tcPr>
            <w:tcW w:type="dxa" w:w="500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Raising hand; cross-functional work; executive 1:1s. Confirm a turning point and outcome.</w:t>
            </w:r>
          </w:p>
        </w:tc>
        <w:tc>
          <w:tcPr>
            <w:tcW w:type="dxa" w:w="498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Separate value/visibility; map sponsors and decision forums; build external proof and options.</w:t>
            </w:r>
          </w:p>
        </w:tc>
      </w:tr>
      <w:tr>
        <w:trPr>
          <w:cantSplit/>
        </w:trPr>
        <w:tc>
          <w:tcPr>
            <w:tcW w:type="dxa" w:w="420"/>
            <w:tcMar>
              <w:top w:w="80" w:type="dxa"/>
              <w:start w:w="100" w:type="dxa"/>
              <w:bottom w:w="80" w:type="dxa"/>
              <w:end w:w="100" w:type="dxa"/>
            </w:tcMar>
            <w:vAlign w:val="top"/>
          </w:tcPr>
          <w:p>
            <w:pPr>
              <w:spacing w:before="0" w:after="30" w:line="245" w:lineRule="auto"/>
            </w:pPr>
            <w:r>
              <w:rPr>
                <w:rFonts w:ascii="Calibri" w:hAnsi="Calibri"/>
                <w:color w:val="18263A"/>
                <w:sz w:val="16"/>
              </w:rPr>
              <w:t>16</w:t>
            </w:r>
          </w:p>
        </w:tc>
        <w:tc>
          <w:tcPr>
            <w:tcW w:type="dxa" w:w="5000"/>
            <w:tcMar>
              <w:top w:w="80" w:type="dxa"/>
              <w:start w:w="100" w:type="dxa"/>
              <w:bottom w:w="80" w:type="dxa"/>
              <w:end w:w="100" w:type="dxa"/>
            </w:tcMar>
            <w:vAlign w:val="top"/>
          </w:tcPr>
          <w:p>
            <w:pPr>
              <w:spacing w:before="0" w:after="30" w:line="245" w:lineRule="auto"/>
            </w:pPr>
            <w:r>
              <w:rPr>
                <w:rFonts w:ascii="Calibri" w:hAnsi="Calibri"/>
                <w:color w:val="18263A"/>
                <w:sz w:val="16"/>
              </w:rPr>
              <w:t>Needs an exact AI/accountability or verification example before scripting.</w:t>
            </w:r>
          </w:p>
        </w:tc>
        <w:tc>
          <w:tcPr>
            <w:tcW w:type="dxa" w:w="4980"/>
            <w:tcMar>
              <w:top w:w="80" w:type="dxa"/>
              <w:start w:w="100" w:type="dxa"/>
              <w:bottom w:w="80" w:type="dxa"/>
              <w:end w:w="100" w:type="dxa"/>
            </w:tcMar>
            <w:vAlign w:val="top"/>
          </w:tcPr>
          <w:p>
            <w:pPr>
              <w:spacing w:before="0" w:after="30" w:line="245" w:lineRule="auto"/>
            </w:pPr>
            <w:r>
              <w:rPr>
                <w:rFonts w:ascii="Calibri" w:hAnsi="Calibri"/>
                <w:color w:val="18263A"/>
                <w:sz w:val="16"/>
              </w:rPr>
              <w:t>Record the judgment; show verification/consequence; preserve human-owned outcomes.</w:t>
            </w:r>
          </w:p>
        </w:tc>
      </w:tr>
      <w:tr>
        <w:trPr>
          <w:cantSplit/>
        </w:trPr>
        <w:tc>
          <w:tcPr>
            <w:tcW w:type="dxa" w:w="42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17</w:t>
            </w:r>
          </w:p>
        </w:tc>
        <w:tc>
          <w:tcPr>
            <w:tcW w:type="dxa" w:w="500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Consultant → manager → senior director → Head; obtain the moments when the work changed.</w:t>
            </w:r>
          </w:p>
        </w:tc>
        <w:tc>
          <w:tcPr>
            <w:tcW w:type="dxa" w:w="498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Compare desired work; compare authority/cost; run a reversible test.</w:t>
            </w:r>
          </w:p>
        </w:tc>
      </w:tr>
      <w:tr>
        <w:trPr>
          <w:cantSplit/>
        </w:trPr>
        <w:tc>
          <w:tcPr>
            <w:tcW w:type="dxa" w:w="420"/>
            <w:tcMar>
              <w:top w:w="80" w:type="dxa"/>
              <w:start w:w="100" w:type="dxa"/>
              <w:bottom w:w="80" w:type="dxa"/>
              <w:end w:w="100" w:type="dxa"/>
            </w:tcMar>
            <w:vAlign w:val="top"/>
          </w:tcPr>
          <w:p>
            <w:pPr>
              <w:spacing w:before="0" w:after="30" w:line="245" w:lineRule="auto"/>
            </w:pPr>
            <w:r>
              <w:rPr>
                <w:rFonts w:ascii="Calibri" w:hAnsi="Calibri"/>
                <w:color w:val="18263A"/>
                <w:sz w:val="16"/>
              </w:rPr>
              <w:t>18</w:t>
            </w:r>
          </w:p>
        </w:tc>
        <w:tc>
          <w:tcPr>
            <w:tcW w:type="dxa" w:w="5000"/>
            <w:tcMar>
              <w:top w:w="80" w:type="dxa"/>
              <w:start w:w="100" w:type="dxa"/>
              <w:bottom w:w="80" w:type="dxa"/>
              <w:end w:w="100" w:type="dxa"/>
            </w:tcMar>
            <w:vAlign w:val="top"/>
          </w:tcPr>
          <w:p>
            <w:pPr>
              <w:spacing w:before="0" w:after="30" w:line="245" w:lineRule="auto"/>
            </w:pPr>
            <w:r>
              <w:rPr>
                <w:rFonts w:ascii="Calibri" w:hAnsi="Calibri"/>
                <w:color w:val="18263A"/>
                <w:sz w:val="16"/>
              </w:rPr>
              <w:t>Deloitte, EY and PwC; Deloitte hired Temidayo three times. Do not imply solo consulting history without confirmation.</w:t>
            </w:r>
          </w:p>
        </w:tc>
        <w:tc>
          <w:tcPr>
            <w:tcW w:type="dxa" w:w="4980"/>
            <w:tcMar>
              <w:top w:w="80" w:type="dxa"/>
              <w:start w:w="100" w:type="dxa"/>
              <w:bottom w:w="80" w:type="dxa"/>
              <w:end w:w="100" w:type="dxa"/>
            </w:tcMar>
            <w:vAlign w:val="top"/>
          </w:tcPr>
          <w:p>
            <w:pPr>
              <w:spacing w:before="0" w:after="30" w:line="245" w:lineRule="auto"/>
            </w:pPr>
            <w:r>
              <w:rPr>
                <w:rFonts w:ascii="Calibri" w:hAnsi="Calibri"/>
                <w:color w:val="18263A"/>
                <w:sz w:val="16"/>
              </w:rPr>
              <w:t>Define a buyer problem; package portable evidence; test demand before exit.</w:t>
            </w:r>
          </w:p>
        </w:tc>
      </w:tr>
      <w:tr>
        <w:trPr>
          <w:cantSplit/>
        </w:trPr>
        <w:tc>
          <w:tcPr>
            <w:tcW w:type="dxa" w:w="42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19</w:t>
            </w:r>
          </w:p>
        </w:tc>
        <w:tc>
          <w:tcPr>
            <w:tcW w:type="dxa" w:w="500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Return from maternity leave; onboarding first project; scope expansion at roughly six months; internal visibility actions.</w:t>
            </w:r>
          </w:p>
        </w:tc>
        <w:tc>
          <w:tcPr>
            <w:tcW w:type="dxa" w:w="498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Reconstruct evidence; refresh context; create a bridge story and staged re-entry test.</w:t>
            </w:r>
          </w:p>
        </w:tc>
      </w:tr>
      <w:tr>
        <w:trPr>
          <w:cantSplit/>
        </w:trPr>
        <w:tc>
          <w:tcPr>
            <w:tcW w:type="dxa" w:w="420"/>
            <w:tcMar>
              <w:top w:w="80" w:type="dxa"/>
              <w:start w:w="100" w:type="dxa"/>
              <w:bottom w:w="80" w:type="dxa"/>
              <w:end w:w="100" w:type="dxa"/>
            </w:tcMar>
            <w:vAlign w:val="top"/>
          </w:tcPr>
          <w:p>
            <w:pPr>
              <w:spacing w:before="0" w:after="30" w:line="245" w:lineRule="auto"/>
            </w:pPr>
            <w:r>
              <w:rPr>
                <w:rFonts w:ascii="Calibri" w:hAnsi="Calibri"/>
                <w:color w:val="18263A"/>
                <w:sz w:val="16"/>
              </w:rPr>
              <w:t>20</w:t>
            </w:r>
          </w:p>
        </w:tc>
        <w:tc>
          <w:tcPr>
            <w:tcW w:type="dxa" w:w="5000"/>
            <w:tcMar>
              <w:top w:w="80" w:type="dxa"/>
              <w:start w:w="100" w:type="dxa"/>
              <w:bottom w:w="80" w:type="dxa"/>
              <w:end w:w="100" w:type="dxa"/>
            </w:tcMar>
            <w:vAlign w:val="top"/>
          </w:tcPr>
          <w:p>
            <w:pPr>
              <w:spacing w:before="0" w:after="30" w:line="245" w:lineRule="auto"/>
            </w:pPr>
            <w:r>
              <w:rPr>
                <w:rFonts w:ascii="Calibri" w:hAnsi="Calibri"/>
                <w:color w:val="18263A"/>
                <w:sz w:val="16"/>
              </w:rPr>
              <w:t>CISM preparation and unsuccessful first attempt; IAPP chapter; new field scope; systems thinking later traveled.</w:t>
            </w:r>
          </w:p>
        </w:tc>
        <w:tc>
          <w:tcPr>
            <w:tcW w:type="dxa" w:w="4980"/>
            <w:tcMar>
              <w:top w:w="80" w:type="dxa"/>
              <w:start w:w="100" w:type="dxa"/>
              <w:bottom w:w="80" w:type="dxa"/>
              <w:end w:w="100" w:type="dxa"/>
            </w:tcMar>
            <w:vAlign w:val="top"/>
          </w:tcPr>
          <w:p>
            <w:pPr>
              <w:spacing w:before="0" w:after="30" w:line="245" w:lineRule="auto"/>
            </w:pPr>
            <w:r>
              <w:rPr>
                <w:rFonts w:ascii="Calibri" w:hAnsi="Calibri"/>
                <w:color w:val="18263A"/>
                <w:sz w:val="16"/>
              </w:rPr>
              <w:t>Map regulatory/context gaps; build observation and practice; set a 90-day learning plan.</w:t>
            </w:r>
          </w:p>
        </w:tc>
      </w:tr>
      <w:tr>
        <w:trPr>
          <w:cantSplit/>
        </w:trPr>
        <w:tc>
          <w:tcPr>
            <w:tcW w:type="dxa" w:w="42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21</w:t>
            </w:r>
          </w:p>
        </w:tc>
        <w:tc>
          <w:tcPr>
            <w:tcW w:type="dxa" w:w="500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Promotions and some skip-level progression; do not claim promotion in every industry.</w:t>
            </w:r>
          </w:p>
        </w:tc>
        <w:tc>
          <w:tcPr>
            <w:tcW w:type="dxa" w:w="498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Request criteria; separate readiness from politics/structure; set a decision threshold.</w:t>
            </w:r>
          </w:p>
        </w:tc>
      </w:tr>
      <w:tr>
        <w:trPr>
          <w:cantSplit/>
        </w:trPr>
        <w:tc>
          <w:tcPr>
            <w:tcW w:type="dxa" w:w="420"/>
            <w:tcMar>
              <w:top w:w="80" w:type="dxa"/>
              <w:start w:w="100" w:type="dxa"/>
              <w:bottom w:w="80" w:type="dxa"/>
              <w:end w:w="100" w:type="dxa"/>
            </w:tcMar>
            <w:vAlign w:val="top"/>
          </w:tcPr>
          <w:p>
            <w:pPr>
              <w:spacing w:before="0" w:after="30" w:line="245" w:lineRule="auto"/>
            </w:pPr>
            <w:r>
              <w:rPr>
                <w:rFonts w:ascii="Calibri" w:hAnsi="Calibri"/>
                <w:color w:val="18263A"/>
                <w:sz w:val="16"/>
              </w:rPr>
              <w:t>22</w:t>
            </w:r>
          </w:p>
        </w:tc>
        <w:tc>
          <w:tcPr>
            <w:tcW w:type="dxa" w:w="5000"/>
            <w:tcMar>
              <w:top w:w="80" w:type="dxa"/>
              <w:start w:w="100" w:type="dxa"/>
              <w:bottom w:w="80" w:type="dxa"/>
              <w:end w:w="100" w:type="dxa"/>
            </w:tcMar>
            <w:vAlign w:val="top"/>
          </w:tcPr>
          <w:p>
            <w:pPr>
              <w:spacing w:before="0" w:after="30" w:line="245" w:lineRule="auto"/>
            </w:pPr>
            <w:r>
              <w:rPr>
                <w:rFonts w:ascii="Calibri" w:hAnsi="Calibri"/>
                <w:color w:val="18263A"/>
                <w:sz w:val="16"/>
              </w:rPr>
              <w:t>Enterprise transformation and Head-of-Function perspective; exact restructuring scene needed.</w:t>
            </w:r>
          </w:p>
        </w:tc>
        <w:tc>
          <w:tcPr>
            <w:tcW w:type="dxa" w:w="4980"/>
            <w:tcMar>
              <w:top w:w="80" w:type="dxa"/>
              <w:start w:w="100" w:type="dxa"/>
              <w:bottom w:w="80" w:type="dxa"/>
              <w:end w:w="100" w:type="dxa"/>
            </w:tcMar>
            <w:vAlign w:val="top"/>
          </w:tcPr>
          <w:p>
            <w:pPr>
              <w:spacing w:before="0" w:after="30" w:line="245" w:lineRule="auto"/>
            </w:pPr>
            <w:r>
              <w:rPr>
                <w:rFonts w:ascii="Calibri" w:hAnsi="Calibri"/>
                <w:color w:val="18263A"/>
                <w:sz w:val="16"/>
              </w:rPr>
              <w:t>Map new decision nodes; build lateral range; make contribution visible across networks.</w:t>
            </w:r>
          </w:p>
        </w:tc>
      </w:tr>
      <w:tr>
        <w:trPr>
          <w:cantSplit/>
        </w:trPr>
        <w:tc>
          <w:tcPr>
            <w:tcW w:type="dxa" w:w="42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23</w:t>
            </w:r>
          </w:p>
        </w:tc>
        <w:tc>
          <w:tcPr>
            <w:tcW w:type="dxa" w:w="500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Consultant → Head; cross-sector range; confirmed outcomes only when correctly tied.</w:t>
            </w:r>
          </w:p>
        </w:tc>
        <w:tc>
          <w:tcPr>
            <w:tcW w:type="dxa" w:w="498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Choose a growth axis; design scope and learning; create evidence for the next form of contribution.</w:t>
            </w:r>
          </w:p>
        </w:tc>
      </w:tr>
    </w:tbl>
    <w:p>
      <w:pPr>
        <w:spacing w:after="0"/>
      </w:pPr>
    </w:p>
    <w:p>
      <w:pPr>
        <w:sectPr>
          <w:headerReference w:type="default" r:id="rId19"/>
          <w:footerReference w:type="default" r:id="rId20"/>
          <w:pgSz w:w="15840" w:h="12240" w:orient="landscape"/>
          <w:pgMar w:top="893" w:right="720" w:bottom="893" w:left="720" w:header="605" w:footer="605" w:gutter="0"/>
          <w:cols w:space="720"/>
          <w:docGrid w:linePitch="360"/>
        </w:sectPr>
      </w:pPr>
    </w:p>
    <w:p>
      <w:pPr>
        <w:pStyle w:val="Heading2"/>
        <w:keepNext/>
      </w:pPr>
      <w:r>
        <w:rPr>
          <w:rFonts w:ascii="Calibri" w:hAnsi="Calibri"/>
          <w:b/>
          <w:color w:val="10264B"/>
          <w:sz w:val="26"/>
        </w:rPr>
        <w:t>Opening register for Videos 4–10</w:t>
      </w:r>
    </w:p>
    <w:p>
      <w:pPr>
        <w:keepLines w:val="0"/>
        <w:spacing w:before="0" w:after="120" w:line="300" w:lineRule="auto"/>
      </w:pPr>
      <w:r>
        <w:rPr>
          <w:rFonts w:ascii="Calibri" w:hAnsi="Calibri"/>
          <w:i w:val="0"/>
          <w:color w:val="18263A"/>
          <w:sz w:val="22"/>
        </w:rPr>
        <w:t>These are the opening anchors to retain when the scripts are built. Videos 4–6 are approved production decisions; Videos 7–10 are recommended architecture and should be fact-checked before recording.</w:t>
      </w:r>
    </w:p>
    <w:p>
      <w:pPr>
        <w:pStyle w:val="Heading3"/>
        <w:keepNext/>
      </w:pPr>
      <w:r>
        <w:rPr>
          <w:rFonts w:ascii="Calibri" w:hAnsi="Calibri"/>
          <w:b/>
          <w:color w:val="1B3A68"/>
          <w:sz w:val="24"/>
        </w:rPr>
        <w:t>Video 4 — How to Explain a Nonlinear Career Without Looking Unfocused</w:t>
      </w:r>
    </w:p>
    <w:p>
      <w:pPr>
        <w:keepLines/>
        <w:spacing w:before="0" w:after="140" w:line="300" w:lineRule="auto"/>
      </w:pPr>
      <w:r>
        <w:rPr>
          <w:rFonts w:ascii="Calibri" w:hAnsi="Calibri"/>
          <w:i/>
          <w:color w:val="1B3A68"/>
          <w:sz w:val="21"/>
        </w:rPr>
        <w:t>At EY, one of my senior-manager friends used to joke that I was a “cat with nine lives” because my career kept moving into work that looked unrelated. Accounting and audit became cybersecurity, then people strategy and enterprise transformation. From the outside, that can look unfocused. But the problem was not the career. It was how I was explaining what had traveled between those chapters.</w:t>
      </w:r>
    </w:p>
    <w:p>
      <w:pPr>
        <w:pStyle w:val="Heading3"/>
        <w:keepNext/>
      </w:pPr>
      <w:r>
        <w:rPr>
          <w:rFonts w:ascii="Calibri" w:hAnsi="Calibri"/>
          <w:b/>
          <w:color w:val="1B3A68"/>
          <w:sz w:val="24"/>
        </w:rPr>
        <w:t>Video 5 — Should I Make an Internal Move? 3 Questions to Decide</w:t>
      </w:r>
    </w:p>
    <w:p>
      <w:pPr>
        <w:keepLines/>
        <w:spacing w:before="0" w:after="140" w:line="300" w:lineRule="auto"/>
      </w:pPr>
      <w:r>
        <w:rPr>
          <w:rFonts w:ascii="Calibri" w:hAnsi="Calibri"/>
          <w:i/>
          <w:color w:val="1B3A68"/>
          <w:sz w:val="21"/>
        </w:rPr>
        <w:t>You may not need a different employer to become more marketable. You may need access to different work inside the organization you already know. But an internal move is only growth if it changes what you are learning, deciding or being trusted to carry. In this video, I will give you three questions to test that.</w:t>
      </w:r>
    </w:p>
    <w:p>
      <w:pPr>
        <w:pStyle w:val="Heading3"/>
        <w:keepNext/>
      </w:pPr>
      <w:r>
        <w:rPr>
          <w:rFonts w:ascii="Calibri" w:hAnsi="Calibri"/>
          <w:b/>
          <w:color w:val="1B3A68"/>
          <w:sz w:val="24"/>
        </w:rPr>
        <w:t>Video 6 — Are You Growing—or Just Being Given More Work?</w:t>
      </w:r>
    </w:p>
    <w:p>
      <w:pPr>
        <w:keepLines/>
        <w:spacing w:before="0" w:after="140" w:line="300" w:lineRule="auto"/>
      </w:pPr>
      <w:r>
        <w:rPr>
          <w:rFonts w:ascii="Calibri" w:hAnsi="Calibri"/>
          <w:i/>
          <w:color w:val="1B3A68"/>
          <w:sz w:val="21"/>
        </w:rPr>
        <w:t>More responsibility can mean you are growing. It can also mean the organization has learned that you will absorb more. Those are not the same. The question is whether the additional work is expanding your judgment, your range and the evidence you can carry somewhere else.</w:t>
      </w:r>
    </w:p>
    <w:p>
      <w:pPr>
        <w:pStyle w:val="Heading3"/>
        <w:keepNext/>
      </w:pPr>
      <w:r>
        <w:rPr>
          <w:rFonts w:ascii="Calibri" w:hAnsi="Calibri"/>
          <w:b/>
          <w:color w:val="1B3A68"/>
          <w:sz w:val="24"/>
        </w:rPr>
        <w:t>Video 7 — How to Prove the Value of Work That Had No Blueprint</w:t>
      </w:r>
    </w:p>
    <w:p>
      <w:pPr>
        <w:keepLines/>
        <w:spacing w:before="0" w:after="140" w:line="300" w:lineRule="auto"/>
      </w:pPr>
      <w:r>
        <w:rPr>
          <w:rFonts w:ascii="Calibri" w:hAnsi="Calibri"/>
          <w:i/>
          <w:color w:val="1B3A68"/>
          <w:sz w:val="21"/>
        </w:rPr>
        <w:t>Some of the most valuable work in a career is also the hardest to prove because there was no system, role or measure before you built it. When I was first in roles, I sometimes had to create the language, relationships and decision clarity before the work itself could succeed. If that chapter of your career looks vague on paper, this video will help you make it visible.</w:t>
      </w:r>
    </w:p>
    <w:p>
      <w:pPr>
        <w:pStyle w:val="Heading3"/>
        <w:keepNext/>
      </w:pPr>
      <w:r>
        <w:rPr>
          <w:rFonts w:ascii="Calibri" w:hAnsi="Calibri"/>
          <w:b/>
          <w:color w:val="1B3A68"/>
          <w:sz w:val="24"/>
        </w:rPr>
        <w:t>Video 8 — How to Change Industries Without Starting at Entry Level</w:t>
      </w:r>
    </w:p>
    <w:p>
      <w:pPr>
        <w:keepLines/>
        <w:spacing w:before="0" w:after="140" w:line="300" w:lineRule="auto"/>
      </w:pPr>
      <w:r>
        <w:rPr>
          <w:rFonts w:ascii="Calibri" w:hAnsi="Calibri"/>
          <w:i/>
          <w:color w:val="1B3A68"/>
          <w:sz w:val="21"/>
        </w:rPr>
        <w:t>Changing industries does not make you entry-level at everything. It makes you new to a context. Over 18 years, I have worked across eight industries and sectors and progressed from Consultant to Head of Function. Some judgment traveled. Some knowledge had to be earned again. This video will help you separate the two.</w:t>
      </w:r>
    </w:p>
    <w:p>
      <w:pPr>
        <w:pStyle w:val="Heading3"/>
        <w:keepNext/>
      </w:pPr>
      <w:r>
        <w:rPr>
          <w:rFonts w:ascii="Calibri" w:hAnsi="Calibri"/>
          <w:b/>
          <w:color w:val="1B3A68"/>
          <w:sz w:val="24"/>
        </w:rPr>
        <w:t>Video 9 — What to Do Before a Layoff Happens</w:t>
      </w:r>
    </w:p>
    <w:p>
      <w:pPr>
        <w:keepLines/>
        <w:spacing w:before="0" w:after="140" w:line="300" w:lineRule="auto"/>
      </w:pPr>
      <w:r>
        <w:rPr>
          <w:rFonts w:ascii="Calibri" w:hAnsi="Calibri"/>
          <w:i/>
          <w:color w:val="1B3A68"/>
          <w:sz w:val="21"/>
        </w:rPr>
        <w:t>The worst time to reconstruct the evidence of your work is after you no longer have access to the context that made it understandable. Preparing for a possible layoff is not about panicking or taking confidential material. It is about preserving permitted evidence while the details are still clear.</w:t>
      </w:r>
    </w:p>
    <w:p>
      <w:pPr>
        <w:pStyle w:val="Heading3"/>
        <w:keepNext/>
      </w:pPr>
      <w:r>
        <w:rPr>
          <w:rFonts w:ascii="Calibri" w:hAnsi="Calibri"/>
          <w:b/>
          <w:color w:val="1B3A68"/>
          <w:sz w:val="24"/>
        </w:rPr>
        <w:t>Video 10 — How to Stay Valuable at Work as AI Changes Your Job</w:t>
      </w:r>
    </w:p>
    <w:p>
      <w:pPr>
        <w:keepLines/>
        <w:spacing w:before="0" w:after="140" w:line="300" w:lineRule="auto"/>
      </w:pPr>
      <w:r>
        <w:rPr>
          <w:rFonts w:ascii="Calibri" w:hAnsi="Calibri"/>
          <w:i/>
          <w:color w:val="1B3A68"/>
          <w:sz w:val="21"/>
        </w:rPr>
        <w:t>AI can remove part of the task and leave you with the accountability for the outcome. If the output is wrong, someone still has to recognize it, verify it and own the consequence. So the question is not only whether AI can do your job. It is what judgment still has to remain yours.</w:t>
      </w:r>
    </w:p>
    <w:p>
      <w:pPr>
        <w:pStyle w:val="Heading2"/>
        <w:keepNext/>
      </w:pPr>
      <w:r>
        <w:rPr>
          <w:rFonts w:ascii="Calibri" w:hAnsi="Calibri"/>
          <w:b/>
          <w:color w:val="10264B"/>
          <w:sz w:val="26"/>
        </w:rPr>
        <w:t>Opening register for Videos 11–23</w:t>
      </w:r>
    </w:p>
    <w:p>
      <w:pPr>
        <w:keepLines w:val="0"/>
        <w:spacing w:before="0" w:after="120" w:line="300" w:lineRule="auto"/>
      </w:pPr>
      <w:r>
        <w:rPr>
          <w:rFonts w:ascii="Calibri" w:hAnsi="Calibri"/>
          <w:i w:val="0"/>
          <w:color w:val="18263A"/>
          <w:sz w:val="22"/>
        </w:rPr>
        <w:t>Use these as strategic openings, not yet as final teleprompter copy. Each must be reconciled with the exact personal scene and supporting facts before production.</w:t>
      </w:r>
    </w:p>
    <w:p>
      <w:pPr>
        <w:pStyle w:val="Heading3"/>
        <w:keepNext/>
      </w:pPr>
      <w:r>
        <w:rPr>
          <w:rFonts w:ascii="Calibri" w:hAnsi="Calibri"/>
          <w:b/>
          <w:color w:val="1B3A68"/>
          <w:sz w:val="24"/>
        </w:rPr>
        <w:t>Video 11 — What to Do When You Can’t Quit Your Job Yet</w:t>
      </w:r>
    </w:p>
    <w:p>
      <w:pPr>
        <w:keepLines/>
        <w:spacing w:before="0" w:after="140" w:line="300" w:lineRule="auto"/>
      </w:pPr>
      <w:r>
        <w:rPr>
          <w:rFonts w:ascii="Calibri" w:hAnsi="Calibri"/>
          <w:i/>
          <w:color w:val="1B3A68"/>
          <w:sz w:val="21"/>
        </w:rPr>
        <w:t>You may know that your job cannot remain the same and still be unable to leave today. Pay, health insurance, caregiving, debt or timing can make “just quit” irresponsible advice. The decision is not whether you are brave enough. It is what you can protect, build and test while the constraint is real.</w:t>
      </w:r>
    </w:p>
    <w:p>
      <w:pPr>
        <w:pStyle w:val="Heading3"/>
        <w:keepNext/>
      </w:pPr>
      <w:r>
        <w:rPr>
          <w:rFonts w:ascii="Calibri" w:hAnsi="Calibri"/>
          <w:b/>
          <w:color w:val="1B3A68"/>
          <w:sz w:val="24"/>
        </w:rPr>
        <w:t>Video 12 — How to Build Career Options Without Quitting Your Job</w:t>
      </w:r>
    </w:p>
    <w:p>
      <w:pPr>
        <w:keepLines/>
        <w:spacing w:before="0" w:after="140" w:line="300" w:lineRule="auto"/>
      </w:pPr>
      <w:r>
        <w:rPr>
          <w:rFonts w:ascii="Calibri" w:hAnsi="Calibri"/>
          <w:i/>
          <w:color w:val="1B3A68"/>
          <w:sz w:val="21"/>
        </w:rPr>
        <w:t>Career options are rarely built in the week you urgently need one. Before I formally worked in DEI and employee experience, I was already supporting recruiters through NABA, serving in Deloitte’s Black Employee Network and raising my hand for cross-functional work. Those were not random extras. They were early evidence of a direction.</w:t>
      </w:r>
    </w:p>
    <w:p>
      <w:pPr>
        <w:pStyle w:val="Heading3"/>
        <w:keepNext/>
      </w:pPr>
      <w:r>
        <w:rPr>
          <w:rFonts w:ascii="Calibri" w:hAnsi="Calibri"/>
          <w:b/>
          <w:color w:val="1B3A68"/>
          <w:sz w:val="24"/>
        </w:rPr>
        <w:t>Video 13 — Which Parts of Your Experience Will Transfer to Another Industry?</w:t>
      </w:r>
    </w:p>
    <w:p>
      <w:pPr>
        <w:keepLines/>
        <w:spacing w:before="0" w:after="140" w:line="300" w:lineRule="auto"/>
      </w:pPr>
      <w:r>
        <w:rPr>
          <w:rFonts w:ascii="Calibri" w:hAnsi="Calibri"/>
          <w:i/>
          <w:color w:val="1B3A68"/>
          <w:sz w:val="21"/>
        </w:rPr>
        <w:t>Some of your experience may be highly valuable and still sound ordinary only because everyone around you shares the same company language. When the context changes, the nouns stop helping. You need to know which judgment another industry can use—and which knowledge still belongs to the place you are leaving.</w:t>
      </w:r>
    </w:p>
    <w:p>
      <w:pPr>
        <w:pStyle w:val="Heading3"/>
        <w:keepNext/>
      </w:pPr>
      <w:r>
        <w:rPr>
          <w:rFonts w:ascii="Calibri" w:hAnsi="Calibri"/>
          <w:b/>
          <w:color w:val="1B3A68"/>
          <w:sz w:val="24"/>
        </w:rPr>
        <w:t>Video 14 — How to Stay Relevant After 40 Without Erasing Your Experience</w:t>
      </w:r>
    </w:p>
    <w:p>
      <w:pPr>
        <w:keepLines/>
        <w:spacing w:before="0" w:after="140" w:line="300" w:lineRule="auto"/>
      </w:pPr>
      <w:r>
        <w:rPr>
          <w:rFonts w:ascii="Calibri" w:hAnsi="Calibri"/>
          <w:i/>
          <w:color w:val="1B3A68"/>
          <w:sz w:val="21"/>
        </w:rPr>
        <w:t>After 40, the problem is not simply whether you have enough experience. It is whether the market can see range, current learning and consequence before it makes assumptions about cost or fit. The answer is not to erase twenty years. It is to make those years easier to read.</w:t>
      </w:r>
    </w:p>
    <w:p>
      <w:pPr>
        <w:pStyle w:val="Heading3"/>
        <w:keepNext/>
      </w:pPr>
      <w:r>
        <w:rPr>
          <w:rFonts w:ascii="Calibri" w:hAnsi="Calibri"/>
          <w:b/>
          <w:color w:val="1B3A68"/>
          <w:sz w:val="24"/>
        </w:rPr>
        <w:t>Video 15 — What to Do When Your Work Is Valued but You Are Overlooked</w:t>
      </w:r>
    </w:p>
    <w:p>
      <w:pPr>
        <w:keepLines/>
        <w:spacing w:before="0" w:after="140" w:line="300" w:lineRule="auto"/>
      </w:pPr>
      <w:r>
        <w:rPr>
          <w:rFonts w:ascii="Calibri" w:hAnsi="Calibri"/>
          <w:i/>
          <w:color w:val="1B3A68"/>
          <w:sz w:val="21"/>
        </w:rPr>
        <w:t>Your work can remain valuable while you become less visible to the people deciding what comes next. Responsibility may grow even as sponsorship, invitations and developmental opportunities become quieter. If that is happening, this video will help you separate being needed from being invested in.</w:t>
      </w:r>
    </w:p>
    <w:p>
      <w:pPr>
        <w:pStyle w:val="Heading3"/>
        <w:keepNext/>
      </w:pPr>
      <w:r>
        <w:rPr>
          <w:rFonts w:ascii="Calibri" w:hAnsi="Calibri"/>
          <w:b/>
          <w:color w:val="1B3A68"/>
          <w:sz w:val="24"/>
        </w:rPr>
        <w:t>Video 16 — How to Prove Your Value When AI Does More of the Task</w:t>
      </w:r>
    </w:p>
    <w:p>
      <w:pPr>
        <w:keepLines/>
        <w:spacing w:before="0" w:after="140" w:line="300" w:lineRule="auto"/>
      </w:pPr>
      <w:r>
        <w:rPr>
          <w:rFonts w:ascii="Calibri" w:hAnsi="Calibri"/>
          <w:i/>
          <w:color w:val="1B3A68"/>
          <w:sz w:val="21"/>
        </w:rPr>
        <w:t>AI can produce more of the output and still leave the most consequential part of the work undocumented: what you verified, what you rejected, which tradeoff you noticed and what you were willing to own. If you only describe the finished draft, your human value may remain invisible.</w:t>
      </w:r>
    </w:p>
    <w:p>
      <w:pPr>
        <w:pStyle w:val="Heading3"/>
        <w:keepNext/>
      </w:pPr>
      <w:r>
        <w:rPr>
          <w:rFonts w:ascii="Calibri" w:hAnsi="Calibri"/>
          <w:b/>
          <w:color w:val="1B3A68"/>
          <w:sz w:val="24"/>
        </w:rPr>
        <w:t>Video 17 — Should You Stay an Individual Contributor—or Become a Manager?</w:t>
      </w:r>
    </w:p>
    <w:p>
      <w:pPr>
        <w:keepLines/>
        <w:spacing w:before="0" w:after="140" w:line="300" w:lineRule="auto"/>
      </w:pPr>
      <w:r>
        <w:rPr>
          <w:rFonts w:ascii="Calibri" w:hAnsi="Calibri"/>
          <w:i/>
          <w:color w:val="1B3A68"/>
          <w:sz w:val="21"/>
        </w:rPr>
        <w:t>At senior levels, “move up” can quietly become a forced choice between managing people and deepening expertise. Neither path is automatically growth, and management is not a reward for being good at individual work. The question is which work you want to be responsible for next.</w:t>
      </w:r>
    </w:p>
    <w:p>
      <w:pPr>
        <w:pStyle w:val="Heading3"/>
        <w:keepNext/>
      </w:pPr>
      <w:r>
        <w:rPr>
          <w:rFonts w:ascii="Calibri" w:hAnsi="Calibri"/>
          <w:b/>
          <w:color w:val="1B3A68"/>
          <w:sz w:val="24"/>
        </w:rPr>
        <w:t>Video 18 — Is Consulting a Real Next Step for Your Career?</w:t>
      </w:r>
    </w:p>
    <w:p>
      <w:pPr>
        <w:keepLines/>
        <w:spacing w:before="0" w:after="140" w:line="300" w:lineRule="auto"/>
      </w:pPr>
      <w:r>
        <w:rPr>
          <w:rFonts w:ascii="Calibri" w:hAnsi="Calibri"/>
          <w:i/>
          <w:color w:val="1B3A68"/>
          <w:sz w:val="21"/>
        </w:rPr>
        <w:t>Consulting is not simply being paid for everything you already know. A real consulting path requires a problem another organization can recognize, evidence it will trust and a way to deliver value outside the context that made you credible. Experience matters—but experience alone is not an offer.</w:t>
      </w:r>
    </w:p>
    <w:p>
      <w:pPr>
        <w:pStyle w:val="Heading3"/>
        <w:keepNext/>
      </w:pPr>
      <w:r>
        <w:rPr>
          <w:rFonts w:ascii="Calibri" w:hAnsi="Calibri"/>
          <w:b/>
          <w:color w:val="1B3A68"/>
          <w:sz w:val="24"/>
        </w:rPr>
        <w:t>Video 19 — How to Return After a Career Break Without Starting at Zero</w:t>
      </w:r>
    </w:p>
    <w:p>
      <w:pPr>
        <w:keepLines/>
        <w:spacing w:before="0" w:after="140" w:line="300" w:lineRule="auto"/>
      </w:pPr>
      <w:r>
        <w:rPr>
          <w:rFonts w:ascii="Calibri" w:hAnsi="Calibri"/>
          <w:i/>
          <w:color w:val="1B3A68"/>
          <w:sz w:val="21"/>
        </w:rPr>
        <w:t>A career break changes how recent your evidence looks. It does not erase the fact that the earlier work happened. When I returned from maternity leave, onboarding was my first project. Roughly six months later, my scope had expanded. The bridge was not pretending nothing had changed; it was reconnecting my experience to problems the organization could see.</w:t>
      </w:r>
    </w:p>
    <w:p>
      <w:pPr>
        <w:pStyle w:val="Heading3"/>
        <w:keepNext/>
      </w:pPr>
      <w:r>
        <w:rPr>
          <w:rFonts w:ascii="Calibri" w:hAnsi="Calibri"/>
          <w:b/>
          <w:color w:val="1B3A68"/>
          <w:sz w:val="24"/>
        </w:rPr>
        <w:t>Video 20 — What You Must Relearn When You Change Industries</w:t>
      </w:r>
    </w:p>
    <w:p>
      <w:pPr>
        <w:keepLines/>
        <w:spacing w:before="0" w:after="140" w:line="300" w:lineRule="auto"/>
      </w:pPr>
      <w:r>
        <w:rPr>
          <w:rFonts w:ascii="Calibri" w:hAnsi="Calibri"/>
          <w:i/>
          <w:color w:val="1B3A68"/>
          <w:sz w:val="21"/>
        </w:rPr>
        <w:t>Your experience can travel and still leave you with real things to learn. When I moved toward cybersecurity and privacy, preparing for the CISM exam—even without passing the first time—and joining a local IAPP chapter helped me understand the field’s frameworks and boundaries. Portability is not permission to skip context.</w:t>
      </w:r>
    </w:p>
    <w:p>
      <w:pPr>
        <w:pStyle w:val="Heading3"/>
        <w:keepNext/>
      </w:pPr>
      <w:r>
        <w:rPr>
          <w:rFonts w:ascii="Calibri" w:hAnsi="Calibri"/>
          <w:b/>
          <w:color w:val="1B3A68"/>
          <w:sz w:val="24"/>
        </w:rPr>
        <w:t>Video 21 — No Promotion? How to Know Whether to Wait or Move On</w:t>
      </w:r>
    </w:p>
    <w:p>
      <w:pPr>
        <w:keepLines/>
        <w:spacing w:before="0" w:after="140" w:line="300" w:lineRule="auto"/>
      </w:pPr>
      <w:r>
        <w:rPr>
          <w:rFonts w:ascii="Calibri" w:hAnsi="Calibri"/>
          <w:i/>
          <w:color w:val="1B3A68"/>
          <w:sz w:val="21"/>
        </w:rPr>
        <w:t>A missed promotion is data, but it is not a complete verdict on your value. The useful question is what kind of data it is: a specific readiness gap, a decision already shaped by politics or structure, or evidence that the path is no longer opening for you.</w:t>
      </w:r>
    </w:p>
    <w:p>
      <w:pPr>
        <w:pStyle w:val="Heading3"/>
        <w:keepNext/>
      </w:pPr>
      <w:r>
        <w:rPr>
          <w:rFonts w:ascii="Calibri" w:hAnsi="Calibri"/>
          <w:b/>
          <w:color w:val="1B3A68"/>
          <w:sz w:val="24"/>
        </w:rPr>
        <w:t>Video 22 — What Happens to Your Career When Your Company Gets Flatter?</w:t>
      </w:r>
    </w:p>
    <w:p>
      <w:pPr>
        <w:keepLines/>
        <w:spacing w:before="0" w:after="140" w:line="300" w:lineRule="auto"/>
      </w:pPr>
      <w:r>
        <w:rPr>
          <w:rFonts w:ascii="Calibri" w:hAnsi="Calibri"/>
          <w:i/>
          <w:color w:val="1B3A68"/>
          <w:sz w:val="21"/>
        </w:rPr>
        <w:t>When a company removes layers, the next opportunity may stop looking like a promotion. The ladder can change while meaningful growth is still possible—but only if you can see where decisions, scope and visibility have moved.</w:t>
      </w:r>
    </w:p>
    <w:p>
      <w:pPr>
        <w:pStyle w:val="Heading3"/>
        <w:keepNext/>
      </w:pPr>
      <w:r>
        <w:rPr>
          <w:rFonts w:ascii="Calibri" w:hAnsi="Calibri"/>
          <w:b/>
          <w:color w:val="1B3A68"/>
          <w:sz w:val="24"/>
        </w:rPr>
        <w:t>Video 23 — How to Grow When You’re Already Senior in Your Career</w:t>
      </w:r>
    </w:p>
    <w:p>
      <w:pPr>
        <w:keepLines/>
        <w:spacing w:before="0" w:after="140" w:line="300" w:lineRule="auto"/>
      </w:pPr>
      <w:r>
        <w:rPr>
          <w:rFonts w:ascii="Calibri" w:hAnsi="Calibri"/>
          <w:i/>
          <w:color w:val="1B3A68"/>
          <w:sz w:val="21"/>
        </w:rPr>
        <w:t>When you are already senior, growth may stop arriving as a clean title change. It can show up as greater consequence, new context, deeper authority, a different contribution model or a problem you are finally ready to own. The question is which kind of growth your next chapter actually needs.</w:t>
      </w:r>
    </w:p>
    <w:p>
      <w:r>
        <w:br w:type="page"/>
      </w:r>
    </w:p>
    <w:p>
      <w:pPr>
        <w:keepNext/>
        <w:spacing w:after="60"/>
      </w:pPr>
      <w:r>
        <w:rPr>
          <w:rFonts w:ascii="Calibri" w:hAnsi="Calibri"/>
          <w:b/>
          <w:color w:val="C6A646"/>
          <w:sz w:val="18"/>
        </w:rPr>
        <w:t>06  /  CHANNEL ARCHITECTURE</w:t>
      </w:r>
    </w:p>
    <w:p>
      <w:pPr>
        <w:pStyle w:val="Heading1"/>
        <w:keepNext/>
      </w:pPr>
      <w:r>
        <w:rPr>
          <w:rFonts w:ascii="Calibri" w:hAnsi="Calibri"/>
          <w:b/>
          <w:color w:val="10264B"/>
          <w:sz w:val="32"/>
        </w:rPr>
        <w:t>Channel description, spoken introduction and CTA routing</w:t>
      </w:r>
    </w:p>
    <w:p>
      <w:pPr>
        <w:pStyle w:val="Heading2"/>
        <w:keepNext/>
      </w:pPr>
      <w:r>
        <w:rPr>
          <w:rFonts w:ascii="Calibri" w:hAnsi="Calibri"/>
          <w:b/>
          <w:color w:val="10264B"/>
          <w:sz w:val="26"/>
        </w:rPr>
        <w:t>Recommended channel description</w:t>
      </w:r>
    </w:p>
    <w:tbl>
      <w:tblPr>
        <w:tblW w:type="dxa" w:w="9360"/>
        <w:jc w:val="center"/>
        <w:tblLook w:firstColumn="1" w:firstRow="1" w:lastColumn="0" w:lastRow="0" w:noHBand="0" w:noVBand="1" w:val="04A0"/>
        <w:tblLayout w:type="fixed"/>
        <w:tblInd w:w="0" w:type="dxa"/>
        <w:tblBorders>
          <w:top w:val="single" w:sz="0" w:space="0" w:color="F7F3EA"/>
          <w:left w:val="single" w:sz="0" w:space="0" w:color="F7F3EA"/>
          <w:bottom w:val="single" w:sz="0" w:space="0" w:color="F7F3EA"/>
          <w:right w:val="single" w:sz="0" w:space="0" w:color="F7F3EA"/>
          <w:insideH w:val="single" w:sz="0" w:space="0" w:color="F7F3EA"/>
          <w:insideV w:val="single" w:sz="0" w:space="0" w:color="F7F3EA"/>
        </w:tblBorders>
      </w:tblPr>
      <w:tblGrid>
        <w:gridCol w:w="180"/>
        <w:gridCol w:w="9180"/>
      </w:tblGrid>
      <w:tr>
        <w:trPr>
          <w:cantSplit/>
        </w:trPr>
        <w:tc>
          <w:tcPr>
            <w:tcW w:type="dxa" w:w="180"/>
            <w:tcMar>
              <w:top w:w="100" w:type="dxa"/>
              <w:start w:w="0" w:type="dxa"/>
              <w:bottom w:w="100" w:type="dxa"/>
              <w:end w:w="0" w:type="dxa"/>
            </w:tcMar>
            <w:vAlign w:val="top"/>
            <w:shd w:fill="C6A646"/>
          </w:tcPr>
          <w:p/>
        </w:tc>
        <w:tc>
          <w:tcPr>
            <w:tcW w:type="dxa" w:w="9180"/>
            <w:tcMar>
              <w:top w:w="130" w:type="dxa"/>
              <w:start w:w="160" w:type="dxa"/>
              <w:bottom w:w="130" w:type="dxa"/>
              <w:end w:w="160" w:type="dxa"/>
            </w:tcMar>
            <w:vAlign w:val="top"/>
            <w:shd w:fill="F7F3EA"/>
          </w:tcPr>
          <w:p>
            <w:pPr>
              <w:spacing w:after="60"/>
            </w:pPr>
            <w:r>
              <w:rPr>
                <w:rFonts w:ascii="Calibri" w:hAnsi="Calibri"/>
                <w:b/>
                <w:color w:val="C6A646"/>
                <w:sz w:val="18"/>
              </w:rPr>
              <w:t>READY-TO-USE COPY</w:t>
            </w:r>
          </w:p>
          <w:p>
            <w:pPr>
              <w:spacing w:after="0" w:line="276" w:lineRule="auto"/>
            </w:pPr>
            <w:r>
              <w:rPr>
                <w:rFonts w:ascii="Calibri" w:hAnsi="Calibri"/>
                <w:color w:val="18263A"/>
                <w:sz w:val="21"/>
              </w:rPr>
              <w:t>Capability Formation with Temidayo Afonja helps experienced professionals make their experience portable across roles, functions, companies and industries—without starting from zero. Through career pivots, internal moves, evidence preservation, AI, layoffs and senior-career decisions, Temidayo shows you how to identify what your work has built, prove what travels, and see what you still need to learn. Expect calm, evidence-led videos that respect the real constraints around pay, benefits, caregiving, age and timing. New long-form videos on Thursdays, with practical Shorts throughout the week.</w:t>
            </w:r>
          </w:p>
        </w:tc>
      </w:tr>
    </w:tbl>
    <w:p>
      <w:pPr>
        <w:pStyle w:val="Heading2"/>
        <w:keepNext/>
      </w:pPr>
      <w:r>
        <w:rPr>
          <w:rFonts w:ascii="Calibri" w:hAnsi="Calibri"/>
          <w:b/>
          <w:color w:val="10264B"/>
          <w:sz w:val="26"/>
        </w:rPr>
        <w:t>Recommended spoken channel introduction</w:t>
      </w:r>
    </w:p>
    <w:tbl>
      <w:tblPr>
        <w:tblW w:type="dxa" w:w="9360"/>
        <w:jc w:val="center"/>
        <w:tblLook w:firstColumn="1" w:firstRow="1" w:lastColumn="0" w:lastRow="0" w:noHBand="0" w:noVBand="1" w:val="04A0"/>
        <w:tblLayout w:type="fixed"/>
        <w:tblInd w:w="0" w:type="dxa"/>
        <w:tblBorders>
          <w:top w:val="single" w:sz="0" w:space="0" w:color="E9EFF6"/>
          <w:left w:val="single" w:sz="0" w:space="0" w:color="E9EFF6"/>
          <w:bottom w:val="single" w:sz="0" w:space="0" w:color="E9EFF6"/>
          <w:right w:val="single" w:sz="0" w:space="0" w:color="E9EFF6"/>
          <w:insideH w:val="single" w:sz="0" w:space="0" w:color="E9EFF6"/>
          <w:insideV w:val="single" w:sz="0" w:space="0" w:color="E9EFF6"/>
        </w:tblBorders>
      </w:tblPr>
      <w:tblGrid>
        <w:gridCol w:w="180"/>
        <w:gridCol w:w="9180"/>
      </w:tblGrid>
      <w:tr>
        <w:trPr>
          <w:cantSplit/>
        </w:trPr>
        <w:tc>
          <w:tcPr>
            <w:tcW w:type="dxa" w:w="180"/>
            <w:tcMar>
              <w:top w:w="100" w:type="dxa"/>
              <w:start w:w="0" w:type="dxa"/>
              <w:bottom w:w="100" w:type="dxa"/>
              <w:end w:w="0" w:type="dxa"/>
            </w:tcMar>
            <w:vAlign w:val="top"/>
            <w:shd w:fill="10264B"/>
          </w:tcPr>
          <w:p/>
        </w:tc>
        <w:tc>
          <w:tcPr>
            <w:tcW w:type="dxa" w:w="9180"/>
            <w:tcMar>
              <w:top w:w="130" w:type="dxa"/>
              <w:start w:w="160" w:type="dxa"/>
              <w:bottom w:w="130" w:type="dxa"/>
              <w:end w:w="160" w:type="dxa"/>
            </w:tcMar>
            <w:vAlign w:val="top"/>
            <w:shd w:fill="E9EFF6"/>
          </w:tcPr>
          <w:p>
            <w:pPr>
              <w:spacing w:after="60"/>
            </w:pPr>
            <w:r>
              <w:rPr>
                <w:rFonts w:ascii="Calibri" w:hAnsi="Calibri"/>
                <w:b/>
                <w:color w:val="10264B"/>
                <w:sz w:val="18"/>
              </w:rPr>
              <w:t>DEFAULT SPOKEN VERSION</w:t>
            </w:r>
          </w:p>
          <w:p>
            <w:pPr>
              <w:spacing w:after="0" w:line="276" w:lineRule="auto"/>
            </w:pPr>
            <w:r>
              <w:rPr>
                <w:rFonts w:ascii="Calibri" w:hAnsi="Calibri"/>
                <w:color w:val="18263A"/>
                <w:sz w:val="21"/>
              </w:rPr>
              <w:t>I’m Temidayo Afonja. Over roughly 18 years, I have worked across eight industries and sectors and progressed from Consultant to Head of Function. On this channel, I help experienced professionals identify what their work has built, what can travel and what they still need to learn—so the next move does not feel like starting over.</w:t>
            </w:r>
          </w:p>
        </w:tc>
      </w:tr>
    </w:tbl>
    <w:p>
      <w:pPr>
        <w:keepLines w:val="0"/>
        <w:spacing w:before="0" w:after="120" w:line="300" w:lineRule="auto"/>
      </w:pPr>
      <w:r>
        <w:rPr>
          <w:rFonts w:ascii="Calibri" w:hAnsi="Calibri"/>
          <w:i w:val="0"/>
          <w:color w:val="18263A"/>
          <w:sz w:val="22"/>
        </w:rPr>
        <w:t>Use the full proof-led introduction only when it supports the topic. For routine videos, the shorter approved line remains stronger: “I help experienced professionals understand what they can carry across roles, functions, employers and industries so they can make career pivots and internal moves without starting from zero.”</w:t>
      </w:r>
    </w:p>
    <w:p>
      <w:pPr>
        <w:pStyle w:val="Heading2"/>
        <w:keepNext/>
      </w:pPr>
      <w:r>
        <w:rPr>
          <w:rFonts w:ascii="Calibri" w:hAnsi="Calibri"/>
          <w:b/>
          <w:color w:val="10264B"/>
          <w:sz w:val="26"/>
        </w:rPr>
        <w:t>Product and CTA routing</w:t>
      </w:r>
    </w:p>
    <w:tbl>
      <w:tblPr>
        <w:tblW w:type="dxa" w:w="9360"/>
        <w:jc w:val="center"/>
        <w:tblLook w:firstColumn="1" w:firstRow="1" w:lastColumn="0" w:lastRow="0" w:noHBand="0" w:noVBand="1" w:val="04A0"/>
        <w:tblLayout w:type="fixed"/>
        <w:tblInd w:w="120" w:type="dxa"/>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Pr>
      <w:tblGrid>
        <w:gridCol w:w="1550"/>
        <w:gridCol w:w="2450"/>
        <w:gridCol w:w="1450"/>
        <w:gridCol w:w="2420"/>
        <w:gridCol w:w="1490"/>
      </w:tblGrid>
      <w:tr>
        <w:trPr>
          <w:tblHeader w:val="true"/>
          <w:cantSplit/>
        </w:trPr>
        <w:tc>
          <w:tcPr>
            <w:tcW w:type="dxa" w:w="1550"/>
            <w:tcMar>
              <w:top w:w="80" w:type="dxa"/>
              <w:start w:w="100" w:type="dxa"/>
              <w:bottom w:w="80" w:type="dxa"/>
              <w:end w:w="100" w:type="dxa"/>
            </w:tcMar>
            <w:vAlign w:val="top"/>
            <w:shd w:fill="10264B"/>
          </w:tcPr>
          <w:p>
            <w:pPr>
              <w:spacing w:after="0" w:line="240" w:lineRule="auto"/>
            </w:pPr>
            <w:r/>
            <w:r>
              <w:rPr>
                <w:rFonts w:ascii="Calibri" w:hAnsi="Calibri"/>
                <w:b/>
                <w:color w:val="FFFFFF"/>
                <w:sz w:val="16"/>
              </w:rPr>
              <w:t>Route</w:t>
            </w:r>
          </w:p>
        </w:tc>
        <w:tc>
          <w:tcPr>
            <w:tcW w:type="dxa" w:w="2450"/>
            <w:tcMar>
              <w:top w:w="80" w:type="dxa"/>
              <w:start w:w="100" w:type="dxa"/>
              <w:bottom w:w="80" w:type="dxa"/>
              <w:end w:w="100" w:type="dxa"/>
            </w:tcMar>
            <w:vAlign w:val="top"/>
            <w:shd w:fill="10264B"/>
          </w:tcPr>
          <w:p>
            <w:pPr>
              <w:spacing w:after="0" w:line="240" w:lineRule="auto"/>
            </w:pPr>
            <w:r/>
            <w:r>
              <w:rPr>
                <w:rFonts w:ascii="Calibri" w:hAnsi="Calibri"/>
                <w:b/>
                <w:color w:val="FFFFFF"/>
                <w:sz w:val="16"/>
              </w:rPr>
              <w:t>Use when</w:t>
            </w:r>
          </w:p>
        </w:tc>
        <w:tc>
          <w:tcPr>
            <w:tcW w:type="dxa" w:w="1450"/>
            <w:tcMar>
              <w:top w:w="80" w:type="dxa"/>
              <w:start w:w="100" w:type="dxa"/>
              <w:bottom w:w="80" w:type="dxa"/>
              <w:end w:w="100" w:type="dxa"/>
            </w:tcMar>
            <w:vAlign w:val="top"/>
            <w:shd w:fill="10264B"/>
          </w:tcPr>
          <w:p>
            <w:pPr>
              <w:spacing w:after="0" w:line="240" w:lineRule="auto"/>
            </w:pPr>
            <w:r/>
            <w:r>
              <w:rPr>
                <w:rFonts w:ascii="Calibri" w:hAnsi="Calibri"/>
                <w:b/>
                <w:color w:val="FFFFFF"/>
                <w:sz w:val="16"/>
              </w:rPr>
              <w:t>Videos</w:t>
            </w:r>
          </w:p>
        </w:tc>
        <w:tc>
          <w:tcPr>
            <w:tcW w:type="dxa" w:w="2420"/>
            <w:tcMar>
              <w:top w:w="80" w:type="dxa"/>
              <w:start w:w="100" w:type="dxa"/>
              <w:bottom w:w="80" w:type="dxa"/>
              <w:end w:w="100" w:type="dxa"/>
            </w:tcMar>
            <w:vAlign w:val="top"/>
            <w:shd w:fill="10264B"/>
          </w:tcPr>
          <w:p>
            <w:pPr>
              <w:spacing w:after="0" w:line="240" w:lineRule="auto"/>
            </w:pPr>
            <w:r/>
            <w:r>
              <w:rPr>
                <w:rFonts w:ascii="Calibri" w:hAnsi="Calibri"/>
                <w:b/>
                <w:color w:val="FFFFFF"/>
                <w:sz w:val="16"/>
              </w:rPr>
              <w:t>Boundary</w:t>
            </w:r>
          </w:p>
        </w:tc>
        <w:tc>
          <w:tcPr>
            <w:tcW w:type="dxa" w:w="1490"/>
            <w:tcMar>
              <w:top w:w="80" w:type="dxa"/>
              <w:start w:w="100" w:type="dxa"/>
              <w:bottom w:w="80" w:type="dxa"/>
              <w:end w:w="100" w:type="dxa"/>
            </w:tcMar>
            <w:vAlign w:val="top"/>
            <w:shd w:fill="10264B"/>
          </w:tcPr>
          <w:p>
            <w:pPr>
              <w:spacing w:after="0" w:line="240" w:lineRule="auto"/>
            </w:pPr>
            <w:r/>
            <w:r>
              <w:rPr>
                <w:rFonts w:ascii="Calibri" w:hAnsi="Calibri"/>
                <w:b/>
                <w:color w:val="FFFFFF"/>
                <w:sz w:val="16"/>
              </w:rPr>
              <w:t>Link status</w:t>
            </w:r>
          </w:p>
        </w:tc>
      </w:tr>
      <w:tr>
        <w:trPr>
          <w:cantSplit/>
        </w:trPr>
        <w:tc>
          <w:tcPr>
            <w:tcW w:type="dxa" w:w="1550"/>
            <w:tcMar>
              <w:top w:w="80" w:type="dxa"/>
              <w:start w:w="100" w:type="dxa"/>
              <w:bottom w:w="80" w:type="dxa"/>
              <w:end w:w="100" w:type="dxa"/>
            </w:tcMar>
            <w:vAlign w:val="top"/>
          </w:tcPr>
          <w:p>
            <w:pPr>
              <w:spacing w:before="0" w:after="30" w:line="245" w:lineRule="auto"/>
            </w:pPr>
            <w:r>
              <w:rPr>
                <w:rFonts w:ascii="Calibri" w:hAnsi="Calibri"/>
                <w:color w:val="18263A"/>
                <w:sz w:val="16"/>
              </w:rPr>
              <w:t>Keep the Proof</w:t>
            </w:r>
          </w:p>
        </w:tc>
        <w:tc>
          <w:tcPr>
            <w:tcW w:type="dxa" w:w="2450"/>
            <w:tcMar>
              <w:top w:w="80" w:type="dxa"/>
              <w:start w:w="100" w:type="dxa"/>
              <w:bottom w:w="80" w:type="dxa"/>
              <w:end w:w="100" w:type="dxa"/>
            </w:tcMar>
            <w:vAlign w:val="top"/>
          </w:tcPr>
          <w:p>
            <w:pPr>
              <w:spacing w:before="0" w:after="30" w:line="245" w:lineRule="auto"/>
            </w:pPr>
            <w:r>
              <w:rPr>
                <w:rFonts w:ascii="Calibri" w:hAnsi="Calibri"/>
                <w:color w:val="18263A"/>
                <w:sz w:val="16"/>
              </w:rPr>
              <w:t>The viewer risks losing access, context, visibility or legible evidence.</w:t>
            </w:r>
          </w:p>
        </w:tc>
        <w:tc>
          <w:tcPr>
            <w:tcW w:type="dxa" w:w="1450"/>
            <w:tcMar>
              <w:top w:w="80" w:type="dxa"/>
              <w:start w:w="100" w:type="dxa"/>
              <w:bottom w:w="80" w:type="dxa"/>
              <w:end w:w="100" w:type="dxa"/>
            </w:tcMar>
            <w:vAlign w:val="top"/>
          </w:tcPr>
          <w:p>
            <w:pPr>
              <w:spacing w:before="0" w:after="30" w:line="245" w:lineRule="auto"/>
            </w:pPr>
            <w:r>
              <w:rPr>
                <w:rFonts w:ascii="Calibri" w:hAnsi="Calibri"/>
                <w:color w:val="18263A"/>
                <w:sz w:val="16"/>
              </w:rPr>
              <w:t>4, 7, 9, 15, 16</w:t>
            </w:r>
          </w:p>
        </w:tc>
        <w:tc>
          <w:tcPr>
            <w:tcW w:type="dxa" w:w="2420"/>
            <w:tcMar>
              <w:top w:w="80" w:type="dxa"/>
              <w:start w:w="100" w:type="dxa"/>
              <w:bottom w:w="80" w:type="dxa"/>
              <w:end w:w="100" w:type="dxa"/>
            </w:tcMar>
            <w:vAlign w:val="top"/>
          </w:tcPr>
          <w:p>
            <w:pPr>
              <w:spacing w:before="0" w:after="30" w:line="245" w:lineRule="auto"/>
            </w:pPr>
            <w:r>
              <w:rPr>
                <w:rFonts w:ascii="Calibri" w:hAnsi="Calibri"/>
                <w:color w:val="18263A"/>
                <w:sz w:val="16"/>
              </w:rPr>
              <w:t>Preserve permitted evidence; never imply taking confidential or employer-owned material.</w:t>
            </w:r>
          </w:p>
        </w:tc>
        <w:tc>
          <w:tcPr>
            <w:tcW w:type="dxa" w:w="1490"/>
            <w:tcMar>
              <w:top w:w="80" w:type="dxa"/>
              <w:start w:w="100" w:type="dxa"/>
              <w:bottom w:w="80" w:type="dxa"/>
              <w:end w:w="100" w:type="dxa"/>
            </w:tcMar>
            <w:vAlign w:val="top"/>
          </w:tcPr>
          <w:p>
            <w:pPr>
              <w:spacing w:before="0" w:after="30" w:line="245" w:lineRule="auto"/>
            </w:pPr>
            <w:r>
              <w:rPr>
                <w:rFonts w:ascii="Calibri" w:hAnsi="Calibri"/>
                <w:color w:val="18263A"/>
                <w:sz w:val="16"/>
              </w:rPr>
              <w:t>Confirm the approved live URL before publication.</w:t>
            </w:r>
          </w:p>
        </w:tc>
      </w:tr>
      <w:tr>
        <w:trPr>
          <w:cantSplit/>
        </w:trPr>
        <w:tc>
          <w:tcPr>
            <w:tcW w:type="dxa" w:w="155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Capability Formation Field Kit</w:t>
            </w:r>
          </w:p>
        </w:tc>
        <w:tc>
          <w:tcPr>
            <w:tcW w:type="dxa" w:w="245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The viewer needs to read what the current or past work formed, what travels and what must be learned.</w:t>
            </w:r>
          </w:p>
        </w:tc>
        <w:tc>
          <w:tcPr>
            <w:tcW w:type="dxa" w:w="145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1, 2, 6, 8, 10, 12, 13, 14, 19, 20, 22, 23</w:t>
            </w:r>
          </w:p>
        </w:tc>
        <w:tc>
          <w:tcPr>
            <w:tcW w:type="dxa" w:w="242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Primary method product. Do not stack Keep the Proof beside it.</w:t>
            </w:r>
          </w:p>
        </w:tc>
        <w:tc>
          <w:tcPr>
            <w:tcW w:type="dxa" w:w="149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https://temidayoafonja.com/fieldkit</w:t>
            </w:r>
          </w:p>
        </w:tc>
      </w:tr>
      <w:tr>
        <w:trPr>
          <w:cantSplit/>
        </w:trPr>
        <w:tc>
          <w:tcPr>
            <w:tcW w:type="dxa" w:w="1550"/>
            <w:tcMar>
              <w:top w:w="80" w:type="dxa"/>
              <w:start w:w="100" w:type="dxa"/>
              <w:bottom w:w="80" w:type="dxa"/>
              <w:end w:w="100" w:type="dxa"/>
            </w:tcMar>
            <w:vAlign w:val="top"/>
          </w:tcPr>
          <w:p>
            <w:pPr>
              <w:spacing w:before="0" w:after="30" w:line="245" w:lineRule="auto"/>
            </w:pPr>
            <w:r>
              <w:rPr>
                <w:rFonts w:ascii="Calibri" w:hAnsi="Calibri"/>
                <w:color w:val="18263A"/>
                <w:sz w:val="16"/>
              </w:rPr>
              <w:t>Career Decision Evidence Check</w:t>
            </w:r>
          </w:p>
        </w:tc>
        <w:tc>
          <w:tcPr>
            <w:tcW w:type="dxa" w:w="2450"/>
            <w:tcMar>
              <w:top w:w="80" w:type="dxa"/>
              <w:start w:w="100" w:type="dxa"/>
              <w:bottom w:w="80" w:type="dxa"/>
              <w:end w:w="100" w:type="dxa"/>
            </w:tcMar>
            <w:vAlign w:val="top"/>
          </w:tcPr>
          <w:p>
            <w:pPr>
              <w:spacing w:before="0" w:after="30" w:line="245" w:lineRule="auto"/>
            </w:pPr>
            <w:r>
              <w:rPr>
                <w:rFonts w:ascii="Calibri" w:hAnsi="Calibri"/>
                <w:color w:val="18263A"/>
                <w:sz w:val="16"/>
              </w:rPr>
              <w:t>The viewer is deciding whether to stay, move internally, leave, wait, manage or consult.</w:t>
            </w:r>
          </w:p>
        </w:tc>
        <w:tc>
          <w:tcPr>
            <w:tcW w:type="dxa" w:w="1450"/>
            <w:tcMar>
              <w:top w:w="80" w:type="dxa"/>
              <w:start w:w="100" w:type="dxa"/>
              <w:bottom w:w="80" w:type="dxa"/>
              <w:end w:w="100" w:type="dxa"/>
            </w:tcMar>
            <w:vAlign w:val="top"/>
          </w:tcPr>
          <w:p>
            <w:pPr>
              <w:spacing w:before="0" w:after="30" w:line="245" w:lineRule="auto"/>
            </w:pPr>
            <w:r>
              <w:rPr>
                <w:rFonts w:ascii="Calibri" w:hAnsi="Calibri"/>
                <w:color w:val="18263A"/>
                <w:sz w:val="16"/>
              </w:rPr>
              <w:t>3, 5, 11, 17, 18, 21</w:t>
            </w:r>
          </w:p>
        </w:tc>
        <w:tc>
          <w:tcPr>
            <w:tcW w:type="dxa" w:w="2420"/>
            <w:tcMar>
              <w:top w:w="80" w:type="dxa"/>
              <w:start w:w="100" w:type="dxa"/>
              <w:bottom w:w="80" w:type="dxa"/>
              <w:end w:w="100" w:type="dxa"/>
            </w:tcMar>
            <w:vAlign w:val="top"/>
          </w:tcPr>
          <w:p>
            <w:pPr>
              <w:spacing w:before="0" w:after="30" w:line="245" w:lineRule="auto"/>
            </w:pPr>
            <w:r>
              <w:rPr>
                <w:rFonts w:ascii="Calibri" w:hAnsi="Calibri"/>
                <w:color w:val="18263A"/>
                <w:sz w:val="16"/>
              </w:rPr>
              <w:t>Free decision next step; publish only when the page is live and usable.</w:t>
            </w:r>
          </w:p>
        </w:tc>
        <w:tc>
          <w:tcPr>
            <w:tcW w:type="dxa" w:w="1490"/>
            <w:tcMar>
              <w:top w:w="80" w:type="dxa"/>
              <w:start w:w="100" w:type="dxa"/>
              <w:bottom w:w="80" w:type="dxa"/>
              <w:end w:w="100" w:type="dxa"/>
            </w:tcMar>
            <w:vAlign w:val="top"/>
          </w:tcPr>
          <w:p>
            <w:pPr>
              <w:spacing w:before="0" w:after="30" w:line="245" w:lineRule="auto"/>
            </w:pPr>
            <w:r>
              <w:rPr>
                <w:rFonts w:ascii="Calibri" w:hAnsi="Calibri"/>
                <w:color w:val="18263A"/>
                <w:sz w:val="16"/>
              </w:rPr>
              <w:t>https://temidayoafonja.com/career-decisions</w:t>
            </w:r>
          </w:p>
        </w:tc>
      </w:tr>
      <w:tr>
        <w:trPr>
          <w:cantSplit/>
        </w:trPr>
        <w:tc>
          <w:tcPr>
            <w:tcW w:type="dxa" w:w="155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Soft / book route</w:t>
            </w:r>
          </w:p>
        </w:tc>
        <w:tc>
          <w:tcPr>
            <w:tcW w:type="dxa" w:w="245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The topic is enterprise capability, apprenticeship or organization design rather than an immediate individual decision.</w:t>
            </w:r>
          </w:p>
        </w:tc>
        <w:tc>
          <w:tcPr>
            <w:tcW w:type="dxa" w:w="145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Enterprise AI lane after Video 23</w:t>
            </w:r>
          </w:p>
        </w:tc>
        <w:tc>
          <w:tcPr>
            <w:tcW w:type="dxa" w:w="242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Route to The Capability Audit, newsletter or speaking inquiry—not a competing product stack.</w:t>
            </w:r>
          </w:p>
        </w:tc>
        <w:tc>
          <w:tcPr>
            <w:tcW w:type="dxa" w:w="1490"/>
            <w:tcMar>
              <w:top w:w="80" w:type="dxa"/>
              <w:start w:w="100" w:type="dxa"/>
              <w:bottom w:w="80" w:type="dxa"/>
              <w:end w:w="100" w:type="dxa"/>
            </w:tcMar>
            <w:vAlign w:val="top"/>
            <w:shd w:fill="F3F5F7"/>
          </w:tcPr>
          <w:p>
            <w:pPr>
              <w:spacing w:before="0" w:after="30" w:line="245" w:lineRule="auto"/>
            </w:pPr>
            <w:r>
              <w:rPr>
                <w:rFonts w:ascii="Calibri" w:hAnsi="Calibri"/>
                <w:color w:val="18263A"/>
                <w:sz w:val="16"/>
              </w:rPr>
              <w:t>Confirm book/platform destination.</w:t>
            </w:r>
          </w:p>
        </w:tc>
      </w:tr>
    </w:tbl>
    <w:p>
      <w:pPr>
        <w:spacing w:after="0"/>
      </w:pPr>
    </w:p>
    <w:p>
      <w:pPr>
        <w:pStyle w:val="Heading2"/>
        <w:keepNext/>
      </w:pPr>
      <w:r>
        <w:rPr>
          <w:rFonts w:ascii="Calibri" w:hAnsi="Calibri"/>
          <w:b/>
          <w:color w:val="10264B"/>
          <w:sz w:val="26"/>
        </w:rPr>
        <w:t>Editorial format going forward</w:t>
      </w:r>
    </w:p>
    <w:tbl>
      <w:tblPr>
        <w:tblW w:type="dxa" w:w="9360"/>
        <w:tblLook w:firstColumn="1" w:firstRow="1" w:lastColumn="0" w:lastRow="0" w:noHBand="0" w:noVBand="1" w:val="04A0"/>
        <w:tblLayout w:type="fixed"/>
        <w:tblInd w:w="120" w:type="dxa"/>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Pr>
      <w:tblGrid>
        <w:gridCol w:w="2700"/>
        <w:gridCol w:w="6660"/>
      </w:tblGrid>
      <w:tr>
        <w:trPr>
          <w:cantSplit/>
        </w:trPr>
        <w:tc>
          <w:tcPr>
            <w:tcW w:type="dxa" w:w="2700"/>
            <w:shd w:fill="E9EFF6"/>
            <w:tcMar>
              <w:top w:w="80" w:type="dxa"/>
              <w:start w:w="100" w:type="dxa"/>
              <w:bottom w:w="80" w:type="dxa"/>
              <w:end w:w="100" w:type="dxa"/>
            </w:tcMar>
            <w:vAlign w:val="top"/>
          </w:tcPr>
          <w:p>
            <w:r>
              <w:rPr>
                <w:rFonts w:ascii="Calibri" w:hAnsi="Calibri"/>
                <w:b/>
                <w:color w:val="10264B"/>
                <w:sz w:val="19"/>
              </w:rPr>
              <w:t>Title</w:t>
            </w:r>
          </w:p>
        </w:tc>
        <w:tc>
          <w:tcPr>
            <w:tcW w:type="dxa" w:w="6660"/>
            <w:shd w:fill="FFFFFF"/>
            <w:tcMar>
              <w:top w:w="80" w:type="dxa"/>
              <w:start w:w="100" w:type="dxa"/>
              <w:bottom w:w="80" w:type="dxa"/>
              <w:end w:w="100" w:type="dxa"/>
            </w:tcMar>
            <w:vAlign w:val="top"/>
          </w:tcPr>
          <w:p>
            <w:r>
              <w:rPr>
                <w:rFonts w:ascii="Calibri" w:hAnsi="Calibri"/>
                <w:color w:val="18263A"/>
                <w:sz w:val="19"/>
              </w:rPr>
              <w:t>A recognizable search question or consequence. Avoid leading with “Capability Formation.”</w:t>
            </w:r>
          </w:p>
        </w:tc>
      </w:tr>
      <w:tr>
        <w:trPr>
          <w:cantSplit/>
        </w:trPr>
        <w:tc>
          <w:tcPr>
            <w:tcW w:type="dxa" w:w="2700"/>
            <w:shd w:fill="E9EFF6"/>
            <w:tcMar>
              <w:top w:w="80" w:type="dxa"/>
              <w:start w:w="100" w:type="dxa"/>
              <w:bottom w:w="80" w:type="dxa"/>
              <w:end w:w="100" w:type="dxa"/>
            </w:tcMar>
            <w:vAlign w:val="top"/>
          </w:tcPr>
          <w:p>
            <w:r>
              <w:rPr>
                <w:rFonts w:ascii="Calibri" w:hAnsi="Calibri"/>
                <w:b/>
                <w:color w:val="10264B"/>
                <w:sz w:val="19"/>
              </w:rPr>
              <w:t>Thumbnail</w:t>
            </w:r>
          </w:p>
        </w:tc>
        <w:tc>
          <w:tcPr>
            <w:tcW w:type="dxa" w:w="6660"/>
            <w:shd w:fill="F7F3EA"/>
            <w:tcMar>
              <w:top w:w="80" w:type="dxa"/>
              <w:start w:w="100" w:type="dxa"/>
              <w:bottom w:w="80" w:type="dxa"/>
              <w:end w:w="100" w:type="dxa"/>
            </w:tcMar>
            <w:vAlign w:val="top"/>
          </w:tcPr>
          <w:p>
            <w:r>
              <w:rPr>
                <w:rFonts w:ascii="Calibri" w:hAnsi="Calibri"/>
                <w:color w:val="18263A"/>
                <w:sz w:val="19"/>
              </w:rPr>
              <w:t>A complementary recognition phrase, usually 3–6 words. Do not repeat the title.</w:t>
            </w:r>
          </w:p>
        </w:tc>
      </w:tr>
      <w:tr>
        <w:trPr>
          <w:cantSplit/>
        </w:trPr>
        <w:tc>
          <w:tcPr>
            <w:tcW w:type="dxa" w:w="2700"/>
            <w:shd w:fill="E9EFF6"/>
            <w:tcMar>
              <w:top w:w="80" w:type="dxa"/>
              <w:start w:w="100" w:type="dxa"/>
              <w:bottom w:w="80" w:type="dxa"/>
              <w:end w:w="100" w:type="dxa"/>
            </w:tcMar>
            <w:vAlign w:val="top"/>
          </w:tcPr>
          <w:p>
            <w:r>
              <w:rPr>
                <w:rFonts w:ascii="Calibri" w:hAnsi="Calibri"/>
                <w:b/>
                <w:color w:val="10264B"/>
                <w:sz w:val="19"/>
              </w:rPr>
              <w:t>Opening</w:t>
            </w:r>
          </w:p>
        </w:tc>
        <w:tc>
          <w:tcPr>
            <w:tcW w:type="dxa" w:w="6660"/>
            <w:shd w:fill="FFFFFF"/>
            <w:tcMar>
              <w:top w:w="80" w:type="dxa"/>
              <w:start w:w="100" w:type="dxa"/>
              <w:bottom w:w="80" w:type="dxa"/>
              <w:end w:w="100" w:type="dxa"/>
            </w:tcMar>
            <w:vAlign w:val="top"/>
          </w:tcPr>
          <w:p>
            <w:r>
              <w:rPr>
                <w:rFonts w:ascii="Calibri" w:hAnsi="Calibri"/>
                <w:color w:val="18263A"/>
                <w:sz w:val="19"/>
              </w:rPr>
              <w:t>Recognition or specific scene → viewer payoff → early proof within roughly 30–45 seconds.</w:t>
            </w:r>
          </w:p>
        </w:tc>
      </w:tr>
      <w:tr>
        <w:trPr>
          <w:cantSplit/>
        </w:trPr>
        <w:tc>
          <w:tcPr>
            <w:tcW w:type="dxa" w:w="2700"/>
            <w:shd w:fill="E9EFF6"/>
            <w:tcMar>
              <w:top w:w="80" w:type="dxa"/>
              <w:start w:w="100" w:type="dxa"/>
              <w:bottom w:w="80" w:type="dxa"/>
              <w:end w:w="100" w:type="dxa"/>
            </w:tcMar>
            <w:vAlign w:val="top"/>
          </w:tcPr>
          <w:p>
            <w:r>
              <w:rPr>
                <w:rFonts w:ascii="Calibri" w:hAnsi="Calibri"/>
                <w:b/>
                <w:color w:val="10264B"/>
                <w:sz w:val="19"/>
              </w:rPr>
              <w:t>Introduction</w:t>
            </w:r>
          </w:p>
        </w:tc>
        <w:tc>
          <w:tcPr>
            <w:tcW w:type="dxa" w:w="6660"/>
            <w:shd w:fill="F7F3EA"/>
            <w:tcMar>
              <w:top w:w="80" w:type="dxa"/>
              <w:start w:w="100" w:type="dxa"/>
              <w:bottom w:w="80" w:type="dxa"/>
              <w:end w:w="100" w:type="dxa"/>
            </w:tcMar>
            <w:vAlign w:val="top"/>
          </w:tcPr>
          <w:p>
            <w:r>
              <w:rPr>
                <w:rFonts w:ascii="Calibri" w:hAnsi="Calibri"/>
                <w:color w:val="18263A"/>
                <w:sz w:val="19"/>
              </w:rPr>
              <w:t>Brief positioning line after the proof, not before the hook.</w:t>
            </w:r>
          </w:p>
        </w:tc>
      </w:tr>
      <w:tr>
        <w:trPr>
          <w:cantSplit/>
        </w:trPr>
        <w:tc>
          <w:tcPr>
            <w:tcW w:type="dxa" w:w="2700"/>
            <w:shd w:fill="E9EFF6"/>
            <w:tcMar>
              <w:top w:w="80" w:type="dxa"/>
              <w:start w:w="100" w:type="dxa"/>
              <w:bottom w:w="80" w:type="dxa"/>
              <w:end w:w="100" w:type="dxa"/>
            </w:tcMar>
            <w:vAlign w:val="top"/>
          </w:tcPr>
          <w:p>
            <w:r>
              <w:rPr>
                <w:rFonts w:ascii="Calibri" w:hAnsi="Calibri"/>
                <w:b/>
                <w:color w:val="10264B"/>
                <w:sz w:val="19"/>
              </w:rPr>
              <w:t>Teaching</w:t>
            </w:r>
          </w:p>
        </w:tc>
        <w:tc>
          <w:tcPr>
            <w:tcW w:type="dxa" w:w="6660"/>
            <w:shd w:fill="FFFFFF"/>
            <w:tcMar>
              <w:top w:w="80" w:type="dxa"/>
              <w:start w:w="100" w:type="dxa"/>
              <w:bottom w:w="80" w:type="dxa"/>
              <w:end w:w="100" w:type="dxa"/>
            </w:tcMar>
            <w:vAlign w:val="top"/>
          </w:tcPr>
          <w:p>
            <w:r>
              <w:rPr>
                <w:rFonts w:ascii="Calibri" w:hAnsi="Calibri"/>
                <w:color w:val="18263A"/>
                <w:sz w:val="19"/>
              </w:rPr>
              <w:t>One distinction or test with three moves; show both what travels and what does not.</w:t>
            </w:r>
          </w:p>
        </w:tc>
      </w:tr>
      <w:tr>
        <w:trPr>
          <w:cantSplit/>
        </w:trPr>
        <w:tc>
          <w:tcPr>
            <w:tcW w:type="dxa" w:w="2700"/>
            <w:shd w:fill="E9EFF6"/>
            <w:tcMar>
              <w:top w:w="80" w:type="dxa"/>
              <w:start w:w="100" w:type="dxa"/>
              <w:bottom w:w="80" w:type="dxa"/>
              <w:end w:w="100" w:type="dxa"/>
            </w:tcMar>
            <w:vAlign w:val="top"/>
          </w:tcPr>
          <w:p>
            <w:r>
              <w:rPr>
                <w:rFonts w:ascii="Calibri" w:hAnsi="Calibri"/>
                <w:b/>
                <w:color w:val="10264B"/>
                <w:sz w:val="19"/>
              </w:rPr>
              <w:t>Constraint</w:t>
            </w:r>
          </w:p>
        </w:tc>
        <w:tc>
          <w:tcPr>
            <w:tcW w:type="dxa" w:w="6660"/>
            <w:shd w:fill="F7F3EA"/>
            <w:tcMar>
              <w:top w:w="80" w:type="dxa"/>
              <w:start w:w="100" w:type="dxa"/>
              <w:bottom w:w="80" w:type="dxa"/>
              <w:end w:w="100" w:type="dxa"/>
            </w:tcMar>
            <w:vAlign w:val="top"/>
          </w:tcPr>
          <w:p>
            <w:r>
              <w:rPr>
                <w:rFonts w:ascii="Calibri" w:hAnsi="Calibri"/>
                <w:color w:val="18263A"/>
                <w:sz w:val="19"/>
              </w:rPr>
              <w:t>Name pay, benefits, age, caregiving, identity, health, timing or labor-market reality where it changes the decision.</w:t>
            </w:r>
          </w:p>
        </w:tc>
      </w:tr>
      <w:tr>
        <w:trPr>
          <w:cantSplit/>
        </w:trPr>
        <w:tc>
          <w:tcPr>
            <w:tcW w:type="dxa" w:w="2700"/>
            <w:shd w:fill="E9EFF6"/>
            <w:tcMar>
              <w:top w:w="80" w:type="dxa"/>
              <w:start w:w="100" w:type="dxa"/>
              <w:bottom w:w="80" w:type="dxa"/>
              <w:end w:w="100" w:type="dxa"/>
            </w:tcMar>
            <w:vAlign w:val="top"/>
          </w:tcPr>
          <w:p>
            <w:r>
              <w:rPr>
                <w:rFonts w:ascii="Calibri" w:hAnsi="Calibri"/>
                <w:b/>
                <w:color w:val="10264B"/>
                <w:sz w:val="19"/>
              </w:rPr>
              <w:t>CTA</w:t>
            </w:r>
          </w:p>
        </w:tc>
        <w:tc>
          <w:tcPr>
            <w:tcW w:type="dxa" w:w="6660"/>
            <w:shd w:fill="FFFFFF"/>
            <w:tcMar>
              <w:top w:w="80" w:type="dxa"/>
              <w:start w:w="100" w:type="dxa"/>
              <w:bottom w:w="80" w:type="dxa"/>
              <w:end w:w="100" w:type="dxa"/>
            </w:tcMar>
            <w:vAlign w:val="top"/>
          </w:tcPr>
          <w:p>
            <w:r>
              <w:rPr>
                <w:rFonts w:ascii="Calibri" w:hAnsi="Calibri"/>
                <w:color w:val="18263A"/>
                <w:sz w:val="19"/>
              </w:rPr>
              <w:t>One route only, earned by the method taught.</w:t>
            </w:r>
          </w:p>
        </w:tc>
      </w:tr>
      <w:tr>
        <w:trPr>
          <w:cantSplit/>
        </w:trPr>
        <w:tc>
          <w:tcPr>
            <w:tcW w:type="dxa" w:w="2700"/>
            <w:shd w:fill="E9EFF6"/>
            <w:tcMar>
              <w:top w:w="80" w:type="dxa"/>
              <w:start w:w="100" w:type="dxa"/>
              <w:bottom w:w="80" w:type="dxa"/>
              <w:end w:w="100" w:type="dxa"/>
            </w:tcMar>
            <w:vAlign w:val="top"/>
          </w:tcPr>
          <w:p>
            <w:r>
              <w:rPr>
                <w:rFonts w:ascii="Calibri" w:hAnsi="Calibri"/>
                <w:b/>
                <w:color w:val="10264B"/>
                <w:sz w:val="19"/>
              </w:rPr>
              <w:t>Watch Next</w:t>
            </w:r>
          </w:p>
        </w:tc>
        <w:tc>
          <w:tcPr>
            <w:tcW w:type="dxa" w:w="6660"/>
            <w:shd w:fill="F7F3EA"/>
            <w:tcMar>
              <w:top w:w="80" w:type="dxa"/>
              <w:start w:w="100" w:type="dxa"/>
              <w:bottom w:w="80" w:type="dxa"/>
              <w:end w:w="100" w:type="dxa"/>
            </w:tcMar>
            <w:vAlign w:val="top"/>
          </w:tcPr>
          <w:p>
            <w:r>
              <w:rPr>
                <w:rFonts w:ascii="Calibri" w:hAnsi="Calibri"/>
                <w:color w:val="18263A"/>
                <w:sz w:val="19"/>
              </w:rPr>
              <w:t>One intentional next decision in the sequence.</w:t>
            </w:r>
          </w:p>
        </w:tc>
      </w:tr>
      <w:tr>
        <w:trPr>
          <w:cantSplit/>
        </w:trPr>
        <w:tc>
          <w:tcPr>
            <w:tcW w:type="dxa" w:w="2700"/>
            <w:shd w:fill="E9EFF6"/>
            <w:tcMar>
              <w:top w:w="80" w:type="dxa"/>
              <w:start w:w="100" w:type="dxa"/>
              <w:bottom w:w="80" w:type="dxa"/>
              <w:end w:w="100" w:type="dxa"/>
            </w:tcMar>
            <w:vAlign w:val="top"/>
          </w:tcPr>
          <w:p>
            <w:r>
              <w:rPr>
                <w:rFonts w:ascii="Calibri" w:hAnsi="Calibri"/>
                <w:b/>
                <w:color w:val="10264B"/>
                <w:sz w:val="19"/>
              </w:rPr>
              <w:t>Tone</w:t>
            </w:r>
          </w:p>
        </w:tc>
        <w:tc>
          <w:tcPr>
            <w:tcW w:type="dxa" w:w="6660"/>
            <w:shd w:fill="FFFFFF"/>
            <w:tcMar>
              <w:top w:w="80" w:type="dxa"/>
              <w:start w:w="100" w:type="dxa"/>
              <w:bottom w:w="80" w:type="dxa"/>
              <w:end w:w="100" w:type="dxa"/>
            </w:tcMar>
            <w:vAlign w:val="top"/>
          </w:tcPr>
          <w:p>
            <w:r>
              <w:rPr>
                <w:rFonts w:ascii="Calibri" w:hAnsi="Calibri"/>
                <w:color w:val="18263A"/>
                <w:sz w:val="19"/>
              </w:rPr>
              <w:t>Relaxed confidence; calm, specific, evidence-led; no hype, scolding, false certainty or generic creator language.</w:t>
            </w:r>
          </w:p>
        </w:tc>
      </w:tr>
    </w:tbl>
    <w:p>
      <w:r>
        <w:br w:type="page"/>
      </w:r>
    </w:p>
    <w:p>
      <w:pPr>
        <w:keepNext/>
        <w:spacing w:after="60"/>
      </w:pPr>
      <w:r>
        <w:rPr>
          <w:rFonts w:ascii="Calibri" w:hAnsi="Calibri"/>
          <w:b/>
          <w:color w:val="C6A646"/>
          <w:sz w:val="18"/>
        </w:rPr>
        <w:t>07  /  PROOF AND PLATFORM</w:t>
      </w:r>
    </w:p>
    <w:p>
      <w:pPr>
        <w:pStyle w:val="Heading1"/>
        <w:keepNext/>
      </w:pPr>
      <w:r>
        <w:rPr>
          <w:rFonts w:ascii="Calibri" w:hAnsi="Calibri"/>
          <w:b/>
          <w:color w:val="10264B"/>
          <w:sz w:val="32"/>
        </w:rPr>
        <w:t>Use lived proof as an evidence system—not a résumé recital</w:t>
      </w:r>
    </w:p>
    <w:tbl>
      <w:tblPr>
        <w:tblW w:type="dxa" w:w="9360"/>
        <w:jc w:val="center"/>
        <w:tblLook w:firstColumn="1" w:firstRow="1" w:lastColumn="0" w:lastRow="0" w:noHBand="0" w:noVBand="1" w:val="04A0"/>
        <w:tblLayout w:type="fixed"/>
        <w:tblInd w:w="120" w:type="dxa"/>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Pr>
      <w:tblGrid>
        <w:gridCol w:w="1650"/>
        <w:gridCol w:w="3350"/>
        <w:gridCol w:w="1800"/>
        <w:gridCol w:w="2560"/>
      </w:tblGrid>
      <w:tr>
        <w:trPr>
          <w:tblHeader w:val="true"/>
          <w:cantSplit/>
        </w:trPr>
        <w:tc>
          <w:tcPr>
            <w:tcW w:type="dxa" w:w="1650"/>
            <w:tcMar>
              <w:top w:w="80" w:type="dxa"/>
              <w:start w:w="100" w:type="dxa"/>
              <w:bottom w:w="80" w:type="dxa"/>
              <w:end w:w="100" w:type="dxa"/>
            </w:tcMar>
            <w:vAlign w:val="top"/>
            <w:shd w:fill="10264B"/>
          </w:tcPr>
          <w:p>
            <w:pPr>
              <w:spacing w:after="0" w:line="240" w:lineRule="auto"/>
            </w:pPr>
            <w:r/>
            <w:r>
              <w:rPr>
                <w:rFonts w:ascii="Calibri" w:hAnsi="Calibri"/>
                <w:b/>
                <w:color w:val="FFFFFF"/>
                <w:sz w:val="17"/>
              </w:rPr>
              <w:t>Proof asset</w:t>
            </w:r>
          </w:p>
        </w:tc>
        <w:tc>
          <w:tcPr>
            <w:tcW w:type="dxa" w:w="3350"/>
            <w:tcMar>
              <w:top w:w="80" w:type="dxa"/>
              <w:start w:w="100" w:type="dxa"/>
              <w:bottom w:w="80" w:type="dxa"/>
              <w:end w:w="100" w:type="dxa"/>
            </w:tcMar>
            <w:vAlign w:val="top"/>
            <w:shd w:fill="10264B"/>
          </w:tcPr>
          <w:p>
            <w:pPr>
              <w:spacing w:after="0" w:line="240" w:lineRule="auto"/>
            </w:pPr>
            <w:r/>
            <w:r>
              <w:rPr>
                <w:rFonts w:ascii="Calibri" w:hAnsi="Calibri"/>
                <w:b/>
                <w:color w:val="FFFFFF"/>
                <w:sz w:val="17"/>
              </w:rPr>
              <w:t>What is confirmed</w:t>
            </w:r>
          </w:p>
        </w:tc>
        <w:tc>
          <w:tcPr>
            <w:tcW w:type="dxa" w:w="1800"/>
            <w:tcMar>
              <w:top w:w="80" w:type="dxa"/>
              <w:start w:w="100" w:type="dxa"/>
              <w:bottom w:w="80" w:type="dxa"/>
              <w:end w:w="100" w:type="dxa"/>
            </w:tcMar>
            <w:vAlign w:val="top"/>
            <w:shd w:fill="10264B"/>
          </w:tcPr>
          <w:p>
            <w:pPr>
              <w:spacing w:after="0" w:line="240" w:lineRule="auto"/>
            </w:pPr>
            <w:r/>
            <w:r>
              <w:rPr>
                <w:rFonts w:ascii="Calibri" w:hAnsi="Calibri"/>
                <w:b/>
                <w:color w:val="FFFFFF"/>
                <w:sz w:val="17"/>
              </w:rPr>
              <w:t>Best use</w:t>
            </w:r>
          </w:p>
        </w:tc>
        <w:tc>
          <w:tcPr>
            <w:tcW w:type="dxa" w:w="2560"/>
            <w:tcMar>
              <w:top w:w="80" w:type="dxa"/>
              <w:start w:w="100" w:type="dxa"/>
              <w:bottom w:w="80" w:type="dxa"/>
              <w:end w:w="100" w:type="dxa"/>
            </w:tcMar>
            <w:vAlign w:val="top"/>
            <w:shd w:fill="10264B"/>
          </w:tcPr>
          <w:p>
            <w:pPr>
              <w:spacing w:after="0" w:line="240" w:lineRule="auto"/>
            </w:pPr>
            <w:r/>
            <w:r>
              <w:rPr>
                <w:rFonts w:ascii="Calibri" w:hAnsi="Calibri"/>
                <w:b/>
                <w:color w:val="FFFFFF"/>
                <w:sz w:val="17"/>
              </w:rPr>
              <w:t>Boundary</w:t>
            </w:r>
          </w:p>
        </w:tc>
      </w:tr>
      <w:tr>
        <w:trPr>
          <w:cantSplit/>
        </w:trPr>
        <w:tc>
          <w:tcPr>
            <w:tcW w:type="dxa" w:w="1650"/>
            <w:tcMar>
              <w:top w:w="80" w:type="dxa"/>
              <w:start w:w="100" w:type="dxa"/>
              <w:bottom w:w="80" w:type="dxa"/>
              <w:end w:w="100" w:type="dxa"/>
            </w:tcMar>
            <w:vAlign w:val="top"/>
          </w:tcPr>
          <w:p>
            <w:pPr>
              <w:spacing w:before="0" w:after="30" w:line="245" w:lineRule="auto"/>
            </w:pPr>
            <w:r>
              <w:rPr>
                <w:rFonts w:ascii="Calibri" w:hAnsi="Calibri"/>
                <w:color w:val="18263A"/>
                <w:sz w:val="17"/>
              </w:rPr>
              <w:t>Cross-industry authority</w:t>
            </w:r>
          </w:p>
        </w:tc>
        <w:tc>
          <w:tcPr>
            <w:tcW w:type="dxa" w:w="3350"/>
            <w:tcMar>
              <w:top w:w="80" w:type="dxa"/>
              <w:start w:w="100" w:type="dxa"/>
              <w:bottom w:w="80" w:type="dxa"/>
              <w:end w:w="100" w:type="dxa"/>
            </w:tcMar>
            <w:vAlign w:val="top"/>
          </w:tcPr>
          <w:p>
            <w:pPr>
              <w:spacing w:before="0" w:after="30" w:line="245" w:lineRule="auto"/>
            </w:pPr>
            <w:r>
              <w:rPr>
                <w:rFonts w:ascii="Calibri" w:hAnsi="Calibri"/>
                <w:color w:val="18263A"/>
                <w:sz w:val="17"/>
              </w:rPr>
              <w:t>18 years; eight industries/sectors; Deloitte, EY and PwC; Consultant → Head.</w:t>
            </w:r>
          </w:p>
        </w:tc>
        <w:tc>
          <w:tcPr>
            <w:tcW w:type="dxa" w:w="1800"/>
            <w:tcMar>
              <w:top w:w="80" w:type="dxa"/>
              <w:start w:w="100" w:type="dxa"/>
              <w:bottom w:w="80" w:type="dxa"/>
              <w:end w:w="100" w:type="dxa"/>
            </w:tcMar>
            <w:vAlign w:val="top"/>
          </w:tcPr>
          <w:p>
            <w:pPr>
              <w:spacing w:before="0" w:after="30" w:line="245" w:lineRule="auto"/>
            </w:pPr>
            <w:r>
              <w:rPr>
                <w:rFonts w:ascii="Calibri" w:hAnsi="Calibri"/>
                <w:color w:val="18263A"/>
                <w:sz w:val="17"/>
              </w:rPr>
              <w:t>Videos 4, 8, 13, 14, 20, 23</w:t>
            </w:r>
          </w:p>
        </w:tc>
        <w:tc>
          <w:tcPr>
            <w:tcW w:type="dxa" w:w="2560"/>
            <w:tcMar>
              <w:top w:w="80" w:type="dxa"/>
              <w:start w:w="100" w:type="dxa"/>
              <w:bottom w:w="80" w:type="dxa"/>
              <w:end w:w="100" w:type="dxa"/>
            </w:tcMar>
            <w:vAlign w:val="top"/>
          </w:tcPr>
          <w:p>
            <w:pPr>
              <w:spacing w:before="0" w:after="30" w:line="245" w:lineRule="auto"/>
            </w:pPr>
            <w:r>
              <w:rPr>
                <w:rFonts w:ascii="Calibri" w:hAnsi="Calibri"/>
                <w:color w:val="18263A"/>
                <w:sz w:val="17"/>
              </w:rPr>
              <w:t>Do not claim promotion in every industry.</w:t>
            </w:r>
          </w:p>
        </w:tc>
      </w:tr>
      <w:tr>
        <w:trPr>
          <w:cantSplit/>
        </w:trPr>
        <w:tc>
          <w:tcPr>
            <w:tcW w:type="dxa" w:w="165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Returned and rebuilt visibility</w:t>
            </w:r>
          </w:p>
        </w:tc>
        <w:tc>
          <w:tcPr>
            <w:tcW w:type="dxa" w:w="335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Maternity return; onboarding first project; scope expansion at roughly six months; cross-functional work; executive 1:1s.</w:t>
            </w:r>
          </w:p>
        </w:tc>
        <w:tc>
          <w:tcPr>
            <w:tcW w:type="dxa" w:w="180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Videos 5, 15, 19</w:t>
            </w:r>
          </w:p>
        </w:tc>
        <w:tc>
          <w:tcPr>
            <w:tcW w:type="dxa" w:w="256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Confirm which actions preceded which outcome; avoid causal overstatement.</w:t>
            </w:r>
          </w:p>
        </w:tc>
      </w:tr>
      <w:tr>
        <w:trPr>
          <w:cantSplit/>
        </w:trPr>
        <w:tc>
          <w:tcPr>
            <w:tcW w:type="dxa" w:w="1650"/>
            <w:tcMar>
              <w:top w:w="80" w:type="dxa"/>
              <w:start w:w="100" w:type="dxa"/>
              <w:bottom w:w="80" w:type="dxa"/>
              <w:end w:w="100" w:type="dxa"/>
            </w:tcMar>
            <w:vAlign w:val="top"/>
          </w:tcPr>
          <w:p>
            <w:pPr>
              <w:spacing w:before="0" w:after="30" w:line="245" w:lineRule="auto"/>
            </w:pPr>
            <w:r>
              <w:rPr>
                <w:rFonts w:ascii="Calibri" w:hAnsi="Calibri"/>
                <w:color w:val="18263A"/>
                <w:sz w:val="17"/>
              </w:rPr>
              <w:t>Entered a new profession</w:t>
            </w:r>
          </w:p>
        </w:tc>
        <w:tc>
          <w:tcPr>
            <w:tcW w:type="dxa" w:w="3350"/>
            <w:tcMar>
              <w:top w:w="80" w:type="dxa"/>
              <w:start w:w="100" w:type="dxa"/>
              <w:bottom w:w="80" w:type="dxa"/>
              <w:end w:w="100" w:type="dxa"/>
            </w:tcMar>
            <w:vAlign w:val="top"/>
          </w:tcPr>
          <w:p>
            <w:pPr>
              <w:spacing w:before="0" w:after="30" w:line="245" w:lineRule="auto"/>
            </w:pPr>
            <w:r>
              <w:rPr>
                <w:rFonts w:ascii="Calibri" w:hAnsi="Calibri"/>
                <w:color w:val="18263A"/>
                <w:sz w:val="17"/>
              </w:rPr>
              <w:t>Accounting/audit → cyber/privacy; CISM preparation and unsuccessful first attempt; IAPP chapter.</w:t>
            </w:r>
          </w:p>
        </w:tc>
        <w:tc>
          <w:tcPr>
            <w:tcW w:type="dxa" w:w="1800"/>
            <w:tcMar>
              <w:top w:w="80" w:type="dxa"/>
              <w:start w:w="100" w:type="dxa"/>
              <w:bottom w:w="80" w:type="dxa"/>
              <w:end w:w="100" w:type="dxa"/>
            </w:tcMar>
            <w:vAlign w:val="top"/>
          </w:tcPr>
          <w:p>
            <w:pPr>
              <w:spacing w:before="0" w:after="30" w:line="245" w:lineRule="auto"/>
            </w:pPr>
            <w:r>
              <w:rPr>
                <w:rFonts w:ascii="Calibri" w:hAnsi="Calibri"/>
                <w:color w:val="18263A"/>
                <w:sz w:val="17"/>
              </w:rPr>
              <w:t>Videos 8, 13, 20</w:t>
            </w:r>
          </w:p>
        </w:tc>
        <w:tc>
          <w:tcPr>
            <w:tcW w:type="dxa" w:w="2560"/>
            <w:tcMar>
              <w:top w:w="80" w:type="dxa"/>
              <w:start w:w="100" w:type="dxa"/>
              <w:bottom w:w="80" w:type="dxa"/>
              <w:end w:w="100" w:type="dxa"/>
            </w:tcMar>
            <w:vAlign w:val="top"/>
          </w:tcPr>
          <w:p>
            <w:pPr>
              <w:spacing w:before="0" w:after="30" w:line="245" w:lineRule="auto"/>
            </w:pPr>
            <w:r>
              <w:rPr>
                <w:rFonts w:ascii="Calibri" w:hAnsi="Calibri"/>
                <w:color w:val="18263A"/>
                <w:sz w:val="17"/>
              </w:rPr>
              <w:t>The non-pass is useful because it shows real learning rather than frictionless transfer.</w:t>
            </w:r>
          </w:p>
        </w:tc>
      </w:tr>
      <w:tr>
        <w:trPr>
          <w:cantSplit/>
        </w:trPr>
        <w:tc>
          <w:tcPr>
            <w:tcW w:type="dxa" w:w="165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Capability before title</w:t>
            </w:r>
          </w:p>
        </w:tc>
        <w:tc>
          <w:tcPr>
            <w:tcW w:type="dxa" w:w="335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NABA recruiter support and Black Employee Network secretary before formal DEI work.</w:t>
            </w:r>
          </w:p>
        </w:tc>
        <w:tc>
          <w:tcPr>
            <w:tcW w:type="dxa" w:w="180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Videos 12 and 13</w:t>
            </w:r>
          </w:p>
        </w:tc>
        <w:tc>
          <w:tcPr>
            <w:tcW w:type="dxa" w:w="256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Clarify dates, scope and permitted public detail.</w:t>
            </w:r>
          </w:p>
        </w:tc>
      </w:tr>
      <w:tr>
        <w:trPr>
          <w:cantSplit/>
        </w:trPr>
        <w:tc>
          <w:tcPr>
            <w:tcW w:type="dxa" w:w="1650"/>
            <w:tcMar>
              <w:top w:w="80" w:type="dxa"/>
              <w:start w:w="100" w:type="dxa"/>
              <w:bottom w:w="80" w:type="dxa"/>
              <w:end w:w="100" w:type="dxa"/>
            </w:tcMar>
            <w:vAlign w:val="top"/>
          </w:tcPr>
          <w:p>
            <w:pPr>
              <w:spacing w:before="0" w:after="30" w:line="245" w:lineRule="auto"/>
            </w:pPr>
            <w:r>
              <w:rPr>
                <w:rFonts w:ascii="Calibri" w:hAnsi="Calibri"/>
                <w:color w:val="18263A"/>
                <w:sz w:val="17"/>
              </w:rPr>
              <w:t>Repeated organizational trust</w:t>
            </w:r>
          </w:p>
        </w:tc>
        <w:tc>
          <w:tcPr>
            <w:tcW w:type="dxa" w:w="3350"/>
            <w:tcMar>
              <w:top w:w="80" w:type="dxa"/>
              <w:start w:w="100" w:type="dxa"/>
              <w:bottom w:w="80" w:type="dxa"/>
              <w:end w:w="100" w:type="dxa"/>
            </w:tcMar>
            <w:vAlign w:val="top"/>
          </w:tcPr>
          <w:p>
            <w:pPr>
              <w:spacing w:before="0" w:after="30" w:line="245" w:lineRule="auto"/>
            </w:pPr>
            <w:r>
              <w:rPr>
                <w:rFonts w:ascii="Calibri" w:hAnsi="Calibri"/>
                <w:color w:val="18263A"/>
                <w:sz w:val="17"/>
              </w:rPr>
              <w:t>Deloitte hired Temidayo three times.</w:t>
            </w:r>
          </w:p>
        </w:tc>
        <w:tc>
          <w:tcPr>
            <w:tcW w:type="dxa" w:w="1800"/>
            <w:tcMar>
              <w:top w:w="80" w:type="dxa"/>
              <w:start w:w="100" w:type="dxa"/>
              <w:bottom w:w="80" w:type="dxa"/>
              <w:end w:w="100" w:type="dxa"/>
            </w:tcMar>
            <w:vAlign w:val="top"/>
          </w:tcPr>
          <w:p>
            <w:pPr>
              <w:spacing w:before="0" w:after="30" w:line="245" w:lineRule="auto"/>
            </w:pPr>
            <w:r>
              <w:rPr>
                <w:rFonts w:ascii="Calibri" w:hAnsi="Calibri"/>
                <w:color w:val="18263A"/>
                <w:sz w:val="17"/>
              </w:rPr>
              <w:t>Videos 12 and 18</w:t>
            </w:r>
          </w:p>
        </w:tc>
        <w:tc>
          <w:tcPr>
            <w:tcW w:type="dxa" w:w="2560"/>
            <w:tcMar>
              <w:top w:w="80" w:type="dxa"/>
              <w:start w:w="100" w:type="dxa"/>
              <w:bottom w:w="80" w:type="dxa"/>
              <w:end w:w="100" w:type="dxa"/>
            </w:tcMar>
            <w:vAlign w:val="top"/>
          </w:tcPr>
          <w:p>
            <w:pPr>
              <w:spacing w:before="0" w:after="30" w:line="245" w:lineRule="auto"/>
            </w:pPr>
            <w:r>
              <w:rPr>
                <w:rFonts w:ascii="Calibri" w:hAnsi="Calibri"/>
                <w:color w:val="18263A"/>
                <w:sz w:val="17"/>
              </w:rPr>
              <w:t>Clarify the problem or capability recognized each time.</w:t>
            </w:r>
          </w:p>
        </w:tc>
      </w:tr>
      <w:tr>
        <w:trPr>
          <w:cantSplit/>
        </w:trPr>
        <w:tc>
          <w:tcPr>
            <w:tcW w:type="dxa" w:w="165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Confirmed outcomes</w:t>
            </w:r>
          </w:p>
        </w:tc>
        <w:tc>
          <w:tcPr>
            <w:tcW w:type="dxa" w:w="335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Approximately 30% retention improvement and more than $2M in avoided turnover.</w:t>
            </w:r>
          </w:p>
        </w:tc>
        <w:tc>
          <w:tcPr>
            <w:tcW w:type="dxa" w:w="180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Videos 7, 15 or 23 if correctly tied</w:t>
            </w:r>
          </w:p>
        </w:tc>
        <w:tc>
          <w:tcPr>
            <w:tcW w:type="dxa" w:w="2560"/>
            <w:tcMar>
              <w:top w:w="80" w:type="dxa"/>
              <w:start w:w="100" w:type="dxa"/>
              <w:bottom w:w="80" w:type="dxa"/>
              <w:end w:w="100" w:type="dxa"/>
            </w:tcMar>
            <w:vAlign w:val="top"/>
            <w:shd w:fill="F3F5F7"/>
          </w:tcPr>
          <w:p>
            <w:pPr>
              <w:spacing w:before="0" w:after="30" w:line="245" w:lineRule="auto"/>
            </w:pPr>
            <w:r>
              <w:rPr>
                <w:rFonts w:ascii="Calibri" w:hAnsi="Calibri"/>
                <w:color w:val="18263A"/>
                <w:sz w:val="17"/>
              </w:rPr>
              <w:t>Do not attach either metric to a role or intervention until the relationship is documented.</w:t>
            </w:r>
          </w:p>
        </w:tc>
      </w:tr>
    </w:tbl>
    <w:p>
      <w:pPr>
        <w:spacing w:after="0"/>
      </w:pPr>
    </w:p>
    <w:p>
      <w:pPr>
        <w:pStyle w:val="Heading2"/>
        <w:keepNext/>
      </w:pPr>
      <w:r>
        <w:rPr>
          <w:rFonts w:ascii="Calibri" w:hAnsi="Calibri"/>
          <w:b/>
          <w:color w:val="10264B"/>
          <w:sz w:val="26"/>
        </w:rPr>
        <w:t>Missing evidence and questions before future scripts</w:t>
      </w:r>
    </w:p>
    <w:p>
      <w:pPr>
        <w:pStyle w:val="AuditBullet"/>
        <w:spacing w:after="80" w:line="288" w:lineRule="auto"/>
      </w:pPr>
      <w:r>
        <w:rPr>
          <w:rFonts w:ascii="Calibri" w:hAnsi="Calibri"/>
          <w:color w:val="18263A"/>
          <w:sz w:val="21"/>
        </w:rPr>
        <w:t>Which exact role and business problem produced the approximately 30% retention improvement and more than $2M in avoided turnover? Are those outcomes part of the same initiative? What attribution language is supportable?</w:t>
      </w:r>
    </w:p>
    <w:p>
      <w:pPr>
        <w:pStyle w:val="AuditBullet"/>
        <w:spacing w:after="80" w:line="288" w:lineRule="auto"/>
      </w:pPr>
      <w:r>
        <w:rPr>
          <w:rFonts w:ascii="Calibri" w:hAnsi="Calibri"/>
          <w:color w:val="18263A"/>
          <w:sz w:val="21"/>
        </w:rPr>
        <w:t>For the maternity-return chapter: what was the date/order of onboarding, cross-functional work, executive 1:1s and the scope expansion? Which parts were causal, and which merely occurred in the same chapter?</w:t>
      </w:r>
    </w:p>
    <w:p>
      <w:pPr>
        <w:pStyle w:val="AuditBullet"/>
        <w:spacing w:after="80" w:line="288" w:lineRule="auto"/>
      </w:pPr>
      <w:r>
        <w:rPr>
          <w:rFonts w:ascii="Calibri" w:hAnsi="Calibri"/>
          <w:color w:val="18263A"/>
          <w:sz w:val="21"/>
        </w:rPr>
        <w:t>For the “first in a role” story: what was the role, what did not exist, what did Temidayo build, what resistance appeared and what permitted evidence demonstrates the result?</w:t>
      </w:r>
    </w:p>
    <w:p>
      <w:pPr>
        <w:pStyle w:val="AuditBullet"/>
        <w:spacing w:after="80" w:line="288" w:lineRule="auto"/>
      </w:pPr>
      <w:r>
        <w:rPr>
          <w:rFonts w:ascii="Calibri" w:hAnsi="Calibri"/>
          <w:color w:val="18263A"/>
          <w:sz w:val="21"/>
        </w:rPr>
        <w:t>When Deloitte hired Temidayo three times, what work or capability did each team recognize? Which hire was internship, and what were the two full-time roles?</w:t>
      </w:r>
    </w:p>
    <w:p>
      <w:pPr>
        <w:pStyle w:val="AuditBullet"/>
        <w:spacing w:after="80" w:line="288" w:lineRule="auto"/>
      </w:pPr>
      <w:r>
        <w:rPr>
          <w:rFonts w:ascii="Calibri" w:hAnsi="Calibri"/>
          <w:color w:val="18263A"/>
          <w:sz w:val="21"/>
        </w:rPr>
        <w:t>Which transition best demonstrates that something transferred but a material part had to be relearned? What surprised Temidayo in the new context?</w:t>
      </w:r>
    </w:p>
    <w:p>
      <w:pPr>
        <w:pStyle w:val="AuditBullet"/>
        <w:spacing w:after="80" w:line="288" w:lineRule="auto"/>
      </w:pPr>
      <w:r>
        <w:rPr>
          <w:rFonts w:ascii="Calibri" w:hAnsi="Calibri"/>
          <w:color w:val="18263A"/>
          <w:sz w:val="21"/>
        </w:rPr>
        <w:t>What exact CISM attempt details are public and useful: timing, preparation, what framework knowledge remained valuable and what she did next?</w:t>
      </w:r>
    </w:p>
    <w:p>
      <w:pPr>
        <w:pStyle w:val="AuditBullet"/>
        <w:spacing w:after="80" w:line="288" w:lineRule="auto"/>
      </w:pPr>
      <w:r>
        <w:rPr>
          <w:rFonts w:ascii="Calibri" w:hAnsi="Calibri"/>
          <w:color w:val="18263A"/>
          <w:sz w:val="21"/>
        </w:rPr>
        <w:t>What is Temidayo’s most specific example of accountability remaining human while an automated or AI-assisted task changed?</w:t>
      </w:r>
    </w:p>
    <w:p>
      <w:pPr>
        <w:pStyle w:val="AuditBullet"/>
        <w:spacing w:after="80" w:line="288" w:lineRule="auto"/>
      </w:pPr>
      <w:r>
        <w:rPr>
          <w:rFonts w:ascii="Calibri" w:hAnsi="Calibri"/>
          <w:color w:val="18263A"/>
          <w:sz w:val="21"/>
        </w:rPr>
        <w:t>Has Temidayo personally faced a blocked promotion, declining sponsorship or a senior IC/management choice she wants to discuss? If not, use the organizational-insider lens and audience research, not invented first-person struggle.</w:t>
      </w:r>
    </w:p>
    <w:p>
      <w:pPr>
        <w:pStyle w:val="AuditBullet"/>
        <w:spacing w:after="80" w:line="288" w:lineRule="auto"/>
      </w:pPr>
      <w:r>
        <w:rPr>
          <w:rFonts w:ascii="Calibri" w:hAnsi="Calibri"/>
          <w:color w:val="18263A"/>
          <w:sz w:val="21"/>
        </w:rPr>
        <w:t>Does Temidayo have solo, independent or advisory consulting experience? If not, Video 18 must distinguish firm consulting from independent consulting and avoid claiming a path she has not taken.</w:t>
      </w:r>
    </w:p>
    <w:p>
      <w:pPr>
        <w:pStyle w:val="AuditBullet"/>
        <w:spacing w:after="80" w:line="288" w:lineRule="auto"/>
      </w:pPr>
      <w:r>
        <w:rPr>
          <w:rFonts w:ascii="Calibri" w:hAnsi="Calibri"/>
          <w:color w:val="18263A"/>
          <w:sz w:val="21"/>
        </w:rPr>
        <w:t>Which exact enterprise transformation or flatter-organization scene can support Video 22 without revealing confidential organizational information?</w:t>
      </w:r>
    </w:p>
    <w:p>
      <w:pPr>
        <w:pStyle w:val="AuditBullet"/>
        <w:spacing w:after="80" w:line="288" w:lineRule="auto"/>
      </w:pPr>
      <w:r>
        <w:rPr>
          <w:rFonts w:ascii="Calibri" w:hAnsi="Calibri"/>
          <w:color w:val="18263A"/>
          <w:sz w:val="21"/>
        </w:rPr>
        <w:t>Which outcome or scope change best demonstrates growth after Senior Director or Head of Function, beyond the title itself?</w:t>
      </w:r>
    </w:p>
    <w:p>
      <w:pPr>
        <w:pStyle w:val="AuditBullet"/>
        <w:spacing w:after="80" w:line="288" w:lineRule="auto"/>
      </w:pPr>
      <w:r>
        <w:rPr>
          <w:rFonts w:ascii="Calibri" w:hAnsi="Calibri"/>
          <w:color w:val="18263A"/>
          <w:sz w:val="21"/>
        </w:rPr>
        <w:t>What is the approved Keep the Proof URL and current product status? Is the Career Decision Evidence Check page live before Videos 3 and 5 are scheduled?</w:t>
      </w:r>
    </w:p>
    <w:p>
      <w:pPr>
        <w:pStyle w:val="Heading2"/>
        <w:keepNext/>
      </w:pPr>
      <w:r>
        <w:rPr>
          <w:rFonts w:ascii="Calibri" w:hAnsi="Calibri"/>
          <w:b/>
          <w:color w:val="10264B"/>
          <w:sz w:val="26"/>
        </w:rPr>
        <w:t>Five LinkedIn implications</w:t>
      </w:r>
    </w:p>
    <w:p>
      <w:pPr>
        <w:pStyle w:val="AuditBullet"/>
        <w:spacing w:after="80" w:line="288" w:lineRule="auto"/>
      </w:pPr>
      <w:r>
        <w:rPr>
          <w:rFonts w:ascii="Calibri" w:hAnsi="Calibri"/>
          <w:color w:val="18263A"/>
          <w:sz w:val="21"/>
        </w:rPr>
        <w:t>Lead with one real scene plus unresolved meaning—the “cat with nine lives,” first-role or return-from-maternity chapter—not a generalized lesson.</w:t>
      </w:r>
    </w:p>
    <w:p>
      <w:pPr>
        <w:pStyle w:val="AuditBullet"/>
        <w:spacing w:after="80" w:line="288" w:lineRule="auto"/>
      </w:pPr>
      <w:r>
        <w:rPr>
          <w:rFonts w:ascii="Calibri" w:hAnsi="Calibri"/>
          <w:color w:val="18263A"/>
          <w:sz w:val="21"/>
        </w:rPr>
        <w:t>Create proof posts around one verifiable fact at a time: Deloitte hired me three times; I moved from audit to privacy; I did not pass CISM the first time; onboarding was my first project back.</w:t>
      </w:r>
    </w:p>
    <w:p>
      <w:pPr>
        <w:pStyle w:val="AuditBullet"/>
        <w:spacing w:after="80" w:line="288" w:lineRule="auto"/>
      </w:pPr>
      <w:r>
        <w:rPr>
          <w:rFonts w:ascii="Calibri" w:hAnsi="Calibri"/>
          <w:color w:val="18263A"/>
          <w:sz w:val="21"/>
        </w:rPr>
        <w:t>Write recognition posts about senior invisibility, reliability without return, and what does not automatically travel. End with one diagnostic question rather than a generic motivation line.</w:t>
      </w:r>
    </w:p>
    <w:p>
      <w:pPr>
        <w:pStyle w:val="AuditBullet"/>
        <w:spacing w:after="80" w:line="288" w:lineRule="auto"/>
      </w:pPr>
      <w:r>
        <w:rPr>
          <w:rFonts w:ascii="Calibri" w:hAnsi="Calibri"/>
          <w:color w:val="18263A"/>
          <w:sz w:val="21"/>
        </w:rPr>
        <w:t>Publish evidence-boundary posts that show what professionals may preserve and what remains confidential. This builds trust and routes naturally to Keep the Proof.</w:t>
      </w:r>
    </w:p>
    <w:p>
      <w:pPr>
        <w:pStyle w:val="AuditBullet"/>
        <w:spacing w:after="80" w:line="288" w:lineRule="auto"/>
      </w:pPr>
      <w:r>
        <w:rPr>
          <w:rFonts w:ascii="Calibri" w:hAnsi="Calibri"/>
          <w:color w:val="18263A"/>
          <w:sz w:val="21"/>
        </w:rPr>
        <w:t>Use LinkedIn as a bridge to the weekly YouTube idea: personal scene on Tuesday, YouTube on Thursday, one evidence/practical follow-up after publication. Chika’s caution about short LinkedIn-native video should not reduce YouTube production.</w:t>
      </w:r>
    </w:p>
    <w:p>
      <w:pPr>
        <w:pStyle w:val="Heading2"/>
        <w:keepNext/>
      </w:pPr>
      <w:r>
        <w:rPr>
          <w:rFonts w:ascii="Calibri" w:hAnsi="Calibri"/>
          <w:b/>
          <w:color w:val="10264B"/>
          <w:sz w:val="26"/>
        </w:rPr>
        <w:t>Three book and publisher-platform implications</w:t>
      </w:r>
    </w:p>
    <w:p>
      <w:pPr>
        <w:pStyle w:val="AuditBullet"/>
        <w:spacing w:after="80" w:line="288" w:lineRule="auto"/>
      </w:pPr>
      <w:r>
        <w:rPr>
          <w:rFonts w:ascii="Calibri" w:hAnsi="Calibri"/>
          <w:color w:val="18263A"/>
          <w:sz w:val="21"/>
        </w:rPr>
        <w:t>The book’s human center becomes clearer: experienced people are not empty containers changing jobs; they are carrying formed judgment whose value is often invisible across context.</w:t>
      </w:r>
    </w:p>
    <w:p>
      <w:pPr>
        <w:pStyle w:val="AuditBullet"/>
        <w:spacing w:after="80" w:line="288" w:lineRule="auto"/>
      </w:pPr>
      <w:r>
        <w:rPr>
          <w:rFonts w:ascii="Calibri" w:hAnsi="Calibri"/>
          <w:color w:val="18263A"/>
          <w:sz w:val="21"/>
        </w:rPr>
        <w:t>The method gains a stronger six-part spine: read formation, separate travel/context, preserve proof, translate, test the move, and relearn what the destination requires.</w:t>
      </w:r>
    </w:p>
    <w:p>
      <w:pPr>
        <w:pStyle w:val="AuditBullet"/>
        <w:spacing w:after="80" w:line="288" w:lineRule="auto"/>
      </w:pPr>
      <w:r>
        <w:rPr>
          <w:rFonts w:ascii="Calibri" w:hAnsi="Calibri"/>
          <w:color w:val="18263A"/>
          <w:sz w:val="21"/>
        </w:rPr>
        <w:t>The enterprise argument sharpens: organizations depend on institutional judgment while restructuring, AI adoption and weak apprenticeship systems make that judgment harder to form, see and transfer. The moved AI topics belong here.</w:t>
      </w:r>
    </w:p>
    <w:p>
      <w:pPr>
        <w:sectPr>
          <w:headerReference w:type="default" r:id="rId21"/>
          <w:footerReference w:type="default" r:id="rId22"/>
          <w:pgSz w:w="12240" w:h="15840"/>
          <w:pgMar w:top="1181" w:right="1440" w:bottom="1181" w:left="1440" w:header="605" w:footer="605" w:gutter="0"/>
          <w:cols w:space="720"/>
          <w:docGrid w:linePitch="360"/>
        </w:sectPr>
      </w:pPr>
    </w:p>
    <w:p>
      <w:pPr>
        <w:keepNext/>
        <w:spacing w:after="60"/>
      </w:pPr>
      <w:r>
        <w:rPr>
          <w:rFonts w:ascii="Calibri" w:hAnsi="Calibri"/>
          <w:b/>
          <w:color w:val="C6A646"/>
          <w:sz w:val="18"/>
        </w:rPr>
        <w:t>08  /  RETURN-TO-EDITORIAL SUMMARY</w:t>
      </w:r>
    </w:p>
    <w:p>
      <w:pPr>
        <w:pStyle w:val="Heading1"/>
        <w:keepNext/>
      </w:pPr>
      <w:r>
        <w:rPr>
          <w:rFonts w:ascii="Calibri" w:hAnsi="Calibri"/>
          <w:b/>
          <w:color w:val="10264B"/>
          <w:sz w:val="32"/>
        </w:rPr>
        <w:t>The compact brief to carry back into scripting</w:t>
      </w:r>
    </w:p>
    <w:p>
      <w:pPr>
        <w:pStyle w:val="Heading2"/>
        <w:keepNext/>
      </w:pPr>
      <w:r>
        <w:rPr>
          <w:rFonts w:ascii="Calibri" w:hAnsi="Calibri"/>
          <w:b/>
          <w:color w:val="10264B"/>
          <w:sz w:val="26"/>
        </w:rPr>
        <w:t>Clarified primary audience</w:t>
      </w:r>
    </w:p>
    <w:p>
      <w:pPr>
        <w:keepLines w:val="0"/>
        <w:spacing w:before="0" w:after="120" w:line="300" w:lineRule="auto"/>
      </w:pPr>
      <w:r>
        <w:rPr>
          <w:rFonts w:ascii="Calibri" w:hAnsi="Calibri"/>
          <w:i w:val="0"/>
          <w:color w:val="18263A"/>
          <w:sz w:val="22"/>
        </w:rPr>
        <w:t>A senior corporate woman, generally 40–55 with 15–25 years of experience, who is still capable and ambitious but is uncertain whether her value will remain legible through AI change, layoffs, restructuring, age bias, industry change or a narrowing internal path. Titles remain wide enough for adjacent experienced professionals.</w:t>
      </w:r>
    </w:p>
    <w:p>
      <w:pPr>
        <w:pStyle w:val="Heading2"/>
        <w:keepNext/>
      </w:pPr>
      <w:r>
        <w:rPr>
          <w:rFonts w:ascii="Calibri" w:hAnsi="Calibri"/>
          <w:b/>
          <w:color w:val="10264B"/>
          <w:sz w:val="26"/>
        </w:rPr>
        <w:t>Recommended public positioning</w:t>
      </w:r>
    </w:p>
    <w:p>
      <w:pPr>
        <w:keepLines w:val="0"/>
        <w:spacing w:before="0" w:after="120" w:line="300" w:lineRule="auto"/>
      </w:pPr>
      <w:r>
        <w:rPr>
          <w:rFonts w:ascii="Calibri" w:hAnsi="Calibri"/>
          <w:i w:val="0"/>
          <w:color w:val="18263A"/>
          <w:sz w:val="22"/>
        </w:rPr>
        <w:t>I help experienced professionals identify, prove and explain what they can carry into a new role, function, company or industry—so they can make pivots and internal moves without starting from zero. Career portability is the public front door; Capability Formation is the deeper method.</w:t>
      </w:r>
    </w:p>
    <w:p>
      <w:pPr>
        <w:pStyle w:val="Heading2"/>
        <w:keepNext/>
      </w:pPr>
      <w:r>
        <w:rPr>
          <w:rFonts w:ascii="Calibri" w:hAnsi="Calibri"/>
          <w:b/>
          <w:color w:val="10264B"/>
          <w:sz w:val="26"/>
        </w:rPr>
        <w:t>Five strongest pain points</w:t>
      </w:r>
    </w:p>
    <w:p>
      <w:pPr>
        <w:pStyle w:val="AuditBullet"/>
        <w:spacing w:after="80" w:line="288" w:lineRule="auto"/>
      </w:pPr>
      <w:r>
        <w:rPr>
          <w:rFonts w:ascii="Calibri" w:hAnsi="Calibri"/>
          <w:color w:val="18263A"/>
          <w:sz w:val="21"/>
        </w:rPr>
        <w:t>Substantial experience no longer feels automatically legible outside the current context.</w:t>
      </w:r>
    </w:p>
    <w:p>
      <w:pPr>
        <w:pStyle w:val="AuditBullet"/>
        <w:spacing w:after="80" w:line="288" w:lineRule="auto"/>
      </w:pPr>
      <w:r>
        <w:rPr>
          <w:rFonts w:ascii="Calibri" w:hAnsi="Calibri"/>
          <w:color w:val="18263A"/>
          <w:sz w:val="21"/>
        </w:rPr>
        <w:t>Visibility, sponsorship and offers may weaken while responsibility continues.</w:t>
      </w:r>
    </w:p>
    <w:p>
      <w:pPr>
        <w:pStyle w:val="AuditBullet"/>
        <w:spacing w:after="80" w:line="288" w:lineRule="auto"/>
      </w:pPr>
      <w:r>
        <w:rPr>
          <w:rFonts w:ascii="Calibri" w:hAnsi="Calibri"/>
          <w:color w:val="18263A"/>
          <w:sz w:val="21"/>
        </w:rPr>
        <w:t>AI and layoffs change tasks and employability faster than senior professionals can safely absorb the risk.</w:t>
      </w:r>
    </w:p>
    <w:p>
      <w:pPr>
        <w:pStyle w:val="AuditBullet"/>
        <w:spacing w:after="80" w:line="288" w:lineRule="auto"/>
      </w:pPr>
      <w:r>
        <w:rPr>
          <w:rFonts w:ascii="Calibri" w:hAnsi="Calibri"/>
          <w:color w:val="18263A"/>
          <w:sz w:val="21"/>
        </w:rPr>
        <w:t>Pay, benefits, caregiving, health and debt constrain when leaving is possible.</w:t>
      </w:r>
    </w:p>
    <w:p>
      <w:pPr>
        <w:pStyle w:val="AuditBullet"/>
        <w:spacing w:after="80" w:line="288" w:lineRule="auto"/>
      </w:pPr>
      <w:r>
        <w:rPr>
          <w:rFonts w:ascii="Calibri" w:hAnsi="Calibri"/>
          <w:color w:val="18263A"/>
          <w:sz w:val="21"/>
        </w:rPr>
        <w:t>The senior path branches into IC, management, consulting, industry change, re-entry or a different definition of growth.</w:t>
      </w:r>
    </w:p>
    <w:p>
      <w:pPr>
        <w:pStyle w:val="Heading2"/>
        <w:keepNext/>
      </w:pPr>
      <w:r>
        <w:rPr>
          <w:rFonts w:ascii="Calibri" w:hAnsi="Calibri"/>
          <w:b/>
          <w:color w:val="10264B"/>
          <w:sz w:val="26"/>
        </w:rPr>
        <w:t>What the current twenty cover—and miss</w:t>
      </w:r>
    </w:p>
    <w:p>
      <w:pPr>
        <w:keepLines w:val="0"/>
        <w:spacing w:before="0" w:after="120" w:line="300" w:lineRule="auto"/>
      </w:pPr>
      <w:r>
        <w:rPr>
          <w:rFonts w:ascii="Calibri" w:hAnsi="Calibri"/>
          <w:i w:val="0"/>
          <w:color w:val="18263A"/>
          <w:sz w:val="22"/>
        </w:rPr>
        <w:t>They cover career pivots, internal movement, evidence, layoffs, AI and senior growth well. They under-cover direct industry change, what must be relearned, declining sponsorship, senior IC/management choices, consulting as a diagnostic and caregiving re-entry. The five-video AI cluster is too concentrated for the public niche.</w:t>
      </w:r>
    </w:p>
    <w:p>
      <w:pPr>
        <w:pStyle w:val="Heading2"/>
        <w:keepNext/>
      </w:pPr>
      <w:r>
        <w:rPr>
          <w:rFonts w:ascii="Calibri" w:hAnsi="Calibri"/>
          <w:b/>
          <w:color w:val="10264B"/>
          <w:sz w:val="26"/>
        </w:rPr>
        <w:t>Kept, retitled, moved and replaced</w:t>
      </w:r>
    </w:p>
    <w:p>
      <w:pPr>
        <w:keepLines w:val="0"/>
        <w:spacing w:before="0" w:after="120" w:line="300" w:lineRule="auto"/>
      </w:pPr>
      <w:r>
        <w:rPr>
          <w:rFonts w:ascii="Calibri" w:hAnsi="Calibri"/>
          <w:i w:val="0"/>
          <w:color w:val="18263A"/>
          <w:sz w:val="22"/>
        </w:rPr>
        <w:t>Keep 4–7, 9–12, 16 and 21–23 substantially. Retitle 5, 13–16 for clearer viewer decisions. Move current Video 8 to a later interview series. Move current Videos 18–20 into the enterprise/book lane or later production. Add industry-change, senior-path, consulting, re-entry and relearning videos.</w:t>
      </w:r>
    </w:p>
    <w:p>
      <w:pPr>
        <w:pStyle w:val="Heading2"/>
        <w:keepNext/>
      </w:pPr>
      <w:r>
        <w:rPr>
          <w:rFonts w:ascii="Calibri" w:hAnsi="Calibri"/>
          <w:b/>
          <w:color w:val="10264B"/>
          <w:sz w:val="26"/>
        </w:rPr>
        <w:t>Revised first six</w:t>
      </w:r>
    </w:p>
    <w:tbl>
      <w:tblPr>
        <w:tblW w:type="dxa" w:w="9360"/>
        <w:jc w:val="center"/>
        <w:tblLook w:firstColumn="1" w:firstRow="1" w:lastColumn="0" w:lastRow="0" w:noHBand="0" w:noVBand="1" w:val="04A0"/>
        <w:tblLayout w:type="fixed"/>
        <w:tblInd w:w="120" w:type="dxa"/>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Pr>
      <w:tblGrid>
        <w:gridCol w:w="450"/>
        <w:gridCol w:w="5200"/>
        <w:gridCol w:w="2200"/>
        <w:gridCol w:w="1510"/>
      </w:tblGrid>
      <w:tr>
        <w:trPr>
          <w:tblHeader w:val="true"/>
          <w:cantSplit/>
        </w:trPr>
        <w:tc>
          <w:tcPr>
            <w:tcW w:type="dxa" w:w="450"/>
            <w:tcMar>
              <w:top w:w="80" w:type="dxa"/>
              <w:start w:w="100" w:type="dxa"/>
              <w:bottom w:w="80" w:type="dxa"/>
              <w:end w:w="100" w:type="dxa"/>
            </w:tcMar>
            <w:vAlign w:val="top"/>
            <w:shd w:fill="10264B"/>
          </w:tcPr>
          <w:p>
            <w:pPr>
              <w:spacing w:after="0" w:line="240" w:lineRule="auto"/>
            </w:pPr>
            <w:r/>
            <w:r>
              <w:rPr>
                <w:rFonts w:ascii="Calibri" w:hAnsi="Calibri"/>
                <w:b/>
                <w:color w:val="FFFFFF"/>
                <w:sz w:val="18"/>
              </w:rPr>
              <w:t>#</w:t>
            </w:r>
          </w:p>
        </w:tc>
        <w:tc>
          <w:tcPr>
            <w:tcW w:type="dxa" w:w="5200"/>
            <w:tcMar>
              <w:top w:w="80" w:type="dxa"/>
              <w:start w:w="100" w:type="dxa"/>
              <w:bottom w:w="80" w:type="dxa"/>
              <w:end w:w="100" w:type="dxa"/>
            </w:tcMar>
            <w:vAlign w:val="top"/>
            <w:shd w:fill="10264B"/>
          </w:tcPr>
          <w:p>
            <w:pPr>
              <w:spacing w:after="0" w:line="240" w:lineRule="auto"/>
            </w:pPr>
            <w:r/>
            <w:r>
              <w:rPr>
                <w:rFonts w:ascii="Calibri" w:hAnsi="Calibri"/>
                <w:b/>
                <w:color w:val="FFFFFF"/>
                <w:sz w:val="18"/>
              </w:rPr>
              <w:t>Title</w:t>
            </w:r>
          </w:p>
        </w:tc>
        <w:tc>
          <w:tcPr>
            <w:tcW w:type="dxa" w:w="2200"/>
            <w:tcMar>
              <w:top w:w="80" w:type="dxa"/>
              <w:start w:w="100" w:type="dxa"/>
              <w:bottom w:w="80" w:type="dxa"/>
              <w:end w:w="100" w:type="dxa"/>
            </w:tcMar>
            <w:vAlign w:val="top"/>
            <w:shd w:fill="10264B"/>
          </w:tcPr>
          <w:p>
            <w:pPr>
              <w:spacing w:after="0" w:line="240" w:lineRule="auto"/>
            </w:pPr>
            <w:r/>
            <w:r>
              <w:rPr>
                <w:rFonts w:ascii="Calibri" w:hAnsi="Calibri"/>
                <w:b/>
                <w:color w:val="FFFFFF"/>
                <w:sz w:val="18"/>
              </w:rPr>
              <w:t>Thumbnail</w:t>
            </w:r>
          </w:p>
        </w:tc>
        <w:tc>
          <w:tcPr>
            <w:tcW w:type="dxa" w:w="1510"/>
            <w:tcMar>
              <w:top w:w="80" w:type="dxa"/>
              <w:start w:w="100" w:type="dxa"/>
              <w:bottom w:w="80" w:type="dxa"/>
              <w:end w:w="100" w:type="dxa"/>
            </w:tcMar>
            <w:vAlign w:val="top"/>
            <w:shd w:fill="10264B"/>
          </w:tcPr>
          <w:p>
            <w:pPr>
              <w:spacing w:after="0" w:line="240" w:lineRule="auto"/>
            </w:pPr>
            <w:r/>
            <w:r>
              <w:rPr>
                <w:rFonts w:ascii="Calibri" w:hAnsi="Calibri"/>
                <w:b/>
                <w:color w:val="FFFFFF"/>
                <w:sz w:val="18"/>
              </w:rPr>
              <w:t>CTA</w:t>
            </w:r>
          </w:p>
        </w:tc>
      </w:tr>
      <w:tr>
        <w:trPr>
          <w:cantSplit/>
        </w:trPr>
        <w:tc>
          <w:tcPr>
            <w:tcW w:type="dxa" w:w="450"/>
            <w:tcMar>
              <w:top w:w="80" w:type="dxa"/>
              <w:start w:w="100" w:type="dxa"/>
              <w:bottom w:w="80" w:type="dxa"/>
              <w:end w:w="100" w:type="dxa"/>
            </w:tcMar>
            <w:vAlign w:val="top"/>
          </w:tcPr>
          <w:p>
            <w:pPr>
              <w:spacing w:before="0" w:after="30" w:line="245" w:lineRule="auto"/>
            </w:pPr>
            <w:r>
              <w:rPr>
                <w:rFonts w:ascii="Calibri" w:hAnsi="Calibri"/>
                <w:color w:val="18263A"/>
                <w:sz w:val="18"/>
              </w:rPr>
              <w:t>1</w:t>
            </w:r>
          </w:p>
        </w:tc>
        <w:tc>
          <w:tcPr>
            <w:tcW w:type="dxa" w:w="5200"/>
            <w:tcMar>
              <w:top w:w="80" w:type="dxa"/>
              <w:start w:w="100" w:type="dxa"/>
              <w:bottom w:w="80" w:type="dxa"/>
              <w:end w:w="100" w:type="dxa"/>
            </w:tcMar>
            <w:vAlign w:val="top"/>
          </w:tcPr>
          <w:p>
            <w:pPr>
              <w:spacing w:before="0" w:after="30" w:line="245" w:lineRule="auto"/>
            </w:pPr>
            <w:r>
              <w:rPr>
                <w:rFonts w:ascii="Calibri" w:hAnsi="Calibri"/>
                <w:color w:val="18263A"/>
                <w:sz w:val="18"/>
              </w:rPr>
              <w:t>How to Change Jobs Without Starting Your Career Over</w:t>
            </w:r>
          </w:p>
        </w:tc>
        <w:tc>
          <w:tcPr>
            <w:tcW w:type="dxa" w:w="2200"/>
            <w:tcMar>
              <w:top w:w="80" w:type="dxa"/>
              <w:start w:w="100" w:type="dxa"/>
              <w:bottom w:w="80" w:type="dxa"/>
              <w:end w:w="100" w:type="dxa"/>
            </w:tcMar>
            <w:vAlign w:val="top"/>
          </w:tcPr>
          <w:p>
            <w:pPr>
              <w:spacing w:before="0" w:after="30" w:line="245" w:lineRule="auto"/>
            </w:pPr>
            <w:r>
              <w:rPr>
                <w:rFonts w:ascii="Calibri" w:hAnsi="Calibri"/>
                <w:color w:val="18263A"/>
                <w:sz w:val="18"/>
              </w:rPr>
              <w:t>DON’T START FROM ZERO</w:t>
            </w:r>
          </w:p>
        </w:tc>
        <w:tc>
          <w:tcPr>
            <w:tcW w:type="dxa" w:w="1510"/>
            <w:tcMar>
              <w:top w:w="80" w:type="dxa"/>
              <w:start w:w="100" w:type="dxa"/>
              <w:bottom w:w="80" w:type="dxa"/>
              <w:end w:w="100" w:type="dxa"/>
            </w:tcMar>
            <w:vAlign w:val="top"/>
          </w:tcPr>
          <w:p>
            <w:pPr>
              <w:spacing w:before="0" w:after="30" w:line="245" w:lineRule="auto"/>
            </w:pPr>
            <w:r>
              <w:rPr>
                <w:rFonts w:ascii="Calibri" w:hAnsi="Calibri"/>
                <w:color w:val="18263A"/>
                <w:sz w:val="18"/>
              </w:rPr>
              <w:t>Field Kit</w:t>
            </w:r>
          </w:p>
        </w:tc>
      </w:tr>
      <w:tr>
        <w:trPr>
          <w:cantSplit/>
        </w:trPr>
        <w:tc>
          <w:tcPr>
            <w:tcW w:type="dxa" w:w="45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2</w:t>
            </w:r>
          </w:p>
        </w:tc>
        <w:tc>
          <w:tcPr>
            <w:tcW w:type="dxa" w:w="520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Is Your Job Making You Less Marketable?</w:t>
            </w:r>
          </w:p>
        </w:tc>
        <w:tc>
          <w:tcPr>
            <w:tcW w:type="dxa" w:w="220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YOUR SKILLS ARE STALLING</w:t>
            </w:r>
          </w:p>
        </w:tc>
        <w:tc>
          <w:tcPr>
            <w:tcW w:type="dxa" w:w="151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Field Kit</w:t>
            </w:r>
          </w:p>
        </w:tc>
      </w:tr>
      <w:tr>
        <w:trPr>
          <w:cantSplit/>
        </w:trPr>
        <w:tc>
          <w:tcPr>
            <w:tcW w:type="dxa" w:w="450"/>
            <w:tcMar>
              <w:top w:w="80" w:type="dxa"/>
              <w:start w:w="100" w:type="dxa"/>
              <w:bottom w:w="80" w:type="dxa"/>
              <w:end w:w="100" w:type="dxa"/>
            </w:tcMar>
            <w:vAlign w:val="top"/>
          </w:tcPr>
          <w:p>
            <w:pPr>
              <w:spacing w:before="0" w:after="30" w:line="245" w:lineRule="auto"/>
            </w:pPr>
            <w:r>
              <w:rPr>
                <w:rFonts w:ascii="Calibri" w:hAnsi="Calibri"/>
                <w:color w:val="18263A"/>
                <w:sz w:val="18"/>
              </w:rPr>
              <w:t>3</w:t>
            </w:r>
          </w:p>
        </w:tc>
        <w:tc>
          <w:tcPr>
            <w:tcW w:type="dxa" w:w="5200"/>
            <w:tcMar>
              <w:top w:w="80" w:type="dxa"/>
              <w:start w:w="100" w:type="dxa"/>
              <w:bottom w:w="80" w:type="dxa"/>
              <w:end w:w="100" w:type="dxa"/>
            </w:tcMar>
            <w:vAlign w:val="top"/>
          </w:tcPr>
          <w:p>
            <w:pPr>
              <w:spacing w:before="0" w:after="30" w:line="245" w:lineRule="auto"/>
            </w:pPr>
            <w:r>
              <w:rPr>
                <w:rFonts w:ascii="Calibri" w:hAnsi="Calibri"/>
                <w:color w:val="18263A"/>
                <w:sz w:val="18"/>
              </w:rPr>
              <w:t>3 Things to Do Before Quitting Your Job</w:t>
            </w:r>
          </w:p>
        </w:tc>
        <w:tc>
          <w:tcPr>
            <w:tcW w:type="dxa" w:w="2200"/>
            <w:tcMar>
              <w:top w:w="80" w:type="dxa"/>
              <w:start w:w="100" w:type="dxa"/>
              <w:bottom w:w="80" w:type="dxa"/>
              <w:end w:w="100" w:type="dxa"/>
            </w:tcMar>
            <w:vAlign w:val="top"/>
          </w:tcPr>
          <w:p>
            <w:pPr>
              <w:spacing w:before="0" w:after="30" w:line="245" w:lineRule="auto"/>
            </w:pPr>
            <w:r>
              <w:rPr>
                <w:rFonts w:ascii="Calibri" w:hAnsi="Calibri"/>
                <w:color w:val="18263A"/>
                <w:sz w:val="18"/>
              </w:rPr>
              <w:t>WAIT BEFORE YOU QUIT</w:t>
            </w:r>
          </w:p>
        </w:tc>
        <w:tc>
          <w:tcPr>
            <w:tcW w:type="dxa" w:w="1510"/>
            <w:tcMar>
              <w:top w:w="80" w:type="dxa"/>
              <w:start w:w="100" w:type="dxa"/>
              <w:bottom w:w="80" w:type="dxa"/>
              <w:end w:w="100" w:type="dxa"/>
            </w:tcMar>
            <w:vAlign w:val="top"/>
          </w:tcPr>
          <w:p>
            <w:pPr>
              <w:spacing w:before="0" w:after="30" w:line="245" w:lineRule="auto"/>
            </w:pPr>
            <w:r>
              <w:rPr>
                <w:rFonts w:ascii="Calibri" w:hAnsi="Calibri"/>
                <w:color w:val="18263A"/>
                <w:sz w:val="18"/>
              </w:rPr>
              <w:t>Decision Check</w:t>
            </w:r>
          </w:p>
        </w:tc>
      </w:tr>
      <w:tr>
        <w:trPr>
          <w:cantSplit/>
        </w:trPr>
        <w:tc>
          <w:tcPr>
            <w:tcW w:type="dxa" w:w="45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4</w:t>
            </w:r>
          </w:p>
        </w:tc>
        <w:tc>
          <w:tcPr>
            <w:tcW w:type="dxa" w:w="520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How to Explain a Nonlinear Career Without Looking Unfocused</w:t>
            </w:r>
          </w:p>
        </w:tc>
        <w:tc>
          <w:tcPr>
            <w:tcW w:type="dxa" w:w="220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YOUR CAREER MAKES SENSE</w:t>
            </w:r>
          </w:p>
        </w:tc>
        <w:tc>
          <w:tcPr>
            <w:tcW w:type="dxa" w:w="151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Keep the Proof</w:t>
            </w:r>
          </w:p>
        </w:tc>
      </w:tr>
      <w:tr>
        <w:trPr>
          <w:cantSplit/>
        </w:trPr>
        <w:tc>
          <w:tcPr>
            <w:tcW w:type="dxa" w:w="450"/>
            <w:tcMar>
              <w:top w:w="80" w:type="dxa"/>
              <w:start w:w="100" w:type="dxa"/>
              <w:bottom w:w="80" w:type="dxa"/>
              <w:end w:w="100" w:type="dxa"/>
            </w:tcMar>
            <w:vAlign w:val="top"/>
          </w:tcPr>
          <w:p>
            <w:pPr>
              <w:spacing w:before="0" w:after="30" w:line="245" w:lineRule="auto"/>
            </w:pPr>
            <w:r>
              <w:rPr>
                <w:rFonts w:ascii="Calibri" w:hAnsi="Calibri"/>
                <w:color w:val="18263A"/>
                <w:sz w:val="18"/>
              </w:rPr>
              <w:t>5</w:t>
            </w:r>
          </w:p>
        </w:tc>
        <w:tc>
          <w:tcPr>
            <w:tcW w:type="dxa" w:w="5200"/>
            <w:tcMar>
              <w:top w:w="80" w:type="dxa"/>
              <w:start w:w="100" w:type="dxa"/>
              <w:bottom w:w="80" w:type="dxa"/>
              <w:end w:w="100" w:type="dxa"/>
            </w:tcMar>
            <w:vAlign w:val="top"/>
          </w:tcPr>
          <w:p>
            <w:pPr>
              <w:spacing w:before="0" w:after="30" w:line="245" w:lineRule="auto"/>
            </w:pPr>
            <w:r>
              <w:rPr>
                <w:rFonts w:ascii="Calibri" w:hAnsi="Calibri"/>
                <w:color w:val="18263A"/>
                <w:sz w:val="18"/>
              </w:rPr>
              <w:t>Should I Make an Internal Move? 3 Questions to Decide</w:t>
            </w:r>
          </w:p>
        </w:tc>
        <w:tc>
          <w:tcPr>
            <w:tcW w:type="dxa" w:w="2200"/>
            <w:tcMar>
              <w:top w:w="80" w:type="dxa"/>
              <w:start w:w="100" w:type="dxa"/>
              <w:bottom w:w="80" w:type="dxa"/>
              <w:end w:w="100" w:type="dxa"/>
            </w:tcMar>
            <w:vAlign w:val="top"/>
          </w:tcPr>
          <w:p>
            <w:pPr>
              <w:spacing w:before="0" w:after="30" w:line="245" w:lineRule="auto"/>
            </w:pPr>
            <w:r>
              <w:rPr>
                <w:rFonts w:ascii="Calibri" w:hAnsi="Calibri"/>
                <w:color w:val="18263A"/>
                <w:sz w:val="18"/>
              </w:rPr>
              <w:t>YOU MAY NOT NEED TO LEAVE</w:t>
            </w:r>
          </w:p>
        </w:tc>
        <w:tc>
          <w:tcPr>
            <w:tcW w:type="dxa" w:w="1510"/>
            <w:tcMar>
              <w:top w:w="80" w:type="dxa"/>
              <w:start w:w="100" w:type="dxa"/>
              <w:bottom w:w="80" w:type="dxa"/>
              <w:end w:w="100" w:type="dxa"/>
            </w:tcMar>
            <w:vAlign w:val="top"/>
          </w:tcPr>
          <w:p>
            <w:pPr>
              <w:spacing w:before="0" w:after="30" w:line="245" w:lineRule="auto"/>
            </w:pPr>
            <w:r>
              <w:rPr>
                <w:rFonts w:ascii="Calibri" w:hAnsi="Calibri"/>
                <w:color w:val="18263A"/>
                <w:sz w:val="18"/>
              </w:rPr>
              <w:t>Decision Check</w:t>
            </w:r>
          </w:p>
        </w:tc>
      </w:tr>
      <w:tr>
        <w:trPr>
          <w:cantSplit/>
        </w:trPr>
        <w:tc>
          <w:tcPr>
            <w:tcW w:type="dxa" w:w="45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6</w:t>
            </w:r>
          </w:p>
        </w:tc>
        <w:tc>
          <w:tcPr>
            <w:tcW w:type="dxa" w:w="520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Are You Growing—or Just Being Given More Work?</w:t>
            </w:r>
          </w:p>
        </w:tc>
        <w:tc>
          <w:tcPr>
            <w:tcW w:type="dxa" w:w="220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MORE WORK ≠ GROWTH</w:t>
            </w:r>
          </w:p>
        </w:tc>
        <w:tc>
          <w:tcPr>
            <w:tcW w:type="dxa" w:w="1510"/>
            <w:tcMar>
              <w:top w:w="80" w:type="dxa"/>
              <w:start w:w="100" w:type="dxa"/>
              <w:bottom w:w="80" w:type="dxa"/>
              <w:end w:w="100" w:type="dxa"/>
            </w:tcMar>
            <w:vAlign w:val="top"/>
            <w:shd w:fill="F3F5F7"/>
          </w:tcPr>
          <w:p>
            <w:pPr>
              <w:spacing w:before="0" w:after="30" w:line="245" w:lineRule="auto"/>
            </w:pPr>
            <w:r>
              <w:rPr>
                <w:rFonts w:ascii="Calibri" w:hAnsi="Calibri"/>
                <w:color w:val="18263A"/>
                <w:sz w:val="18"/>
              </w:rPr>
              <w:t>Field Kit</w:t>
            </w:r>
          </w:p>
        </w:tc>
      </w:tr>
    </w:tbl>
    <w:p>
      <w:pPr>
        <w:spacing w:after="0"/>
      </w:pPr>
    </w:p>
    <w:p>
      <w:pPr>
        <w:pStyle w:val="Heading2"/>
        <w:keepNext/>
      </w:pPr>
      <w:r>
        <w:rPr>
          <w:rFonts w:ascii="Calibri" w:hAnsi="Calibri"/>
          <w:b/>
          <w:color w:val="10264B"/>
          <w:sz w:val="26"/>
        </w:rPr>
        <w:t>Strongest stories and proof</w:t>
      </w:r>
    </w:p>
    <w:p>
      <w:pPr>
        <w:keepLines w:val="0"/>
        <w:spacing w:before="0" w:after="120" w:line="300" w:lineRule="auto"/>
      </w:pPr>
      <w:r>
        <w:rPr>
          <w:rFonts w:ascii="Calibri" w:hAnsi="Calibri"/>
          <w:i w:val="0"/>
          <w:color w:val="18263A"/>
          <w:sz w:val="22"/>
        </w:rPr>
        <w:t>Use the nonlinear “cat with nine lives” path; 18 years across eight industries/sectors; three Big Four firms; Deloitte hiring Temidayo three times; maternity return and scope expansion; NABA and Black Employee Network work before formal DEI; CISM preparation and IAPP learning; internal visibility through cross-functional work and executive 1:1s; and the confirmed retention/turnover outcomes only after their exact attribution is documented.</w:t>
      </w:r>
    </w:p>
    <w:p>
      <w:pPr>
        <w:pStyle w:val="Heading2"/>
        <w:keepNext/>
      </w:pPr>
      <w:r>
        <w:rPr>
          <w:rFonts w:ascii="Calibri" w:hAnsi="Calibri"/>
          <w:b/>
          <w:color w:val="10264B"/>
          <w:sz w:val="26"/>
        </w:rPr>
        <w:t>Missing facts</w:t>
      </w:r>
    </w:p>
    <w:p>
      <w:pPr>
        <w:keepLines w:val="0"/>
        <w:spacing w:before="0" w:after="120" w:line="300" w:lineRule="auto"/>
      </w:pPr>
      <w:r>
        <w:rPr>
          <w:rFonts w:ascii="Calibri" w:hAnsi="Calibri"/>
          <w:i w:val="0"/>
          <w:color w:val="18263A"/>
          <w:sz w:val="22"/>
        </w:rPr>
        <w:t>The highest-priority gaps are the exact role/result behind the retention and avoided-turnover metrics; the causal sequence in the maternity-return chapter; the specific first-in-role story; one AI/accountability example; the nature of Temidayo’s consulting experience; and the exact scenes behind blocked visibility, flatter organizations and senior growth.</w:t>
      </w:r>
    </w:p>
    <w:p>
      <w:pPr>
        <w:pStyle w:val="Heading2"/>
        <w:keepNext/>
      </w:pPr>
      <w:r>
        <w:rPr>
          <w:rFonts w:ascii="Calibri" w:hAnsi="Calibri"/>
          <w:b/>
          <w:color w:val="10264B"/>
          <w:sz w:val="26"/>
        </w:rPr>
        <w:t>Five LinkedIn implications</w:t>
      </w:r>
    </w:p>
    <w:p>
      <w:pPr>
        <w:keepLines w:val="0"/>
        <w:spacing w:before="0" w:after="120" w:line="300" w:lineRule="auto"/>
      </w:pPr>
      <w:r>
        <w:rPr>
          <w:rFonts w:ascii="Calibri" w:hAnsi="Calibri"/>
          <w:i w:val="0"/>
          <w:color w:val="18263A"/>
          <w:sz w:val="22"/>
        </w:rPr>
        <w:t>Use specific scenes; isolate one proof fact per post; lead with senior recognition and legitimate tension; teach permitted evidence boundaries; and connect the weekly post sequence to the Thursday YouTube video without forcing native short video.</w:t>
      </w:r>
    </w:p>
    <w:p>
      <w:pPr>
        <w:pStyle w:val="Heading2"/>
        <w:keepNext/>
      </w:pPr>
      <w:r>
        <w:rPr>
          <w:rFonts w:ascii="Calibri" w:hAnsi="Calibri"/>
          <w:b/>
          <w:color w:val="10264B"/>
          <w:sz w:val="26"/>
        </w:rPr>
        <w:t>Three book-platform implications</w:t>
      </w:r>
    </w:p>
    <w:p>
      <w:pPr>
        <w:keepLines w:val="0"/>
        <w:spacing w:before="0" w:after="120" w:line="300" w:lineRule="auto"/>
      </w:pPr>
      <w:r>
        <w:rPr>
          <w:rFonts w:ascii="Calibri" w:hAnsi="Calibri"/>
          <w:i w:val="0"/>
          <w:color w:val="18263A"/>
          <w:sz w:val="22"/>
        </w:rPr>
        <w:t>Center the experienced worker whose judgment is formed but hard to see; use the six-part portability method as the book spine; and reserve apprenticeship, middle-management and AI organization-design questions for The Capability Audit and speaking platform.</w:t>
      </w:r>
    </w:p>
    <w:p>
      <w:pPr>
        <w:pStyle w:val="Heading2"/>
        <w:keepNext/>
      </w:pPr>
      <w:r>
        <w:rPr>
          <w:rFonts w:ascii="Calibri" w:hAnsi="Calibri"/>
          <w:b/>
          <w:color w:val="10264B"/>
          <w:sz w:val="26"/>
        </w:rPr>
        <w:t>Candid final judgment</w:t>
      </w:r>
    </w:p>
    <w:tbl>
      <w:tblPr>
        <w:tblW w:type="dxa" w:w="9360"/>
        <w:jc w:val="center"/>
        <w:tblLook w:firstColumn="1" w:firstRow="1" w:lastColumn="0" w:lastRow="0" w:noHBand="0" w:noVBand="1" w:val="04A0"/>
        <w:tblLayout w:type="fixed"/>
        <w:tblInd w:w="0" w:type="dxa"/>
        <w:tblBorders>
          <w:top w:val="single" w:sz="0" w:space="0" w:color="F7F3EA"/>
          <w:left w:val="single" w:sz="0" w:space="0" w:color="F7F3EA"/>
          <w:bottom w:val="single" w:sz="0" w:space="0" w:color="F7F3EA"/>
          <w:right w:val="single" w:sz="0" w:space="0" w:color="F7F3EA"/>
          <w:insideH w:val="single" w:sz="0" w:space="0" w:color="F7F3EA"/>
          <w:insideV w:val="single" w:sz="0" w:space="0" w:color="F7F3EA"/>
        </w:tblBorders>
      </w:tblPr>
      <w:tblGrid>
        <w:gridCol w:w="180"/>
        <w:gridCol w:w="9180"/>
      </w:tblGrid>
      <w:tr>
        <w:trPr>
          <w:cantSplit/>
        </w:trPr>
        <w:tc>
          <w:tcPr>
            <w:tcW w:type="dxa" w:w="180"/>
            <w:tcMar>
              <w:top w:w="100" w:type="dxa"/>
              <w:start w:w="0" w:type="dxa"/>
              <w:bottom w:w="100" w:type="dxa"/>
              <w:end w:w="0" w:type="dxa"/>
            </w:tcMar>
            <w:vAlign w:val="top"/>
            <w:shd w:fill="C6A646"/>
          </w:tcPr>
          <w:p/>
        </w:tc>
        <w:tc>
          <w:tcPr>
            <w:tcW w:type="dxa" w:w="9180"/>
            <w:tcMar>
              <w:top w:w="130" w:type="dxa"/>
              <w:start w:w="160" w:type="dxa"/>
              <w:bottom w:w="130" w:type="dxa"/>
              <w:end w:w="160" w:type="dxa"/>
            </w:tcMar>
            <w:vAlign w:val="top"/>
            <w:shd w:fill="F7F3EA"/>
          </w:tcPr>
          <w:p>
            <w:pPr>
              <w:spacing w:after="60"/>
            </w:pPr>
            <w:r>
              <w:rPr>
                <w:rFonts w:ascii="Calibri" w:hAnsi="Calibri"/>
                <w:b/>
                <w:color w:val="C6A646"/>
                <w:sz w:val="18"/>
              </w:rPr>
              <w:t>DOES THIS STRATEGY TRULY SERVE THE AUDIENCE?</w:t>
            </w:r>
          </w:p>
          <w:p>
            <w:pPr>
              <w:spacing w:after="0" w:line="276" w:lineRule="auto"/>
            </w:pPr>
            <w:r>
              <w:rPr>
                <w:rFonts w:ascii="Calibri" w:hAnsi="Calibri"/>
                <w:color w:val="18263A"/>
                <w:sz w:val="19"/>
              </w:rPr>
              <w:t>Yes—if it tells the truth that experience is neither automatically portable nor obsolete. It must respect the cost of moving, name structural friction, show Temidayo’s evidence early and help the viewer decide what travels and what must be learned. It will fail if career portability becomes generic pivot advice, if every topic routes to the same product, or if AI/search terms displace the senior-career problems that make Temidayo’s authority unusual.</w:t>
            </w:r>
          </w:p>
        </w:tc>
      </w:tr>
    </w:tbl>
    <w:p>
      <w:pPr>
        <w:sectPr>
          <w:headerReference w:type="default" r:id="rId23"/>
          <w:footerReference w:type="default" r:id="rId24"/>
          <w:pgSz w:w="12240" w:h="15840"/>
          <w:pgMar w:top="835" w:right="1267" w:bottom="835" w:left="1267" w:header="605" w:footer="605" w:gutter="0"/>
          <w:cols w:space="720"/>
          <w:docGrid w:linePitch="360"/>
        </w:sectPr>
      </w:pPr>
    </w:p>
    <w:p>
      <w:pPr>
        <w:keepNext/>
        <w:spacing w:after="60"/>
      </w:pPr>
      <w:r>
        <w:rPr>
          <w:rFonts w:ascii="Calibri" w:hAnsi="Calibri"/>
          <w:b/>
          <w:color w:val="C6A646"/>
          <w:sz w:val="18"/>
        </w:rPr>
        <w:t>APPENDIX A  /  QUALITATIVE DISCUSSION SCAN</w:t>
      </w:r>
    </w:p>
    <w:p>
      <w:pPr>
        <w:pStyle w:val="Heading1"/>
        <w:keepNext/>
      </w:pPr>
      <w:r>
        <w:rPr>
          <w:rFonts w:ascii="Calibri" w:hAnsi="Calibri"/>
          <w:b/>
          <w:color w:val="10264B"/>
          <w:sz w:val="32"/>
        </w:rPr>
        <w:t>Nineteen discussions: pain, language, stage, trigger, stakes and editorial implication</w:t>
      </w:r>
    </w:p>
    <w:p>
      <w:pPr>
        <w:keepLines w:val="0"/>
        <w:spacing w:before="0" w:after="160" w:line="300" w:lineRule="auto"/>
      </w:pPr>
      <w:r>
        <w:rPr>
          <w:rFonts w:ascii="Calibri" w:hAnsi="Calibri"/>
          <w:i w:val="0"/>
          <w:color w:val="18263A"/>
          <w:sz w:val="18"/>
        </w:rPr>
        <w:t>Each row records the ten requested research dimensions. Language is paraphrased; usernames are excluded. “Repeated” means the issue appeared across several reviewed discussions, not that the sample establishes market prevalence.</w:t>
      </w:r>
    </w:p>
    <w:tbl>
      <w:tblPr>
        <w:tblW w:type="dxa" w:w="11400"/>
        <w:jc w:val="center"/>
        <w:tblLook w:firstColumn="1" w:firstRow="1" w:lastColumn="0" w:lastRow="0" w:noHBand="0" w:noVBand="1" w:val="04A0"/>
        <w:tblLayout w:type="fixed"/>
        <w:tblInd w:w="120" w:type="dxa"/>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Pr>
      <w:tblGrid>
        <w:gridCol w:w="1100"/>
        <w:gridCol w:w="930"/>
        <w:gridCol w:w="1530"/>
        <w:gridCol w:w="910"/>
        <w:gridCol w:w="850"/>
        <w:gridCol w:w="1250"/>
        <w:gridCol w:w="1450"/>
        <w:gridCol w:w="1050"/>
        <w:gridCol w:w="1440"/>
        <w:gridCol w:w="890"/>
      </w:tblGrid>
      <w:tr>
        <w:trPr>
          <w:tblHeader w:val="true"/>
          <w:cantSplit/>
        </w:trPr>
        <w:tc>
          <w:tcPr>
            <w:tcW w:type="dxa" w:w="1100"/>
            <w:tcMar>
              <w:top w:w="42" w:type="dxa"/>
              <w:start w:w="64" w:type="dxa"/>
              <w:bottom w:w="42" w:type="dxa"/>
              <w:end w:w="64" w:type="dxa"/>
            </w:tcMar>
            <w:vAlign w:val="top"/>
            <w:shd w:fill="10264B"/>
          </w:tcPr>
          <w:p>
            <w:pPr>
              <w:spacing w:after="10" w:line="230" w:lineRule="auto"/>
            </w:pPr>
            <w:r/>
            <w:r>
              <w:rPr>
                <w:rFonts w:ascii="Calibri" w:hAnsi="Calibri"/>
                <w:b/>
                <w:color w:val="FFFFFF"/>
                <w:sz w:val="13"/>
              </w:rPr>
              <w:t>Source</w:t>
            </w:r>
          </w:p>
        </w:tc>
        <w:tc>
          <w:tcPr>
            <w:tcW w:type="dxa" w:w="930"/>
            <w:tcMar>
              <w:top w:w="42" w:type="dxa"/>
              <w:start w:w="64" w:type="dxa"/>
              <w:bottom w:w="42" w:type="dxa"/>
              <w:end w:w="64" w:type="dxa"/>
            </w:tcMar>
            <w:vAlign w:val="top"/>
            <w:shd w:fill="10264B"/>
          </w:tcPr>
          <w:p>
            <w:pPr>
              <w:spacing w:after="10" w:line="230" w:lineRule="auto"/>
            </w:pPr>
            <w:r/>
            <w:r>
              <w:rPr>
                <w:rFonts w:ascii="Calibri" w:hAnsi="Calibri"/>
                <w:b/>
                <w:color w:val="FFFFFF"/>
                <w:sz w:val="13"/>
              </w:rPr>
              <w:t>Stage</w:t>
            </w:r>
          </w:p>
        </w:tc>
        <w:tc>
          <w:tcPr>
            <w:tcW w:type="dxa" w:w="1530"/>
            <w:tcMar>
              <w:top w:w="42" w:type="dxa"/>
              <w:start w:w="64" w:type="dxa"/>
              <w:bottom w:w="42" w:type="dxa"/>
              <w:end w:w="64" w:type="dxa"/>
            </w:tcMar>
            <w:vAlign w:val="top"/>
            <w:shd w:fill="10264B"/>
          </w:tcPr>
          <w:p>
            <w:pPr>
              <w:spacing w:after="10" w:line="230" w:lineRule="auto"/>
            </w:pPr>
            <w:r/>
            <w:r>
              <w:rPr>
                <w:rFonts w:ascii="Calibri" w:hAnsi="Calibri"/>
                <w:b/>
                <w:color w:val="FFFFFF"/>
                <w:sz w:val="13"/>
              </w:rPr>
              <w:t>Pain / language</w:t>
            </w:r>
          </w:p>
        </w:tc>
        <w:tc>
          <w:tcPr>
            <w:tcW w:type="dxa" w:w="910"/>
            <w:tcMar>
              <w:top w:w="42" w:type="dxa"/>
              <w:start w:w="64" w:type="dxa"/>
              <w:bottom w:w="42" w:type="dxa"/>
              <w:end w:w="64" w:type="dxa"/>
            </w:tcMar>
            <w:vAlign w:val="top"/>
            <w:shd w:fill="10264B"/>
          </w:tcPr>
          <w:p>
            <w:pPr>
              <w:spacing w:after="10" w:line="230" w:lineRule="auto"/>
            </w:pPr>
            <w:r/>
            <w:r>
              <w:rPr>
                <w:rFonts w:ascii="Calibri" w:hAnsi="Calibri"/>
                <w:b/>
                <w:color w:val="FFFFFF"/>
                <w:sz w:val="13"/>
              </w:rPr>
              <w:t>Trigger</w:t>
            </w:r>
          </w:p>
        </w:tc>
        <w:tc>
          <w:tcPr>
            <w:tcW w:type="dxa" w:w="850"/>
            <w:tcMar>
              <w:top w:w="42" w:type="dxa"/>
              <w:start w:w="64" w:type="dxa"/>
              <w:bottom w:w="42" w:type="dxa"/>
              <w:end w:w="64" w:type="dxa"/>
            </w:tcMar>
            <w:vAlign w:val="top"/>
            <w:shd w:fill="10264B"/>
          </w:tcPr>
          <w:p>
            <w:pPr>
              <w:spacing w:after="10" w:line="230" w:lineRule="auto"/>
            </w:pPr>
            <w:r/>
            <w:r>
              <w:rPr>
                <w:rFonts w:ascii="Calibri" w:hAnsi="Calibri"/>
                <w:b/>
                <w:color w:val="FFFFFF"/>
                <w:sz w:val="13"/>
              </w:rPr>
              <w:t>Fear</w:t>
            </w:r>
          </w:p>
        </w:tc>
        <w:tc>
          <w:tcPr>
            <w:tcW w:type="dxa" w:w="1250"/>
            <w:tcMar>
              <w:top w:w="42" w:type="dxa"/>
              <w:start w:w="64" w:type="dxa"/>
              <w:bottom w:w="42" w:type="dxa"/>
              <w:end w:w="64" w:type="dxa"/>
            </w:tcMar>
            <w:vAlign w:val="top"/>
            <w:shd w:fill="10264B"/>
          </w:tcPr>
          <w:p>
            <w:pPr>
              <w:spacing w:after="10" w:line="230" w:lineRule="auto"/>
            </w:pPr>
            <w:r/>
            <w:r>
              <w:rPr>
                <w:rFonts w:ascii="Calibri" w:hAnsi="Calibri"/>
                <w:b/>
                <w:color w:val="FFFFFF"/>
                <w:sz w:val="13"/>
              </w:rPr>
              <w:t>Options / advice</w:t>
            </w:r>
          </w:p>
        </w:tc>
        <w:tc>
          <w:tcPr>
            <w:tcW w:type="dxa" w:w="1450"/>
            <w:tcMar>
              <w:top w:w="42" w:type="dxa"/>
              <w:start w:w="64" w:type="dxa"/>
              <w:bottom w:w="42" w:type="dxa"/>
              <w:end w:w="64" w:type="dxa"/>
            </w:tcMar>
            <w:vAlign w:val="top"/>
            <w:shd w:fill="10264B"/>
          </w:tcPr>
          <w:p>
            <w:pPr>
              <w:spacing w:after="10" w:line="230" w:lineRule="auto"/>
            </w:pPr>
            <w:r/>
            <w:r>
              <w:rPr>
                <w:rFonts w:ascii="Calibri" w:hAnsi="Calibri"/>
                <w:b/>
                <w:color w:val="FFFFFF"/>
                <w:sz w:val="13"/>
              </w:rPr>
              <w:t>Advice gap</w:t>
            </w:r>
          </w:p>
        </w:tc>
        <w:tc>
          <w:tcPr>
            <w:tcW w:type="dxa" w:w="1050"/>
            <w:tcMar>
              <w:top w:w="42" w:type="dxa"/>
              <w:start w:w="64" w:type="dxa"/>
              <w:bottom w:w="42" w:type="dxa"/>
              <w:end w:w="64" w:type="dxa"/>
            </w:tcMar>
            <w:vAlign w:val="top"/>
            <w:shd w:fill="10264B"/>
          </w:tcPr>
          <w:p>
            <w:pPr>
              <w:spacing w:after="10" w:line="230" w:lineRule="auto"/>
            </w:pPr>
            <w:r/>
            <w:r>
              <w:rPr>
                <w:rFonts w:ascii="Calibri" w:hAnsi="Calibri"/>
                <w:b/>
                <w:color w:val="FFFFFF"/>
                <w:sz w:val="13"/>
              </w:rPr>
              <w:t>Signal</w:t>
            </w:r>
          </w:p>
        </w:tc>
        <w:tc>
          <w:tcPr>
            <w:tcW w:type="dxa" w:w="1440"/>
            <w:tcMar>
              <w:top w:w="42" w:type="dxa"/>
              <w:start w:w="64" w:type="dxa"/>
              <w:bottom w:w="42" w:type="dxa"/>
              <w:end w:w="64" w:type="dxa"/>
            </w:tcMar>
            <w:vAlign w:val="top"/>
            <w:shd w:fill="10264B"/>
          </w:tcPr>
          <w:p>
            <w:pPr>
              <w:spacing w:after="10" w:line="230" w:lineRule="auto"/>
            </w:pPr>
            <w:r/>
            <w:r>
              <w:rPr>
                <w:rFonts w:ascii="Calibri" w:hAnsi="Calibri"/>
                <w:b/>
                <w:color w:val="FFFFFF"/>
                <w:sz w:val="13"/>
              </w:rPr>
              <w:t>Title implication</w:t>
            </w:r>
          </w:p>
        </w:tc>
        <w:tc>
          <w:tcPr>
            <w:tcW w:type="dxa" w:w="890"/>
            <w:tcMar>
              <w:top w:w="42" w:type="dxa"/>
              <w:start w:w="64" w:type="dxa"/>
              <w:bottom w:w="42" w:type="dxa"/>
              <w:end w:w="64" w:type="dxa"/>
            </w:tcMar>
            <w:vAlign w:val="top"/>
            <w:shd w:fill="10264B"/>
          </w:tcPr>
          <w:p>
            <w:pPr>
              <w:spacing w:after="10" w:line="230" w:lineRule="auto"/>
            </w:pPr>
            <w:r/>
            <w:r>
              <w:rPr>
                <w:rFonts w:ascii="Calibri" w:hAnsi="Calibri"/>
                <w:b/>
                <w:color w:val="FFFFFF"/>
                <w:sz w:val="13"/>
              </w:rPr>
              <w:t>Caution</w:t>
            </w:r>
          </w:p>
        </w:tc>
      </w:tr>
      <w:tr>
        <w:trPr>
          <w:cantSplit/>
        </w:trPr>
        <w:tc>
          <w:tcPr>
            <w:tcW w:type="dxa" w:w="1100"/>
            <w:tcMar>
              <w:top w:w="42" w:type="dxa"/>
              <w:start w:w="64" w:type="dxa"/>
              <w:bottom w:w="42" w:type="dxa"/>
              <w:end w:w="64" w:type="dxa"/>
            </w:tcMar>
            <w:vAlign w:val="top"/>
          </w:tcPr>
          <w:p>
            <w:pPr>
              <w:spacing w:before="0" w:after="10" w:line="230" w:lineRule="auto"/>
            </w:pPr>
            <w:r>
              <w:rPr>
                <w:rFonts w:ascii="Calibri" w:hAnsi="Calibri"/>
                <w:color w:val="18263A"/>
                <w:sz w:val="13"/>
              </w:rPr>
              <w:t>Supplied: “Now what?”</w:t>
            </w:r>
          </w:p>
        </w:tc>
        <w:tc>
          <w:tcPr>
            <w:tcW w:type="dxa" w:w="930"/>
            <w:tcMar>
              <w:top w:w="42" w:type="dxa"/>
              <w:start w:w="64" w:type="dxa"/>
              <w:bottom w:w="42" w:type="dxa"/>
              <w:end w:w="64" w:type="dxa"/>
            </w:tcMar>
            <w:vAlign w:val="top"/>
          </w:tcPr>
          <w:p>
            <w:pPr>
              <w:spacing w:before="0" w:after="10" w:line="230" w:lineRule="auto"/>
            </w:pPr>
            <w:r>
              <w:rPr>
                <w:rFonts w:ascii="Calibri" w:hAnsi="Calibri"/>
                <w:color w:val="18263A"/>
                <w:sz w:val="13"/>
              </w:rPr>
              <w:t>After layoff; experienced with AI</w:t>
            </w:r>
          </w:p>
        </w:tc>
        <w:tc>
          <w:tcPr>
            <w:tcW w:type="dxa" w:w="1530"/>
            <w:tcMar>
              <w:top w:w="42" w:type="dxa"/>
              <w:start w:w="64" w:type="dxa"/>
              <w:bottom w:w="42" w:type="dxa"/>
              <w:end w:w="64" w:type="dxa"/>
            </w:tcMar>
            <w:vAlign w:val="top"/>
          </w:tcPr>
          <w:p>
            <w:pPr>
              <w:spacing w:before="0" w:after="10" w:line="230" w:lineRule="auto"/>
            </w:pPr>
            <w:r>
              <w:rPr>
                <w:rFonts w:ascii="Calibri" w:hAnsi="Calibri"/>
                <w:color w:val="18263A"/>
                <w:sz w:val="13"/>
              </w:rPr>
              <w:t>Market and hiring changed quickly; AI skills no longer feel differentiating.</w:t>
            </w:r>
          </w:p>
        </w:tc>
        <w:tc>
          <w:tcPr>
            <w:tcW w:type="dxa" w:w="910"/>
            <w:tcMar>
              <w:top w:w="42" w:type="dxa"/>
              <w:start w:w="64" w:type="dxa"/>
              <w:bottom w:w="42" w:type="dxa"/>
              <w:end w:w="64" w:type="dxa"/>
            </w:tcMar>
            <w:vAlign w:val="top"/>
          </w:tcPr>
          <w:p>
            <w:pPr>
              <w:spacing w:before="0" w:after="10" w:line="230" w:lineRule="auto"/>
            </w:pPr>
            <w:r>
              <w:rPr>
                <w:rFonts w:ascii="Calibri" w:hAnsi="Calibri"/>
                <w:color w:val="18263A"/>
                <w:sz w:val="13"/>
              </w:rPr>
              <w:t>Job loss; rapid market shift</w:t>
            </w:r>
          </w:p>
        </w:tc>
        <w:tc>
          <w:tcPr>
            <w:tcW w:type="dxa" w:w="850"/>
            <w:tcMar>
              <w:top w:w="42" w:type="dxa"/>
              <w:start w:w="64" w:type="dxa"/>
              <w:bottom w:w="42" w:type="dxa"/>
              <w:end w:w="64" w:type="dxa"/>
            </w:tcMar>
            <w:vAlign w:val="top"/>
          </w:tcPr>
          <w:p>
            <w:pPr>
              <w:spacing w:before="0" w:after="10" w:line="230" w:lineRule="auto"/>
            </w:pPr>
            <w:r>
              <w:rPr>
                <w:rFonts w:ascii="Calibri" w:hAnsi="Calibri"/>
                <w:color w:val="18263A"/>
                <w:sz w:val="13"/>
              </w:rPr>
              <w:t>Income, identity, employability</w:t>
            </w:r>
          </w:p>
        </w:tc>
        <w:tc>
          <w:tcPr>
            <w:tcW w:type="dxa" w:w="1250"/>
            <w:tcMar>
              <w:top w:w="42" w:type="dxa"/>
              <w:start w:w="64" w:type="dxa"/>
              <w:bottom w:w="42" w:type="dxa"/>
              <w:end w:w="64" w:type="dxa"/>
            </w:tcMar>
            <w:vAlign w:val="top"/>
          </w:tcPr>
          <w:p>
            <w:pPr>
              <w:spacing w:before="0" w:after="10" w:line="230" w:lineRule="auto"/>
            </w:pPr>
            <w:r>
              <w:rPr>
                <w:rFonts w:ascii="Calibri" w:hAnsi="Calibri"/>
                <w:color w:val="18263A"/>
                <w:sz w:val="13"/>
              </w:rPr>
              <w:t>Apply, network, show AI skills</w:t>
            </w:r>
          </w:p>
        </w:tc>
        <w:tc>
          <w:tcPr>
            <w:tcW w:type="dxa" w:w="1450"/>
            <w:tcMar>
              <w:top w:w="42" w:type="dxa"/>
              <w:start w:w="64" w:type="dxa"/>
              <w:bottom w:w="42" w:type="dxa"/>
              <w:end w:w="64" w:type="dxa"/>
            </w:tcMar>
            <w:vAlign w:val="top"/>
          </w:tcPr>
          <w:p>
            <w:pPr>
              <w:spacing w:before="0" w:after="10" w:line="230" w:lineRule="auto"/>
            </w:pPr>
            <w:r>
              <w:rPr>
                <w:rFonts w:ascii="Calibri" w:hAnsi="Calibri"/>
                <w:color w:val="18263A"/>
                <w:sz w:val="13"/>
              </w:rPr>
              <w:t>Does not explain how senior judgment differs from common AI exposure.</w:t>
            </w:r>
          </w:p>
        </w:tc>
        <w:tc>
          <w:tcPr>
            <w:tcW w:type="dxa" w:w="1050"/>
            <w:tcMar>
              <w:top w:w="42" w:type="dxa"/>
              <w:start w:w="64" w:type="dxa"/>
              <w:bottom w:w="42" w:type="dxa"/>
              <w:end w:w="64" w:type="dxa"/>
            </w:tcMar>
            <w:vAlign w:val="top"/>
          </w:tcPr>
          <w:p>
            <w:pPr>
              <w:spacing w:before="0" w:after="10" w:line="230" w:lineRule="auto"/>
            </w:pPr>
            <w:r>
              <w:rPr>
                <w:rFonts w:ascii="Calibri" w:hAnsi="Calibri"/>
                <w:color w:val="18263A"/>
                <w:sz w:val="13"/>
              </w:rPr>
              <w:t>Repeated AI/layoff theme</w:t>
            </w:r>
          </w:p>
        </w:tc>
        <w:tc>
          <w:tcPr>
            <w:tcW w:type="dxa" w:w="1440"/>
            <w:tcMar>
              <w:top w:w="42" w:type="dxa"/>
              <w:start w:w="64" w:type="dxa"/>
              <w:bottom w:w="42" w:type="dxa"/>
              <w:end w:w="64" w:type="dxa"/>
            </w:tcMar>
            <w:vAlign w:val="top"/>
          </w:tcPr>
          <w:p>
            <w:pPr>
              <w:spacing w:before="0" w:after="10" w:line="230" w:lineRule="auto"/>
            </w:pPr>
            <w:r>
              <w:rPr>
                <w:rFonts w:ascii="Calibri" w:hAnsi="Calibri"/>
                <w:color w:val="18263A"/>
                <w:sz w:val="13"/>
              </w:rPr>
              <w:t>How to Stay Valuable as AI Changes Your Job</w:t>
            </w:r>
          </w:p>
        </w:tc>
        <w:tc>
          <w:tcPr>
            <w:tcW w:type="dxa" w:w="890"/>
            <w:tcMar>
              <w:top w:w="42" w:type="dxa"/>
              <w:start w:w="64" w:type="dxa"/>
              <w:bottom w:w="42" w:type="dxa"/>
              <w:end w:w="64" w:type="dxa"/>
            </w:tcMar>
            <w:vAlign w:val="top"/>
          </w:tcPr>
          <w:p>
            <w:pPr>
              <w:spacing w:before="0" w:after="10" w:line="230" w:lineRule="auto"/>
            </w:pPr>
            <w:r>
              <w:rPr>
                <w:rFonts w:ascii="Calibri" w:hAnsi="Calibri"/>
                <w:color w:val="18263A"/>
                <w:sz w:val="13"/>
              </w:rPr>
              <w:t>Use as qualitative signal only.</w:t>
            </w:r>
          </w:p>
        </w:tc>
      </w:tr>
      <w:tr>
        <w:trPr>
          <w:cantSplit/>
        </w:trPr>
        <w:tc>
          <w:tcPr>
            <w:tcW w:type="dxa" w:w="1100"/>
            <w:tcMar>
              <w:top w:w="42" w:type="dxa"/>
              <w:start w:w="64" w:type="dxa"/>
              <w:bottom w:w="42" w:type="dxa"/>
              <w:end w:w="64" w:type="dxa"/>
            </w:tcMar>
            <w:vAlign w:val="top"/>
            <w:shd w:fill="F3F5F7"/>
          </w:tcPr>
          <w:p>
            <w:pPr>
              <w:spacing w:before="0" w:after="10" w:line="230" w:lineRule="auto"/>
            </w:pPr>
            <w:r>
              <w:rPr>
                <w:rFonts w:ascii="Calibri" w:hAnsi="Calibri"/>
                <w:color w:val="18263A"/>
                <w:sz w:val="13"/>
              </w:rPr>
              <w:t>Supplied: “Where do senior women in tech go?”</w:t>
            </w:r>
          </w:p>
        </w:tc>
        <w:tc>
          <w:tcPr>
            <w:tcW w:type="dxa" w:w="930"/>
            <w:tcMar>
              <w:top w:w="42" w:type="dxa"/>
              <w:start w:w="64" w:type="dxa"/>
              <w:bottom w:w="42" w:type="dxa"/>
              <w:end w:w="64" w:type="dxa"/>
            </w:tcMar>
            <w:vAlign w:val="top"/>
            <w:shd w:fill="F3F5F7"/>
          </w:tcPr>
          <w:p>
            <w:pPr>
              <w:spacing w:before="0" w:after="10" w:line="230" w:lineRule="auto"/>
            </w:pPr>
            <w:r>
              <w:rPr>
                <w:rFonts w:ascii="Calibri" w:hAnsi="Calibri"/>
                <w:color w:val="18263A"/>
                <w:sz w:val="13"/>
              </w:rPr>
              <w:t>44; 20 years; senior path narrowing</w:t>
            </w:r>
          </w:p>
        </w:tc>
        <w:tc>
          <w:tcPr>
            <w:tcW w:type="dxa" w:w="1530"/>
            <w:tcMar>
              <w:top w:w="42" w:type="dxa"/>
              <w:start w:w="64" w:type="dxa"/>
              <w:bottom w:w="42" w:type="dxa"/>
              <w:end w:w="64" w:type="dxa"/>
            </w:tcMar>
            <w:vAlign w:val="top"/>
            <w:shd w:fill="F3F5F7"/>
          </w:tcPr>
          <w:p>
            <w:pPr>
              <w:spacing w:before="0" w:after="10" w:line="230" w:lineRule="auto"/>
            </w:pPr>
            <w:r>
              <w:rPr>
                <w:rFonts w:ascii="Calibri" w:hAnsi="Calibri"/>
                <w:color w:val="18263A"/>
                <w:sz w:val="13"/>
              </w:rPr>
              <w:t>Offers, sponsorship and visible high-potential status appear to stop; proving cost feels too high.</w:t>
            </w:r>
          </w:p>
        </w:tc>
        <w:tc>
          <w:tcPr>
            <w:tcW w:type="dxa" w:w="910"/>
            <w:tcMar>
              <w:top w:w="42" w:type="dxa"/>
              <w:start w:w="64" w:type="dxa"/>
              <w:bottom w:w="42" w:type="dxa"/>
              <w:end w:w="64" w:type="dxa"/>
            </w:tcMar>
            <w:vAlign w:val="top"/>
            <w:shd w:fill="F3F5F7"/>
          </w:tcPr>
          <w:p>
            <w:pPr>
              <w:spacing w:before="0" w:after="10" w:line="230" w:lineRule="auto"/>
            </w:pPr>
            <w:r>
              <w:rPr>
                <w:rFonts w:ascii="Calibri" w:hAnsi="Calibri"/>
                <w:color w:val="18263A"/>
                <w:sz w:val="13"/>
              </w:rPr>
              <w:t>Few visible women 50+; exhaustion</w:t>
            </w:r>
          </w:p>
        </w:tc>
        <w:tc>
          <w:tcPr>
            <w:tcW w:type="dxa" w:w="8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Status, institutional knowledge, livelihood</w:t>
            </w:r>
          </w:p>
        </w:tc>
        <w:tc>
          <w:tcPr>
            <w:tcW w:type="dxa" w:w="12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Consulting, academia, coaching, IC, management, exit</w:t>
            </w:r>
          </w:p>
        </w:tc>
        <w:tc>
          <w:tcPr>
            <w:tcW w:type="dxa" w:w="14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Advice describes destinations more than a decision method.</w:t>
            </w:r>
          </w:p>
        </w:tc>
        <w:tc>
          <w:tcPr>
            <w:tcW w:type="dxa" w:w="10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Repeated senior-visibility theme</w:t>
            </w:r>
          </w:p>
        </w:tc>
        <w:tc>
          <w:tcPr>
            <w:tcW w:type="dxa" w:w="1440"/>
            <w:tcMar>
              <w:top w:w="42" w:type="dxa"/>
              <w:start w:w="64" w:type="dxa"/>
              <w:bottom w:w="42" w:type="dxa"/>
              <w:end w:w="64" w:type="dxa"/>
            </w:tcMar>
            <w:vAlign w:val="top"/>
            <w:shd w:fill="F3F5F7"/>
          </w:tcPr>
          <w:p>
            <w:pPr>
              <w:spacing w:before="0" w:after="10" w:line="230" w:lineRule="auto"/>
            </w:pPr>
            <w:r>
              <w:rPr>
                <w:rFonts w:ascii="Calibri" w:hAnsi="Calibri"/>
                <w:color w:val="18263A"/>
                <w:sz w:val="13"/>
              </w:rPr>
              <w:t>What to Do When Your Work Is Valued but You Are Overlooked</w:t>
            </w:r>
          </w:p>
        </w:tc>
        <w:tc>
          <w:tcPr>
            <w:tcW w:type="dxa" w:w="890"/>
            <w:tcMar>
              <w:top w:w="42" w:type="dxa"/>
              <w:start w:w="64" w:type="dxa"/>
              <w:bottom w:w="42" w:type="dxa"/>
              <w:end w:w="64" w:type="dxa"/>
            </w:tcMar>
            <w:vAlign w:val="top"/>
            <w:shd w:fill="F3F5F7"/>
          </w:tcPr>
          <w:p>
            <w:pPr>
              <w:spacing w:before="0" w:after="10" w:line="230" w:lineRule="auto"/>
            </w:pPr>
            <w:r>
              <w:rPr>
                <w:rFonts w:ascii="Calibri" w:hAnsi="Calibri"/>
                <w:color w:val="18263A"/>
                <w:sz w:val="13"/>
              </w:rPr>
              <w:t>OP authenticity questioned; do not treat biography as verified.</w:t>
            </w:r>
          </w:p>
        </w:tc>
      </w:tr>
      <w:tr>
        <w:trPr>
          <w:cantSplit/>
        </w:trPr>
        <w:tc>
          <w:tcPr>
            <w:tcW w:type="dxa" w:w="1100"/>
            <w:tcMar>
              <w:top w:w="42" w:type="dxa"/>
              <w:start w:w="64" w:type="dxa"/>
              <w:bottom w:w="42" w:type="dxa"/>
              <w:end w:w="64" w:type="dxa"/>
            </w:tcMar>
            <w:vAlign w:val="top"/>
          </w:tcPr>
          <w:p>
            <w:pPr>
              <w:spacing w:before="0" w:after="10" w:line="230" w:lineRule="auto"/>
            </w:pPr>
            <w:r>
              <w:rPr>
                <w:rFonts w:ascii="Calibri" w:hAnsi="Calibri"/>
                <w:color w:val="18263A"/>
                <w:sz w:val="13"/>
              </w:rPr>
              <w:t>Supplied: job market for a 40-year-old entrant</w:t>
            </w:r>
          </w:p>
        </w:tc>
        <w:tc>
          <w:tcPr>
            <w:tcW w:type="dxa" w:w="930"/>
            <w:tcMar>
              <w:top w:w="42" w:type="dxa"/>
              <w:start w:w="64" w:type="dxa"/>
              <w:bottom w:w="42" w:type="dxa"/>
              <w:end w:w="64" w:type="dxa"/>
            </w:tcMar>
            <w:vAlign w:val="top"/>
          </w:tcPr>
          <w:p>
            <w:pPr>
              <w:spacing w:before="0" w:after="10" w:line="230" w:lineRule="auto"/>
            </w:pPr>
            <w:r>
              <w:rPr>
                <w:rFonts w:ascii="Calibri" w:hAnsi="Calibri"/>
                <w:color w:val="18263A"/>
                <w:sz w:val="13"/>
              </w:rPr>
              <w:t>40; entering programming</w:t>
            </w:r>
          </w:p>
        </w:tc>
        <w:tc>
          <w:tcPr>
            <w:tcW w:type="dxa" w:w="1530"/>
            <w:tcMar>
              <w:top w:w="42" w:type="dxa"/>
              <w:start w:w="64" w:type="dxa"/>
              <w:bottom w:w="42" w:type="dxa"/>
              <w:end w:w="64" w:type="dxa"/>
            </w:tcMar>
            <w:vAlign w:val="top"/>
          </w:tcPr>
          <w:p>
            <w:pPr>
              <w:spacing w:before="0" w:after="10" w:line="230" w:lineRule="auto"/>
            </w:pPr>
            <w:r>
              <w:rPr>
                <w:rFonts w:ascii="Calibri" w:hAnsi="Calibri"/>
                <w:color w:val="18263A"/>
                <w:sz w:val="13"/>
              </w:rPr>
              <w:t>Feels like an older beginner and fears earlier experience will be worthless.</w:t>
            </w:r>
          </w:p>
        </w:tc>
        <w:tc>
          <w:tcPr>
            <w:tcW w:type="dxa" w:w="910"/>
            <w:tcMar>
              <w:top w:w="42" w:type="dxa"/>
              <w:start w:w="64" w:type="dxa"/>
              <w:bottom w:w="42" w:type="dxa"/>
              <w:end w:w="64" w:type="dxa"/>
            </w:tcMar>
            <w:vAlign w:val="top"/>
          </w:tcPr>
          <w:p>
            <w:pPr>
              <w:spacing w:before="0" w:after="10" w:line="230" w:lineRule="auto"/>
            </w:pPr>
            <w:r>
              <w:rPr>
                <w:rFonts w:ascii="Calibri" w:hAnsi="Calibri"/>
                <w:color w:val="18263A"/>
                <w:sz w:val="13"/>
              </w:rPr>
              <w:t>New diploma / industry entry</w:t>
            </w:r>
          </w:p>
        </w:tc>
        <w:tc>
          <w:tcPr>
            <w:tcW w:type="dxa" w:w="850"/>
            <w:tcMar>
              <w:top w:w="42" w:type="dxa"/>
              <w:start w:w="64" w:type="dxa"/>
              <w:bottom w:w="42" w:type="dxa"/>
              <w:end w:w="64" w:type="dxa"/>
            </w:tcMar>
            <w:vAlign w:val="top"/>
          </w:tcPr>
          <w:p>
            <w:pPr>
              <w:spacing w:before="0" w:after="10" w:line="230" w:lineRule="auto"/>
            </w:pPr>
            <w:r>
              <w:rPr>
                <w:rFonts w:ascii="Calibri" w:hAnsi="Calibri"/>
                <w:color w:val="18263A"/>
                <w:sz w:val="13"/>
              </w:rPr>
              <w:t>Time, tuition, identity, prior experience</w:t>
            </w:r>
          </w:p>
        </w:tc>
        <w:tc>
          <w:tcPr>
            <w:tcW w:type="dxa" w:w="1250"/>
            <w:tcMar>
              <w:top w:w="42" w:type="dxa"/>
              <w:start w:w="64" w:type="dxa"/>
              <w:bottom w:w="42" w:type="dxa"/>
              <w:end w:w="64" w:type="dxa"/>
            </w:tcMar>
            <w:vAlign w:val="top"/>
          </w:tcPr>
          <w:p>
            <w:pPr>
              <w:spacing w:before="0" w:after="10" w:line="230" w:lineRule="auto"/>
            </w:pPr>
            <w:r>
              <w:rPr>
                <w:rFonts w:ascii="Calibri" w:hAnsi="Calibri"/>
                <w:color w:val="18263A"/>
                <w:sz w:val="13"/>
              </w:rPr>
              <w:t>Continue, network, learn fundamentals</w:t>
            </w:r>
          </w:p>
        </w:tc>
        <w:tc>
          <w:tcPr>
            <w:tcW w:type="dxa" w:w="1450"/>
            <w:tcMar>
              <w:top w:w="42" w:type="dxa"/>
              <w:start w:w="64" w:type="dxa"/>
              <w:bottom w:w="42" w:type="dxa"/>
              <w:end w:w="64" w:type="dxa"/>
            </w:tcMar>
            <w:vAlign w:val="top"/>
          </w:tcPr>
          <w:p>
            <w:pPr>
              <w:spacing w:before="0" w:after="10" w:line="230" w:lineRule="auto"/>
            </w:pPr>
            <w:r>
              <w:rPr>
                <w:rFonts w:ascii="Calibri" w:hAnsi="Calibri"/>
                <w:color w:val="18263A"/>
                <w:sz w:val="13"/>
              </w:rPr>
              <w:t>Little guidance on separating transferable judgment from technical context.</w:t>
            </w:r>
          </w:p>
        </w:tc>
        <w:tc>
          <w:tcPr>
            <w:tcW w:type="dxa" w:w="1050"/>
            <w:tcMar>
              <w:top w:w="42" w:type="dxa"/>
              <w:start w:w="64" w:type="dxa"/>
              <w:bottom w:w="42" w:type="dxa"/>
              <w:end w:w="64" w:type="dxa"/>
            </w:tcMar>
            <w:vAlign w:val="top"/>
          </w:tcPr>
          <w:p>
            <w:pPr>
              <w:spacing w:before="0" w:after="10" w:line="230" w:lineRule="auto"/>
            </w:pPr>
            <w:r>
              <w:rPr>
                <w:rFonts w:ascii="Calibri" w:hAnsi="Calibri"/>
                <w:color w:val="18263A"/>
                <w:sz w:val="13"/>
              </w:rPr>
              <w:t>Repeated starting-over theme</w:t>
            </w:r>
          </w:p>
        </w:tc>
        <w:tc>
          <w:tcPr>
            <w:tcW w:type="dxa" w:w="1440"/>
            <w:tcMar>
              <w:top w:w="42" w:type="dxa"/>
              <w:start w:w="64" w:type="dxa"/>
              <w:bottom w:w="42" w:type="dxa"/>
              <w:end w:w="64" w:type="dxa"/>
            </w:tcMar>
            <w:vAlign w:val="top"/>
          </w:tcPr>
          <w:p>
            <w:pPr>
              <w:spacing w:before="0" w:after="10" w:line="230" w:lineRule="auto"/>
            </w:pPr>
            <w:r>
              <w:rPr>
                <w:rFonts w:ascii="Calibri" w:hAnsi="Calibri"/>
                <w:color w:val="18263A"/>
                <w:sz w:val="13"/>
              </w:rPr>
              <w:t>How to Change Industries Without Starting at Entry Level</w:t>
            </w:r>
          </w:p>
        </w:tc>
        <w:tc>
          <w:tcPr>
            <w:tcW w:type="dxa" w:w="890"/>
            <w:tcMar>
              <w:top w:w="42" w:type="dxa"/>
              <w:start w:w="64" w:type="dxa"/>
              <w:bottom w:w="42" w:type="dxa"/>
              <w:end w:w="64" w:type="dxa"/>
            </w:tcMar>
            <w:vAlign w:val="top"/>
          </w:tcPr>
          <w:p>
            <w:pPr>
              <w:spacing w:before="0" w:after="10" w:line="230" w:lineRule="auto"/>
            </w:pPr>
            <w:r>
              <w:rPr>
                <w:rFonts w:ascii="Calibri" w:hAnsi="Calibri"/>
                <w:color w:val="18263A"/>
                <w:sz w:val="13"/>
              </w:rPr>
              <w:t>Do not promise easy entry.</w:t>
            </w:r>
          </w:p>
        </w:tc>
      </w:tr>
      <w:tr>
        <w:trPr>
          <w:cantSplit/>
        </w:trPr>
        <w:tc>
          <w:tcPr>
            <w:tcW w:type="dxa" w:w="1100"/>
            <w:tcMar>
              <w:top w:w="42" w:type="dxa"/>
              <w:start w:w="64" w:type="dxa"/>
              <w:bottom w:w="42" w:type="dxa"/>
              <w:end w:w="64" w:type="dxa"/>
            </w:tcMar>
            <w:vAlign w:val="top"/>
            <w:shd w:fill="F3F5F7"/>
          </w:tcPr>
          <w:p>
            <w:pPr>
              <w:spacing w:before="0" w:after="10" w:line="230" w:lineRule="auto"/>
            </w:pPr>
            <w:r>
              <w:rPr>
                <w:rFonts w:ascii="Calibri" w:hAnsi="Calibri"/>
                <w:color w:val="18263A"/>
                <w:sz w:val="13"/>
              </w:rPr>
              <w:t>“I don’t recognize software engineering anymore”</w:t>
            </w:r>
          </w:p>
        </w:tc>
        <w:tc>
          <w:tcPr>
            <w:tcW w:type="dxa" w:w="930"/>
            <w:tcMar>
              <w:top w:w="42" w:type="dxa"/>
              <w:start w:w="64" w:type="dxa"/>
              <w:bottom w:w="42" w:type="dxa"/>
              <w:end w:w="64" w:type="dxa"/>
            </w:tcMar>
            <w:vAlign w:val="top"/>
            <w:shd w:fill="F3F5F7"/>
          </w:tcPr>
          <w:p>
            <w:pPr>
              <w:spacing w:before="0" w:after="10" w:line="230" w:lineRule="auto"/>
            </w:pPr>
            <w:r>
              <w:rPr>
                <w:rFonts w:ascii="Calibri" w:hAnsi="Calibri"/>
                <w:color w:val="18263A"/>
                <w:sz w:val="13"/>
              </w:rPr>
              <w:t>Experienced practitioner; AI adoption</w:t>
            </w:r>
          </w:p>
        </w:tc>
        <w:tc>
          <w:tcPr>
            <w:tcW w:type="dxa" w:w="1530"/>
            <w:tcMar>
              <w:top w:w="42" w:type="dxa"/>
              <w:start w:w="64" w:type="dxa"/>
              <w:bottom w:w="42" w:type="dxa"/>
              <w:end w:w="64" w:type="dxa"/>
            </w:tcMar>
            <w:vAlign w:val="top"/>
            <w:shd w:fill="F3F5F7"/>
          </w:tcPr>
          <w:p>
            <w:pPr>
              <w:spacing w:before="0" w:after="10" w:line="230" w:lineRule="auto"/>
            </w:pPr>
            <w:r>
              <w:rPr>
                <w:rFonts w:ascii="Calibri" w:hAnsi="Calibri"/>
                <w:color w:val="18263A"/>
                <w:sz w:val="13"/>
              </w:rPr>
              <w:t>Bad engineering, AI-farmed decisions and weakened professional community.</w:t>
            </w:r>
          </w:p>
        </w:tc>
        <w:tc>
          <w:tcPr>
            <w:tcW w:type="dxa" w:w="910"/>
            <w:tcMar>
              <w:top w:w="42" w:type="dxa"/>
              <w:start w:w="64" w:type="dxa"/>
              <w:bottom w:w="42" w:type="dxa"/>
              <w:end w:w="64" w:type="dxa"/>
            </w:tcMar>
            <w:vAlign w:val="top"/>
            <w:shd w:fill="F3F5F7"/>
          </w:tcPr>
          <w:p>
            <w:pPr>
              <w:spacing w:before="0" w:after="10" w:line="230" w:lineRule="auto"/>
            </w:pPr>
            <w:r>
              <w:rPr>
                <w:rFonts w:ascii="Calibri" w:hAnsi="Calibri"/>
                <w:color w:val="18263A"/>
                <w:sz w:val="13"/>
              </w:rPr>
              <w:t>Changed work practices; team transfer</w:t>
            </w:r>
          </w:p>
        </w:tc>
        <w:tc>
          <w:tcPr>
            <w:tcW w:type="dxa" w:w="8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Craft, meaning, foundational skill</w:t>
            </w:r>
          </w:p>
        </w:tc>
        <w:tc>
          <w:tcPr>
            <w:tcW w:type="dxa" w:w="12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Leave, slow adoption, learn foundations</w:t>
            </w:r>
          </w:p>
        </w:tc>
        <w:tc>
          <w:tcPr>
            <w:tcW w:type="dxa" w:w="14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Binary stay/leave advice misses role redesign and accountability.</w:t>
            </w:r>
          </w:p>
        </w:tc>
        <w:tc>
          <w:tcPr>
            <w:tcW w:type="dxa" w:w="10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Repeated AI/meaning theme</w:t>
            </w:r>
          </w:p>
        </w:tc>
        <w:tc>
          <w:tcPr>
            <w:tcW w:type="dxa" w:w="1440"/>
            <w:tcMar>
              <w:top w:w="42" w:type="dxa"/>
              <w:start w:w="64" w:type="dxa"/>
              <w:bottom w:w="42" w:type="dxa"/>
              <w:end w:w="64" w:type="dxa"/>
            </w:tcMar>
            <w:vAlign w:val="top"/>
            <w:shd w:fill="F3F5F7"/>
          </w:tcPr>
          <w:p>
            <w:pPr>
              <w:spacing w:before="0" w:after="10" w:line="230" w:lineRule="auto"/>
            </w:pPr>
            <w:r>
              <w:rPr>
                <w:rFonts w:ascii="Calibri" w:hAnsi="Calibri"/>
                <w:color w:val="18263A"/>
                <w:sz w:val="13"/>
              </w:rPr>
              <w:t>What Still Needs Your Judgment as AI Changes Work?</w:t>
            </w:r>
          </w:p>
        </w:tc>
        <w:tc>
          <w:tcPr>
            <w:tcW w:type="dxa" w:w="890"/>
            <w:tcMar>
              <w:top w:w="42" w:type="dxa"/>
              <w:start w:w="64" w:type="dxa"/>
              <w:bottom w:w="42" w:type="dxa"/>
              <w:end w:w="64" w:type="dxa"/>
            </w:tcMar>
            <w:vAlign w:val="top"/>
            <w:shd w:fill="F3F5F7"/>
          </w:tcPr>
          <w:p>
            <w:pPr>
              <w:spacing w:before="0" w:after="10" w:line="230" w:lineRule="auto"/>
            </w:pPr>
            <w:r>
              <w:rPr>
                <w:rFonts w:ascii="Calibri" w:hAnsi="Calibri"/>
                <w:color w:val="18263A"/>
                <w:sz w:val="13"/>
              </w:rPr>
              <w:t>Includes individual experiences, not causal research.</w:t>
            </w:r>
          </w:p>
        </w:tc>
      </w:tr>
      <w:tr>
        <w:trPr>
          <w:cantSplit/>
        </w:trPr>
        <w:tc>
          <w:tcPr>
            <w:tcW w:type="dxa" w:w="1100"/>
            <w:tcMar>
              <w:top w:w="42" w:type="dxa"/>
              <w:start w:w="64" w:type="dxa"/>
              <w:bottom w:w="42" w:type="dxa"/>
              <w:end w:w="64" w:type="dxa"/>
            </w:tcMar>
            <w:vAlign w:val="top"/>
          </w:tcPr>
          <w:p>
            <w:pPr>
              <w:spacing w:before="0" w:after="10" w:line="230" w:lineRule="auto"/>
            </w:pPr>
            <w:r>
              <w:rPr>
                <w:rFonts w:ascii="Calibri" w:hAnsi="Calibri"/>
                <w:color w:val="18263A"/>
                <w:sz w:val="13"/>
              </w:rPr>
              <w:t>“A big eff you to AI”</w:t>
            </w:r>
          </w:p>
        </w:tc>
        <w:tc>
          <w:tcPr>
            <w:tcW w:type="dxa" w:w="930"/>
            <w:tcMar>
              <w:top w:w="42" w:type="dxa"/>
              <w:start w:w="64" w:type="dxa"/>
              <w:bottom w:w="42" w:type="dxa"/>
              <w:end w:w="64" w:type="dxa"/>
            </w:tcMar>
            <w:vAlign w:val="top"/>
          </w:tcPr>
          <w:p>
            <w:pPr>
              <w:spacing w:before="0" w:after="10" w:line="230" w:lineRule="auto"/>
            </w:pPr>
            <w:r>
              <w:rPr>
                <w:rFonts w:ascii="Calibri" w:hAnsi="Calibri"/>
                <w:color w:val="18263A"/>
                <w:sz w:val="13"/>
              </w:rPr>
              <w:t>Women in 40s; layoff/job search</w:t>
            </w:r>
          </w:p>
        </w:tc>
        <w:tc>
          <w:tcPr>
            <w:tcW w:type="dxa" w:w="1530"/>
            <w:tcMar>
              <w:top w:w="42" w:type="dxa"/>
              <w:start w:w="64" w:type="dxa"/>
              <w:bottom w:w="42" w:type="dxa"/>
              <w:end w:w="64" w:type="dxa"/>
            </w:tcMar>
            <w:vAlign w:val="top"/>
          </w:tcPr>
          <w:p>
            <w:pPr>
              <w:spacing w:before="0" w:after="10" w:line="230" w:lineRule="auto"/>
            </w:pPr>
            <w:r>
              <w:rPr>
                <w:rFonts w:ascii="Calibri" w:hAnsi="Calibri"/>
                <w:color w:val="18263A"/>
                <w:sz w:val="13"/>
              </w:rPr>
              <w:t>This is not where they expected to be at 40–49; repeat displacement feels destabilizing.</w:t>
            </w:r>
          </w:p>
        </w:tc>
        <w:tc>
          <w:tcPr>
            <w:tcW w:type="dxa" w:w="910"/>
            <w:tcMar>
              <w:top w:w="42" w:type="dxa"/>
              <w:start w:w="64" w:type="dxa"/>
              <w:bottom w:w="42" w:type="dxa"/>
              <w:end w:w="64" w:type="dxa"/>
            </w:tcMar>
            <w:vAlign w:val="top"/>
          </w:tcPr>
          <w:p>
            <w:pPr>
              <w:spacing w:before="0" w:after="10" w:line="230" w:lineRule="auto"/>
            </w:pPr>
            <w:r>
              <w:rPr>
                <w:rFonts w:ascii="Calibri" w:hAnsi="Calibri"/>
                <w:color w:val="18263A"/>
                <w:sz w:val="13"/>
              </w:rPr>
              <w:t>Self-reported AI layoffs</w:t>
            </w:r>
          </w:p>
        </w:tc>
        <w:tc>
          <w:tcPr>
            <w:tcW w:type="dxa" w:w="850"/>
            <w:tcMar>
              <w:top w:w="42" w:type="dxa"/>
              <w:start w:w="64" w:type="dxa"/>
              <w:bottom w:w="42" w:type="dxa"/>
              <w:end w:w="64" w:type="dxa"/>
            </w:tcMar>
            <w:vAlign w:val="top"/>
          </w:tcPr>
          <w:p>
            <w:pPr>
              <w:spacing w:before="0" w:after="10" w:line="230" w:lineRule="auto"/>
            </w:pPr>
            <w:r>
              <w:rPr>
                <w:rFonts w:ascii="Calibri" w:hAnsi="Calibri"/>
                <w:color w:val="18263A"/>
                <w:sz w:val="13"/>
              </w:rPr>
              <w:t>Income, confidence, future</w:t>
            </w:r>
          </w:p>
        </w:tc>
        <w:tc>
          <w:tcPr>
            <w:tcW w:type="dxa" w:w="1250"/>
            <w:tcMar>
              <w:top w:w="42" w:type="dxa"/>
              <w:start w:w="64" w:type="dxa"/>
              <w:bottom w:w="42" w:type="dxa"/>
              <w:end w:w="64" w:type="dxa"/>
            </w:tcMar>
            <w:vAlign w:val="top"/>
          </w:tcPr>
          <w:p>
            <w:pPr>
              <w:spacing w:before="0" w:after="10" w:line="230" w:lineRule="auto"/>
            </w:pPr>
            <w:r>
              <w:rPr>
                <w:rFonts w:ascii="Calibri" w:hAnsi="Calibri"/>
                <w:color w:val="18263A"/>
                <w:sz w:val="13"/>
              </w:rPr>
              <w:t>Apply, programs, solidarity</w:t>
            </w:r>
          </w:p>
        </w:tc>
        <w:tc>
          <w:tcPr>
            <w:tcW w:type="dxa" w:w="1450"/>
            <w:tcMar>
              <w:top w:w="42" w:type="dxa"/>
              <w:start w:w="64" w:type="dxa"/>
              <w:bottom w:w="42" w:type="dxa"/>
              <w:end w:w="64" w:type="dxa"/>
            </w:tcMar>
            <w:vAlign w:val="top"/>
          </w:tcPr>
          <w:p>
            <w:pPr>
              <w:spacing w:before="0" w:after="10" w:line="230" w:lineRule="auto"/>
            </w:pPr>
            <w:r>
              <w:rPr>
                <w:rFonts w:ascii="Calibri" w:hAnsi="Calibri"/>
                <w:color w:val="18263A"/>
                <w:sz w:val="13"/>
              </w:rPr>
              <w:t>Little method for proof, bridge work or constraints.</w:t>
            </w:r>
          </w:p>
        </w:tc>
        <w:tc>
          <w:tcPr>
            <w:tcW w:type="dxa" w:w="1050"/>
            <w:tcMar>
              <w:top w:w="42" w:type="dxa"/>
              <w:start w:w="64" w:type="dxa"/>
              <w:bottom w:w="42" w:type="dxa"/>
              <w:end w:w="64" w:type="dxa"/>
            </w:tcMar>
            <w:vAlign w:val="top"/>
          </w:tcPr>
          <w:p>
            <w:pPr>
              <w:spacing w:before="0" w:after="10" w:line="230" w:lineRule="auto"/>
            </w:pPr>
            <w:r>
              <w:rPr>
                <w:rFonts w:ascii="Calibri" w:hAnsi="Calibri"/>
                <w:color w:val="18263A"/>
                <w:sz w:val="13"/>
              </w:rPr>
              <w:t>Repeated AI/layoff theme</w:t>
            </w:r>
          </w:p>
        </w:tc>
        <w:tc>
          <w:tcPr>
            <w:tcW w:type="dxa" w:w="1440"/>
            <w:tcMar>
              <w:top w:w="42" w:type="dxa"/>
              <w:start w:w="64" w:type="dxa"/>
              <w:bottom w:w="42" w:type="dxa"/>
              <w:end w:w="64" w:type="dxa"/>
            </w:tcMar>
            <w:vAlign w:val="top"/>
          </w:tcPr>
          <w:p>
            <w:pPr>
              <w:spacing w:before="0" w:after="10" w:line="230" w:lineRule="auto"/>
            </w:pPr>
            <w:r>
              <w:rPr>
                <w:rFonts w:ascii="Calibri" w:hAnsi="Calibri"/>
                <w:color w:val="18263A"/>
                <w:sz w:val="13"/>
              </w:rPr>
              <w:t>What to Do Before a Layoff Happens</w:t>
            </w:r>
          </w:p>
        </w:tc>
        <w:tc>
          <w:tcPr>
            <w:tcW w:type="dxa" w:w="890"/>
            <w:tcMar>
              <w:top w:w="42" w:type="dxa"/>
              <w:start w:w="64" w:type="dxa"/>
              <w:bottom w:w="42" w:type="dxa"/>
              <w:end w:w="64" w:type="dxa"/>
            </w:tcMar>
            <w:vAlign w:val="top"/>
          </w:tcPr>
          <w:p>
            <w:pPr>
              <w:spacing w:before="0" w:after="10" w:line="230" w:lineRule="auto"/>
            </w:pPr>
            <w:r>
              <w:rPr>
                <w:rFonts w:ascii="Calibri" w:hAnsi="Calibri"/>
                <w:color w:val="18263A"/>
                <w:sz w:val="13"/>
              </w:rPr>
              <w:t>Self-reported causal claims.</w:t>
            </w:r>
          </w:p>
        </w:tc>
      </w:tr>
      <w:tr>
        <w:trPr>
          <w:cantSplit/>
        </w:trPr>
        <w:tc>
          <w:tcPr>
            <w:tcW w:type="dxa" w:w="1100"/>
            <w:tcMar>
              <w:top w:w="42" w:type="dxa"/>
              <w:start w:w="64" w:type="dxa"/>
              <w:bottom w:w="42" w:type="dxa"/>
              <w:end w:w="64" w:type="dxa"/>
            </w:tcMar>
            <w:vAlign w:val="top"/>
            <w:shd w:fill="F3F5F7"/>
          </w:tcPr>
          <w:p>
            <w:pPr>
              <w:spacing w:before="0" w:after="10" w:line="230" w:lineRule="auto"/>
            </w:pPr>
            <w:r>
              <w:rPr>
                <w:rFonts w:ascii="Calibri" w:hAnsi="Calibri"/>
                <w:color w:val="18263A"/>
                <w:sz w:val="13"/>
              </w:rPr>
              <w:t>“35+ women in tech, where are you?”</w:t>
            </w:r>
          </w:p>
        </w:tc>
        <w:tc>
          <w:tcPr>
            <w:tcW w:type="dxa" w:w="930"/>
            <w:tcMar>
              <w:top w:w="42" w:type="dxa"/>
              <w:start w:w="64" w:type="dxa"/>
              <w:bottom w:w="42" w:type="dxa"/>
              <w:end w:w="64" w:type="dxa"/>
            </w:tcMar>
            <w:vAlign w:val="top"/>
            <w:shd w:fill="F3F5F7"/>
          </w:tcPr>
          <w:p>
            <w:pPr>
              <w:spacing w:before="0" w:after="10" w:line="230" w:lineRule="auto"/>
            </w:pPr>
            <w:r>
              <w:rPr>
                <w:rFonts w:ascii="Calibri" w:hAnsi="Calibri"/>
                <w:color w:val="18263A"/>
                <w:sz w:val="13"/>
              </w:rPr>
              <w:t>Mid-career; few older peers</w:t>
            </w:r>
          </w:p>
        </w:tc>
        <w:tc>
          <w:tcPr>
            <w:tcW w:type="dxa" w:w="1530"/>
            <w:tcMar>
              <w:top w:w="42" w:type="dxa"/>
              <w:start w:w="64" w:type="dxa"/>
              <w:bottom w:w="42" w:type="dxa"/>
              <w:end w:w="64" w:type="dxa"/>
            </w:tcMar>
            <w:vAlign w:val="top"/>
            <w:shd w:fill="F3F5F7"/>
          </w:tcPr>
          <w:p>
            <w:pPr>
              <w:spacing w:before="0" w:after="10" w:line="230" w:lineRule="auto"/>
            </w:pPr>
            <w:r>
              <w:rPr>
                <w:rFonts w:ascii="Calibri" w:hAnsi="Calibri"/>
                <w:color w:val="18263A"/>
                <w:sz w:val="13"/>
              </w:rPr>
              <w:t>Older women appear absent except in management.</w:t>
            </w:r>
          </w:p>
        </w:tc>
        <w:tc>
          <w:tcPr>
            <w:tcW w:type="dxa" w:w="910"/>
            <w:tcMar>
              <w:top w:w="42" w:type="dxa"/>
              <w:start w:w="64" w:type="dxa"/>
              <w:bottom w:w="42" w:type="dxa"/>
              <w:end w:w="64" w:type="dxa"/>
            </w:tcMar>
            <w:vAlign w:val="top"/>
            <w:shd w:fill="F3F5F7"/>
          </w:tcPr>
          <w:p>
            <w:pPr>
              <w:spacing w:before="0" w:after="10" w:line="230" w:lineRule="auto"/>
            </w:pPr>
            <w:r>
              <w:rPr>
                <w:rFonts w:ascii="Calibri" w:hAnsi="Calibri"/>
                <w:color w:val="18263A"/>
                <w:sz w:val="13"/>
              </w:rPr>
              <w:t>Age visibility in teams</w:t>
            </w:r>
          </w:p>
        </w:tc>
        <w:tc>
          <w:tcPr>
            <w:tcW w:type="dxa" w:w="8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Belonging, path longevity</w:t>
            </w:r>
          </w:p>
        </w:tc>
        <w:tc>
          <w:tcPr>
            <w:tcW w:type="dxa" w:w="12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Stay technical, manage, leave corporate</w:t>
            </w:r>
          </w:p>
        </w:tc>
        <w:tc>
          <w:tcPr>
            <w:tcW w:type="dxa" w:w="14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Advice often normalizes paths without explaining tradeoffs.</w:t>
            </w:r>
          </w:p>
        </w:tc>
        <w:tc>
          <w:tcPr>
            <w:tcW w:type="dxa" w:w="10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Repeated visibility theme</w:t>
            </w:r>
          </w:p>
        </w:tc>
        <w:tc>
          <w:tcPr>
            <w:tcW w:type="dxa" w:w="1440"/>
            <w:tcMar>
              <w:top w:w="42" w:type="dxa"/>
              <w:start w:w="64" w:type="dxa"/>
              <w:bottom w:w="42" w:type="dxa"/>
              <w:end w:w="64" w:type="dxa"/>
            </w:tcMar>
            <w:vAlign w:val="top"/>
            <w:shd w:fill="F3F5F7"/>
          </w:tcPr>
          <w:p>
            <w:pPr>
              <w:spacing w:before="0" w:after="10" w:line="230" w:lineRule="auto"/>
            </w:pPr>
            <w:r>
              <w:rPr>
                <w:rFonts w:ascii="Calibri" w:hAnsi="Calibri"/>
                <w:color w:val="18263A"/>
                <w:sz w:val="13"/>
              </w:rPr>
              <w:t>Should You Stay an IC—or Become a Manager?</w:t>
            </w:r>
          </w:p>
        </w:tc>
        <w:tc>
          <w:tcPr>
            <w:tcW w:type="dxa" w:w="890"/>
            <w:tcMar>
              <w:top w:w="42" w:type="dxa"/>
              <w:start w:w="64" w:type="dxa"/>
              <w:bottom w:w="42" w:type="dxa"/>
              <w:end w:w="64" w:type="dxa"/>
            </w:tcMar>
            <w:vAlign w:val="top"/>
            <w:shd w:fill="F3F5F7"/>
          </w:tcPr>
          <w:p>
            <w:pPr>
              <w:spacing w:before="0" w:after="10" w:line="230" w:lineRule="auto"/>
            </w:pPr>
            <w:r>
              <w:rPr>
                <w:rFonts w:ascii="Calibri" w:hAnsi="Calibri"/>
                <w:color w:val="18263A"/>
                <w:sz w:val="13"/>
              </w:rPr>
              <w:t>Mixed industries and career stages.</w:t>
            </w:r>
          </w:p>
        </w:tc>
      </w:tr>
      <w:tr>
        <w:trPr>
          <w:cantSplit/>
        </w:trPr>
        <w:tc>
          <w:tcPr>
            <w:tcW w:type="dxa" w:w="1100"/>
            <w:tcMar>
              <w:top w:w="42" w:type="dxa"/>
              <w:start w:w="64" w:type="dxa"/>
              <w:bottom w:w="42" w:type="dxa"/>
              <w:end w:w="64" w:type="dxa"/>
            </w:tcMar>
            <w:vAlign w:val="top"/>
          </w:tcPr>
          <w:p>
            <w:pPr>
              <w:spacing w:before="0" w:after="10" w:line="230" w:lineRule="auto"/>
            </w:pPr>
            <w:r>
              <w:rPr>
                <w:rFonts w:ascii="Calibri" w:hAnsi="Calibri"/>
                <w:color w:val="18263A"/>
                <w:sz w:val="13"/>
              </w:rPr>
              <w:t>“Laid off 12 hours ago”</w:t>
            </w:r>
          </w:p>
        </w:tc>
        <w:tc>
          <w:tcPr>
            <w:tcW w:type="dxa" w:w="930"/>
            <w:tcMar>
              <w:top w:w="42" w:type="dxa"/>
              <w:start w:w="64" w:type="dxa"/>
              <w:bottom w:w="42" w:type="dxa"/>
              <w:end w:w="64" w:type="dxa"/>
            </w:tcMar>
            <w:vAlign w:val="top"/>
          </w:tcPr>
          <w:p>
            <w:pPr>
              <w:spacing w:before="0" w:after="10" w:line="230" w:lineRule="auto"/>
            </w:pPr>
            <w:r>
              <w:rPr>
                <w:rFonts w:ascii="Calibri" w:hAnsi="Calibri"/>
                <w:color w:val="18263A"/>
                <w:sz w:val="13"/>
              </w:rPr>
              <w:t>Experienced, niche background</w:t>
            </w:r>
          </w:p>
        </w:tc>
        <w:tc>
          <w:tcPr>
            <w:tcW w:type="dxa" w:w="1530"/>
            <w:tcMar>
              <w:top w:w="42" w:type="dxa"/>
              <w:start w:w="64" w:type="dxa"/>
              <w:bottom w:w="42" w:type="dxa"/>
              <w:end w:w="64" w:type="dxa"/>
            </w:tcMar>
            <w:vAlign w:val="top"/>
          </w:tcPr>
          <w:p>
            <w:pPr>
              <w:spacing w:before="0" w:after="10" w:line="230" w:lineRule="auto"/>
            </w:pPr>
            <w:r>
              <w:rPr>
                <w:rFonts w:ascii="Calibri" w:hAnsi="Calibri"/>
                <w:color w:val="18263A"/>
                <w:sz w:val="13"/>
              </w:rPr>
              <w:t>Niche expertise no longer feels sufficient; school risks debt and salary loss.</w:t>
            </w:r>
          </w:p>
        </w:tc>
        <w:tc>
          <w:tcPr>
            <w:tcW w:type="dxa" w:w="910"/>
            <w:tcMar>
              <w:top w:w="42" w:type="dxa"/>
              <w:start w:w="64" w:type="dxa"/>
              <w:bottom w:w="42" w:type="dxa"/>
              <w:end w:w="64" w:type="dxa"/>
            </w:tcMar>
            <w:vAlign w:val="top"/>
          </w:tcPr>
          <w:p>
            <w:pPr>
              <w:spacing w:before="0" w:after="10" w:line="230" w:lineRule="auto"/>
            </w:pPr>
            <w:r>
              <w:rPr>
                <w:rFonts w:ascii="Calibri" w:hAnsi="Calibri"/>
                <w:color w:val="18263A"/>
                <w:sz w:val="13"/>
              </w:rPr>
              <w:t>Layoff shock</w:t>
            </w:r>
          </w:p>
        </w:tc>
        <w:tc>
          <w:tcPr>
            <w:tcW w:type="dxa" w:w="850"/>
            <w:tcMar>
              <w:top w:w="42" w:type="dxa"/>
              <w:start w:w="64" w:type="dxa"/>
              <w:bottom w:w="42" w:type="dxa"/>
              <w:end w:w="64" w:type="dxa"/>
            </w:tcMar>
            <w:vAlign w:val="top"/>
          </w:tcPr>
          <w:p>
            <w:pPr>
              <w:spacing w:before="0" w:after="10" w:line="230" w:lineRule="auto"/>
            </w:pPr>
            <w:r>
              <w:rPr>
                <w:rFonts w:ascii="Calibri" w:hAnsi="Calibri"/>
                <w:color w:val="18263A"/>
                <w:sz w:val="13"/>
              </w:rPr>
              <w:t>Mortgage, debt, salary, identity</w:t>
            </w:r>
          </w:p>
        </w:tc>
        <w:tc>
          <w:tcPr>
            <w:tcW w:type="dxa" w:w="1250"/>
            <w:tcMar>
              <w:top w:w="42" w:type="dxa"/>
              <w:start w:w="64" w:type="dxa"/>
              <w:bottom w:w="42" w:type="dxa"/>
              <w:end w:w="64" w:type="dxa"/>
            </w:tcMar>
            <w:vAlign w:val="top"/>
          </w:tcPr>
          <w:p>
            <w:pPr>
              <w:spacing w:before="0" w:after="10" w:line="230" w:lineRule="auto"/>
            </w:pPr>
            <w:r>
              <w:rPr>
                <w:rFonts w:ascii="Calibri" w:hAnsi="Calibri"/>
                <w:color w:val="18263A"/>
                <w:sz w:val="13"/>
              </w:rPr>
              <w:t>Automate applications, retrain, stay in industry</w:t>
            </w:r>
          </w:p>
        </w:tc>
        <w:tc>
          <w:tcPr>
            <w:tcW w:type="dxa" w:w="1450"/>
            <w:tcMar>
              <w:top w:w="42" w:type="dxa"/>
              <w:start w:w="64" w:type="dxa"/>
              <w:bottom w:w="42" w:type="dxa"/>
              <w:end w:w="64" w:type="dxa"/>
            </w:tcMar>
            <w:vAlign w:val="top"/>
          </w:tcPr>
          <w:p>
            <w:pPr>
              <w:spacing w:before="0" w:after="10" w:line="230" w:lineRule="auto"/>
            </w:pPr>
            <w:r>
              <w:rPr>
                <w:rFonts w:ascii="Calibri" w:hAnsi="Calibri"/>
                <w:color w:val="18263A"/>
                <w:sz w:val="13"/>
              </w:rPr>
              <w:t>Tactical advice lacks evidence translation and decision sequencing.</w:t>
            </w:r>
          </w:p>
        </w:tc>
        <w:tc>
          <w:tcPr>
            <w:tcW w:type="dxa" w:w="1050"/>
            <w:tcMar>
              <w:top w:w="42" w:type="dxa"/>
              <w:start w:w="64" w:type="dxa"/>
              <w:bottom w:w="42" w:type="dxa"/>
              <w:end w:w="64" w:type="dxa"/>
            </w:tcMar>
            <w:vAlign w:val="top"/>
          </w:tcPr>
          <w:p>
            <w:pPr>
              <w:spacing w:before="0" w:after="10" w:line="230" w:lineRule="auto"/>
            </w:pPr>
            <w:r>
              <w:rPr>
                <w:rFonts w:ascii="Calibri" w:hAnsi="Calibri"/>
                <w:color w:val="18263A"/>
                <w:sz w:val="13"/>
              </w:rPr>
              <w:t>Repeated layoff/constraint theme</w:t>
            </w:r>
          </w:p>
        </w:tc>
        <w:tc>
          <w:tcPr>
            <w:tcW w:type="dxa" w:w="1440"/>
            <w:tcMar>
              <w:top w:w="42" w:type="dxa"/>
              <w:start w:w="64" w:type="dxa"/>
              <w:bottom w:w="42" w:type="dxa"/>
              <w:end w:w="64" w:type="dxa"/>
            </w:tcMar>
            <w:vAlign w:val="top"/>
          </w:tcPr>
          <w:p>
            <w:pPr>
              <w:spacing w:before="0" w:after="10" w:line="230" w:lineRule="auto"/>
            </w:pPr>
            <w:r>
              <w:rPr>
                <w:rFonts w:ascii="Calibri" w:hAnsi="Calibri"/>
                <w:color w:val="18263A"/>
                <w:sz w:val="13"/>
              </w:rPr>
              <w:t>What to Do When You Can’t Quit—or Cannot Retrain Yet</w:t>
            </w:r>
          </w:p>
        </w:tc>
        <w:tc>
          <w:tcPr>
            <w:tcW w:type="dxa" w:w="890"/>
            <w:tcMar>
              <w:top w:w="42" w:type="dxa"/>
              <w:start w:w="64" w:type="dxa"/>
              <w:bottom w:w="42" w:type="dxa"/>
              <w:end w:w="64" w:type="dxa"/>
            </w:tcMar>
            <w:vAlign w:val="top"/>
          </w:tcPr>
          <w:p>
            <w:pPr>
              <w:spacing w:before="0" w:after="10" w:line="230" w:lineRule="auto"/>
            </w:pPr>
            <w:r>
              <w:rPr>
                <w:rFonts w:ascii="Calibri" w:hAnsi="Calibri"/>
                <w:color w:val="18263A"/>
                <w:sz w:val="13"/>
              </w:rPr>
              <w:t>Immediate shock affects decision quality.</w:t>
            </w:r>
          </w:p>
        </w:tc>
      </w:tr>
      <w:tr>
        <w:trPr>
          <w:cantSplit/>
        </w:trPr>
        <w:tc>
          <w:tcPr>
            <w:tcW w:type="dxa" w:w="1100"/>
            <w:tcMar>
              <w:top w:w="42" w:type="dxa"/>
              <w:start w:w="64" w:type="dxa"/>
              <w:bottom w:w="42" w:type="dxa"/>
              <w:end w:w="64" w:type="dxa"/>
            </w:tcMar>
            <w:vAlign w:val="top"/>
            <w:shd w:fill="F3F5F7"/>
          </w:tcPr>
          <w:p>
            <w:pPr>
              <w:spacing w:before="0" w:after="10" w:line="230" w:lineRule="auto"/>
            </w:pPr>
            <w:r>
              <w:rPr>
                <w:rFonts w:ascii="Calibri" w:hAnsi="Calibri"/>
                <w:color w:val="18263A"/>
                <w:sz w:val="13"/>
              </w:rPr>
              <w:t>“Women in tech—how do you deal?”</w:t>
            </w:r>
          </w:p>
        </w:tc>
        <w:tc>
          <w:tcPr>
            <w:tcW w:type="dxa" w:w="930"/>
            <w:tcMar>
              <w:top w:w="42" w:type="dxa"/>
              <w:start w:w="64" w:type="dxa"/>
              <w:bottom w:w="42" w:type="dxa"/>
              <w:end w:w="64" w:type="dxa"/>
            </w:tcMar>
            <w:vAlign w:val="top"/>
            <w:shd w:fill="F3F5F7"/>
          </w:tcPr>
          <w:p>
            <w:pPr>
              <w:spacing w:before="0" w:after="10" w:line="230" w:lineRule="auto"/>
            </w:pPr>
            <w:r>
              <w:rPr>
                <w:rFonts w:ascii="Calibri" w:hAnsi="Calibri"/>
                <w:color w:val="18263A"/>
                <w:sz w:val="13"/>
              </w:rPr>
              <w:t>Early/mid career but relevant mechanism</w:t>
            </w:r>
          </w:p>
        </w:tc>
        <w:tc>
          <w:tcPr>
            <w:tcW w:type="dxa" w:w="1530"/>
            <w:tcMar>
              <w:top w:w="42" w:type="dxa"/>
              <w:start w:w="64" w:type="dxa"/>
              <w:bottom w:w="42" w:type="dxa"/>
              <w:end w:w="64" w:type="dxa"/>
            </w:tcMar>
            <w:vAlign w:val="top"/>
            <w:shd w:fill="F3F5F7"/>
          </w:tcPr>
          <w:p>
            <w:pPr>
              <w:spacing w:before="0" w:after="10" w:line="230" w:lineRule="auto"/>
            </w:pPr>
            <w:r>
              <w:rPr>
                <w:rFonts w:ascii="Calibri" w:hAnsi="Calibri"/>
                <w:color w:val="18263A"/>
                <w:sz w:val="13"/>
              </w:rPr>
              <w:t>Stagnant and dismissed; manager ignores progression.</w:t>
            </w:r>
          </w:p>
        </w:tc>
        <w:tc>
          <w:tcPr>
            <w:tcW w:type="dxa" w:w="910"/>
            <w:tcMar>
              <w:top w:w="42" w:type="dxa"/>
              <w:start w:w="64" w:type="dxa"/>
              <w:bottom w:w="42" w:type="dxa"/>
              <w:end w:w="64" w:type="dxa"/>
            </w:tcMar>
            <w:vAlign w:val="top"/>
            <w:shd w:fill="F3F5F7"/>
          </w:tcPr>
          <w:p>
            <w:pPr>
              <w:spacing w:before="0" w:after="10" w:line="230" w:lineRule="auto"/>
            </w:pPr>
            <w:r>
              <w:rPr>
                <w:rFonts w:ascii="Calibri" w:hAnsi="Calibri"/>
                <w:color w:val="18263A"/>
                <w:sz w:val="13"/>
              </w:rPr>
              <w:t>Career conversation failure</w:t>
            </w:r>
          </w:p>
        </w:tc>
        <w:tc>
          <w:tcPr>
            <w:tcW w:type="dxa" w:w="8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Growth, confidence</w:t>
            </w:r>
          </w:p>
        </w:tc>
        <w:tc>
          <w:tcPr>
            <w:tcW w:type="dxa" w:w="12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Leave cushy role, find better manager</w:t>
            </w:r>
          </w:p>
        </w:tc>
        <w:tc>
          <w:tcPr>
            <w:tcW w:type="dxa" w:w="14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Does not distinguish internal-move quality or build evidence.</w:t>
            </w:r>
          </w:p>
        </w:tc>
        <w:tc>
          <w:tcPr>
            <w:tcW w:type="dxa" w:w="10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Repeated mobility theme</w:t>
            </w:r>
          </w:p>
        </w:tc>
        <w:tc>
          <w:tcPr>
            <w:tcW w:type="dxa" w:w="1440"/>
            <w:tcMar>
              <w:top w:w="42" w:type="dxa"/>
              <w:start w:w="64" w:type="dxa"/>
              <w:bottom w:w="42" w:type="dxa"/>
              <w:end w:w="64" w:type="dxa"/>
            </w:tcMar>
            <w:vAlign w:val="top"/>
            <w:shd w:fill="F3F5F7"/>
          </w:tcPr>
          <w:p>
            <w:pPr>
              <w:spacing w:before="0" w:after="10" w:line="230" w:lineRule="auto"/>
            </w:pPr>
            <w:r>
              <w:rPr>
                <w:rFonts w:ascii="Calibri" w:hAnsi="Calibri"/>
                <w:color w:val="18263A"/>
                <w:sz w:val="13"/>
              </w:rPr>
              <w:t>Should I Make an Internal Move?</w:t>
            </w:r>
          </w:p>
        </w:tc>
        <w:tc>
          <w:tcPr>
            <w:tcW w:type="dxa" w:w="890"/>
            <w:tcMar>
              <w:top w:w="42" w:type="dxa"/>
              <w:start w:w="64" w:type="dxa"/>
              <w:bottom w:w="42" w:type="dxa"/>
              <w:end w:w="64" w:type="dxa"/>
            </w:tcMar>
            <w:vAlign w:val="top"/>
            <w:shd w:fill="F3F5F7"/>
          </w:tcPr>
          <w:p>
            <w:pPr>
              <w:spacing w:before="0" w:after="10" w:line="230" w:lineRule="auto"/>
            </w:pPr>
            <w:r>
              <w:rPr>
                <w:rFonts w:ascii="Calibri" w:hAnsi="Calibri"/>
                <w:color w:val="18263A"/>
                <w:sz w:val="13"/>
              </w:rPr>
              <w:t>Younger than core persona; mechanism still relevant.</w:t>
            </w:r>
          </w:p>
        </w:tc>
      </w:tr>
      <w:tr>
        <w:trPr>
          <w:cantSplit/>
        </w:trPr>
        <w:tc>
          <w:tcPr>
            <w:tcW w:type="dxa" w:w="1100"/>
            <w:tcMar>
              <w:top w:w="42" w:type="dxa"/>
              <w:start w:w="64" w:type="dxa"/>
              <w:bottom w:w="42" w:type="dxa"/>
              <w:end w:w="64" w:type="dxa"/>
            </w:tcMar>
            <w:vAlign w:val="top"/>
          </w:tcPr>
          <w:p>
            <w:pPr>
              <w:spacing w:before="0" w:after="10" w:line="230" w:lineRule="auto"/>
            </w:pPr>
            <w:r>
              <w:rPr>
                <w:rFonts w:ascii="Calibri" w:hAnsi="Calibri"/>
                <w:color w:val="18263A"/>
                <w:sz w:val="13"/>
              </w:rPr>
              <w:t>“Impending layoffs”</w:t>
            </w:r>
          </w:p>
        </w:tc>
        <w:tc>
          <w:tcPr>
            <w:tcW w:type="dxa" w:w="930"/>
            <w:tcMar>
              <w:top w:w="42" w:type="dxa"/>
              <w:start w:w="64" w:type="dxa"/>
              <w:bottom w:w="42" w:type="dxa"/>
              <w:end w:w="64" w:type="dxa"/>
            </w:tcMar>
            <w:vAlign w:val="top"/>
          </w:tcPr>
          <w:p>
            <w:pPr>
              <w:spacing w:before="0" w:after="10" w:line="230" w:lineRule="auto"/>
            </w:pPr>
            <w:r>
              <w:rPr>
                <w:rFonts w:ascii="Calibri" w:hAnsi="Calibri"/>
                <w:color w:val="18263A"/>
                <w:sz w:val="13"/>
              </w:rPr>
              <w:t>Nearly 20 years; late-career risk</w:t>
            </w:r>
          </w:p>
        </w:tc>
        <w:tc>
          <w:tcPr>
            <w:tcW w:type="dxa" w:w="1530"/>
            <w:tcMar>
              <w:top w:w="42" w:type="dxa"/>
              <w:start w:w="64" w:type="dxa"/>
              <w:bottom w:w="42" w:type="dxa"/>
              <w:end w:w="64" w:type="dxa"/>
            </w:tcMar>
            <w:vAlign w:val="top"/>
          </w:tcPr>
          <w:p>
            <w:pPr>
              <w:spacing w:before="0" w:after="10" w:line="230" w:lineRule="auto"/>
            </w:pPr>
            <w:r>
              <w:rPr>
                <w:rFonts w:ascii="Calibri" w:hAnsi="Calibri"/>
                <w:color w:val="18263A"/>
                <w:sz w:val="13"/>
              </w:rPr>
              <w:t>Savings may not cover health insurance; severance feels inadequate after long service.</w:t>
            </w:r>
          </w:p>
        </w:tc>
        <w:tc>
          <w:tcPr>
            <w:tcW w:type="dxa" w:w="910"/>
            <w:tcMar>
              <w:top w:w="42" w:type="dxa"/>
              <w:start w:w="64" w:type="dxa"/>
              <w:bottom w:w="42" w:type="dxa"/>
              <w:end w:w="64" w:type="dxa"/>
            </w:tcMar>
            <w:vAlign w:val="top"/>
          </w:tcPr>
          <w:p>
            <w:pPr>
              <w:spacing w:before="0" w:after="10" w:line="230" w:lineRule="auto"/>
            </w:pPr>
            <w:r>
              <w:rPr>
                <w:rFonts w:ascii="Calibri" w:hAnsi="Calibri"/>
                <w:color w:val="18263A"/>
                <w:sz w:val="13"/>
              </w:rPr>
              <w:t>Expected layoff</w:t>
            </w:r>
          </w:p>
        </w:tc>
        <w:tc>
          <w:tcPr>
            <w:tcW w:type="dxa" w:w="850"/>
            <w:tcMar>
              <w:top w:w="42" w:type="dxa"/>
              <w:start w:w="64" w:type="dxa"/>
              <w:bottom w:w="42" w:type="dxa"/>
              <w:end w:w="64" w:type="dxa"/>
            </w:tcMar>
            <w:vAlign w:val="top"/>
          </w:tcPr>
          <w:p>
            <w:pPr>
              <w:spacing w:before="0" w:after="10" w:line="230" w:lineRule="auto"/>
            </w:pPr>
            <w:r>
              <w:rPr>
                <w:rFonts w:ascii="Calibri" w:hAnsi="Calibri"/>
                <w:color w:val="18263A"/>
                <w:sz w:val="13"/>
              </w:rPr>
              <w:t>Benefits, savings, dignity</w:t>
            </w:r>
          </w:p>
        </w:tc>
        <w:tc>
          <w:tcPr>
            <w:tcW w:type="dxa" w:w="1250"/>
            <w:tcMar>
              <w:top w:w="42" w:type="dxa"/>
              <w:start w:w="64" w:type="dxa"/>
              <w:bottom w:w="42" w:type="dxa"/>
              <w:end w:w="64" w:type="dxa"/>
            </w:tcMar>
            <w:vAlign w:val="top"/>
          </w:tcPr>
          <w:p>
            <w:pPr>
              <w:spacing w:before="0" w:after="10" w:line="230" w:lineRule="auto"/>
            </w:pPr>
            <w:r>
              <w:rPr>
                <w:rFonts w:ascii="Calibri" w:hAnsi="Calibri"/>
                <w:color w:val="18263A"/>
                <w:sz w:val="13"/>
              </w:rPr>
              <w:t>Emergency fund, legal review, severance negotiation</w:t>
            </w:r>
          </w:p>
        </w:tc>
        <w:tc>
          <w:tcPr>
            <w:tcW w:type="dxa" w:w="1450"/>
            <w:tcMar>
              <w:top w:w="42" w:type="dxa"/>
              <w:start w:w="64" w:type="dxa"/>
              <w:bottom w:w="42" w:type="dxa"/>
              <w:end w:w="64" w:type="dxa"/>
            </w:tcMar>
            <w:vAlign w:val="top"/>
          </w:tcPr>
          <w:p>
            <w:pPr>
              <w:spacing w:before="0" w:after="10" w:line="230" w:lineRule="auto"/>
            </w:pPr>
            <w:r>
              <w:rPr>
                <w:rFonts w:ascii="Calibri" w:hAnsi="Calibri"/>
                <w:color w:val="18263A"/>
                <w:sz w:val="13"/>
              </w:rPr>
              <w:t>Advice does not connect work evidence to future options.</w:t>
            </w:r>
          </w:p>
        </w:tc>
        <w:tc>
          <w:tcPr>
            <w:tcW w:type="dxa" w:w="1050"/>
            <w:tcMar>
              <w:top w:w="42" w:type="dxa"/>
              <w:start w:w="64" w:type="dxa"/>
              <w:bottom w:w="42" w:type="dxa"/>
              <w:end w:w="64" w:type="dxa"/>
            </w:tcMar>
            <w:vAlign w:val="top"/>
          </w:tcPr>
          <w:p>
            <w:pPr>
              <w:spacing w:before="0" w:after="10" w:line="230" w:lineRule="auto"/>
            </w:pPr>
            <w:r>
              <w:rPr>
                <w:rFonts w:ascii="Calibri" w:hAnsi="Calibri"/>
                <w:color w:val="18263A"/>
                <w:sz w:val="13"/>
              </w:rPr>
              <w:t>Repeated constraint theme</w:t>
            </w:r>
          </w:p>
        </w:tc>
        <w:tc>
          <w:tcPr>
            <w:tcW w:type="dxa" w:w="1440"/>
            <w:tcMar>
              <w:top w:w="42" w:type="dxa"/>
              <w:start w:w="64" w:type="dxa"/>
              <w:bottom w:w="42" w:type="dxa"/>
              <w:end w:w="64" w:type="dxa"/>
            </w:tcMar>
            <w:vAlign w:val="top"/>
          </w:tcPr>
          <w:p>
            <w:pPr>
              <w:spacing w:before="0" w:after="10" w:line="230" w:lineRule="auto"/>
            </w:pPr>
            <w:r>
              <w:rPr>
                <w:rFonts w:ascii="Calibri" w:hAnsi="Calibri"/>
                <w:color w:val="18263A"/>
                <w:sz w:val="13"/>
              </w:rPr>
              <w:t>What to Do Before a Layoff Happens</w:t>
            </w:r>
          </w:p>
        </w:tc>
        <w:tc>
          <w:tcPr>
            <w:tcW w:type="dxa" w:w="890"/>
            <w:tcMar>
              <w:top w:w="42" w:type="dxa"/>
              <w:start w:w="64" w:type="dxa"/>
              <w:bottom w:w="42" w:type="dxa"/>
              <w:end w:w="64" w:type="dxa"/>
            </w:tcMar>
            <w:vAlign w:val="top"/>
          </w:tcPr>
          <w:p>
            <w:pPr>
              <w:spacing w:before="0" w:after="10" w:line="230" w:lineRule="auto"/>
            </w:pPr>
            <w:r>
              <w:rPr>
                <w:rFonts w:ascii="Calibri" w:hAnsi="Calibri"/>
                <w:color w:val="18263A"/>
                <w:sz w:val="13"/>
              </w:rPr>
              <w:t>Legal advice requires jurisdiction-specific caution.</w:t>
            </w:r>
          </w:p>
        </w:tc>
      </w:tr>
      <w:tr>
        <w:trPr>
          <w:cantSplit/>
        </w:trPr>
        <w:tc>
          <w:tcPr>
            <w:tcW w:type="dxa" w:w="1100"/>
            <w:tcMar>
              <w:top w:w="42" w:type="dxa"/>
              <w:start w:w="64" w:type="dxa"/>
              <w:bottom w:w="42" w:type="dxa"/>
              <w:end w:w="64" w:type="dxa"/>
            </w:tcMar>
            <w:vAlign w:val="top"/>
            <w:shd w:fill="F3F5F7"/>
          </w:tcPr>
          <w:p>
            <w:pPr>
              <w:spacing w:before="0" w:after="10" w:line="230" w:lineRule="auto"/>
            </w:pPr>
            <w:r>
              <w:rPr>
                <w:rFonts w:ascii="Calibri" w:hAnsi="Calibri"/>
                <w:color w:val="18263A"/>
                <w:sz w:val="13"/>
              </w:rPr>
              <w:t>“Grace Hopper as a senior engineer?”</w:t>
            </w:r>
          </w:p>
        </w:tc>
        <w:tc>
          <w:tcPr>
            <w:tcW w:type="dxa" w:w="930"/>
            <w:tcMar>
              <w:top w:w="42" w:type="dxa"/>
              <w:start w:w="64" w:type="dxa"/>
              <w:bottom w:w="42" w:type="dxa"/>
              <w:end w:w="64" w:type="dxa"/>
            </w:tcMar>
            <w:vAlign w:val="top"/>
            <w:shd w:fill="F3F5F7"/>
          </w:tcPr>
          <w:p>
            <w:pPr>
              <w:spacing w:before="0" w:after="10" w:line="230" w:lineRule="auto"/>
            </w:pPr>
            <w:r>
              <w:rPr>
                <w:rFonts w:ascii="Calibri" w:hAnsi="Calibri"/>
                <w:color w:val="18263A"/>
                <w:sz w:val="13"/>
              </w:rPr>
              <w:t>10+ years; unemployed six months</w:t>
            </w:r>
          </w:p>
        </w:tc>
        <w:tc>
          <w:tcPr>
            <w:tcW w:type="dxa" w:w="1530"/>
            <w:tcMar>
              <w:top w:w="42" w:type="dxa"/>
              <w:start w:w="64" w:type="dxa"/>
              <w:bottom w:w="42" w:type="dxa"/>
              <w:end w:w="64" w:type="dxa"/>
            </w:tcMar>
            <w:vAlign w:val="top"/>
            <w:shd w:fill="F3F5F7"/>
          </w:tcPr>
          <w:p>
            <w:pPr>
              <w:spacing w:before="0" w:after="10" w:line="230" w:lineRule="auto"/>
            </w:pPr>
            <w:r>
              <w:rPr>
                <w:rFonts w:ascii="Calibri" w:hAnsi="Calibri"/>
                <w:color w:val="18263A"/>
                <w:sz w:val="13"/>
              </w:rPr>
              <w:t>Senior candidate questions whether junior-heavy networking is worth time and money.</w:t>
            </w:r>
          </w:p>
        </w:tc>
        <w:tc>
          <w:tcPr>
            <w:tcW w:type="dxa" w:w="910"/>
            <w:tcMar>
              <w:top w:w="42" w:type="dxa"/>
              <w:start w:w="64" w:type="dxa"/>
              <w:bottom w:w="42" w:type="dxa"/>
              <w:end w:w="64" w:type="dxa"/>
            </w:tcMar>
            <w:vAlign w:val="top"/>
            <w:shd w:fill="F3F5F7"/>
          </w:tcPr>
          <w:p>
            <w:pPr>
              <w:spacing w:before="0" w:after="10" w:line="230" w:lineRule="auto"/>
            </w:pPr>
            <w:r>
              <w:rPr>
                <w:rFonts w:ascii="Calibri" w:hAnsi="Calibri"/>
                <w:color w:val="18263A"/>
                <w:sz w:val="13"/>
              </w:rPr>
              <w:t>Long job search</w:t>
            </w:r>
          </w:p>
        </w:tc>
        <w:tc>
          <w:tcPr>
            <w:tcW w:type="dxa" w:w="8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Time, money, senior fit</w:t>
            </w:r>
          </w:p>
        </w:tc>
        <w:tc>
          <w:tcPr>
            <w:tcW w:type="dxa" w:w="12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Attend/network or focus on interviews</w:t>
            </w:r>
          </w:p>
        </w:tc>
        <w:tc>
          <w:tcPr>
            <w:tcW w:type="dxa" w:w="14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No framework for opportunity quality at senior level.</w:t>
            </w:r>
          </w:p>
        </w:tc>
        <w:tc>
          <w:tcPr>
            <w:tcW w:type="dxa" w:w="10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Isolated event; repeated senior-fit issue</w:t>
            </w:r>
          </w:p>
        </w:tc>
        <w:tc>
          <w:tcPr>
            <w:tcW w:type="dxa" w:w="1440"/>
            <w:tcMar>
              <w:top w:w="42" w:type="dxa"/>
              <w:start w:w="64" w:type="dxa"/>
              <w:bottom w:w="42" w:type="dxa"/>
              <w:end w:w="64" w:type="dxa"/>
            </w:tcMar>
            <w:vAlign w:val="top"/>
            <w:shd w:fill="F3F5F7"/>
          </w:tcPr>
          <w:p>
            <w:pPr>
              <w:spacing w:before="0" w:after="10" w:line="230" w:lineRule="auto"/>
            </w:pPr>
            <w:r>
              <w:rPr>
                <w:rFonts w:ascii="Calibri" w:hAnsi="Calibri"/>
                <w:color w:val="18263A"/>
                <w:sz w:val="13"/>
              </w:rPr>
              <w:t>How to Build Career Options Without Quitting</w:t>
            </w:r>
          </w:p>
        </w:tc>
        <w:tc>
          <w:tcPr>
            <w:tcW w:type="dxa" w:w="890"/>
            <w:tcMar>
              <w:top w:w="42" w:type="dxa"/>
              <w:start w:w="64" w:type="dxa"/>
              <w:bottom w:w="42" w:type="dxa"/>
              <w:end w:w="64" w:type="dxa"/>
            </w:tcMar>
            <w:vAlign w:val="top"/>
            <w:shd w:fill="F3F5F7"/>
          </w:tcPr>
          <w:p>
            <w:pPr>
              <w:spacing w:before="0" w:after="10" w:line="230" w:lineRule="auto"/>
            </w:pPr>
            <w:r>
              <w:rPr>
                <w:rFonts w:ascii="Calibri" w:hAnsi="Calibri"/>
                <w:color w:val="18263A"/>
                <w:sz w:val="13"/>
              </w:rPr>
              <w:t>Conference-specific, not broad prevalence.</w:t>
            </w:r>
          </w:p>
        </w:tc>
      </w:tr>
      <w:tr>
        <w:trPr>
          <w:cantSplit/>
        </w:trPr>
        <w:tc>
          <w:tcPr>
            <w:tcW w:type="dxa" w:w="1100"/>
            <w:tcMar>
              <w:top w:w="42" w:type="dxa"/>
              <w:start w:w="64" w:type="dxa"/>
              <w:bottom w:w="42" w:type="dxa"/>
              <w:end w:w="64" w:type="dxa"/>
            </w:tcMar>
            <w:vAlign w:val="top"/>
          </w:tcPr>
          <w:p>
            <w:pPr>
              <w:spacing w:before="0" w:after="10" w:line="230" w:lineRule="auto"/>
            </w:pPr>
            <w:r>
              <w:rPr>
                <w:rFonts w:ascii="Calibri" w:hAnsi="Calibri"/>
                <w:color w:val="18263A"/>
                <w:sz w:val="13"/>
              </w:rPr>
              <w:t>“Anyone else thinking of leaving tech?”</w:t>
            </w:r>
          </w:p>
        </w:tc>
        <w:tc>
          <w:tcPr>
            <w:tcW w:type="dxa" w:w="930"/>
            <w:tcMar>
              <w:top w:w="42" w:type="dxa"/>
              <w:start w:w="64" w:type="dxa"/>
              <w:bottom w:w="42" w:type="dxa"/>
              <w:end w:w="64" w:type="dxa"/>
            </w:tcMar>
            <w:vAlign w:val="top"/>
          </w:tcPr>
          <w:p>
            <w:pPr>
              <w:spacing w:before="0" w:after="10" w:line="230" w:lineRule="auto"/>
            </w:pPr>
            <w:r>
              <w:rPr>
                <w:rFonts w:ascii="Calibri" w:hAnsi="Calibri"/>
                <w:color w:val="18263A"/>
                <w:sz w:val="13"/>
              </w:rPr>
              <w:t>15+ years; midlife burnout</w:t>
            </w:r>
          </w:p>
        </w:tc>
        <w:tc>
          <w:tcPr>
            <w:tcW w:type="dxa" w:w="1530"/>
            <w:tcMar>
              <w:top w:w="42" w:type="dxa"/>
              <w:start w:w="64" w:type="dxa"/>
              <w:bottom w:w="42" w:type="dxa"/>
              <w:end w:w="64" w:type="dxa"/>
            </w:tcMar>
            <w:vAlign w:val="top"/>
          </w:tcPr>
          <w:p>
            <w:pPr>
              <w:spacing w:before="0" w:after="10" w:line="230" w:lineRule="auto"/>
            </w:pPr>
            <w:r>
              <w:rPr>
                <w:rFonts w:ascii="Calibri" w:hAnsi="Calibri"/>
                <w:color w:val="18263A"/>
                <w:sz w:val="13"/>
              </w:rPr>
              <w:t>Changing priorities, politics and layoffs make the field feel less worth the cost.</w:t>
            </w:r>
          </w:p>
        </w:tc>
        <w:tc>
          <w:tcPr>
            <w:tcW w:type="dxa" w:w="910"/>
            <w:tcMar>
              <w:top w:w="42" w:type="dxa"/>
              <w:start w:w="64" w:type="dxa"/>
              <w:bottom w:w="42" w:type="dxa"/>
              <w:end w:w="64" w:type="dxa"/>
            </w:tcMar>
            <w:vAlign w:val="top"/>
          </w:tcPr>
          <w:p>
            <w:pPr>
              <w:spacing w:before="0" w:after="10" w:line="230" w:lineRule="auto"/>
            </w:pPr>
            <w:r>
              <w:rPr>
                <w:rFonts w:ascii="Calibri" w:hAnsi="Calibri"/>
                <w:color w:val="18263A"/>
                <w:sz w:val="13"/>
              </w:rPr>
              <w:t>Burnout + layoffs</w:t>
            </w:r>
          </w:p>
        </w:tc>
        <w:tc>
          <w:tcPr>
            <w:tcW w:type="dxa" w:w="850"/>
            <w:tcMar>
              <w:top w:w="42" w:type="dxa"/>
              <w:start w:w="64" w:type="dxa"/>
              <w:bottom w:w="42" w:type="dxa"/>
              <w:end w:w="64" w:type="dxa"/>
            </w:tcMar>
            <w:vAlign w:val="top"/>
          </w:tcPr>
          <w:p>
            <w:pPr>
              <w:spacing w:before="0" w:after="10" w:line="230" w:lineRule="auto"/>
            </w:pPr>
            <w:r>
              <w:rPr>
                <w:rFonts w:ascii="Calibri" w:hAnsi="Calibri"/>
                <w:color w:val="18263A"/>
                <w:sz w:val="13"/>
              </w:rPr>
              <w:t>Meaning, energy, income</w:t>
            </w:r>
          </w:p>
        </w:tc>
        <w:tc>
          <w:tcPr>
            <w:tcW w:type="dxa" w:w="1250"/>
            <w:tcMar>
              <w:top w:w="42" w:type="dxa"/>
              <w:start w:w="64" w:type="dxa"/>
              <w:bottom w:w="42" w:type="dxa"/>
              <w:end w:w="64" w:type="dxa"/>
            </w:tcMar>
            <w:vAlign w:val="top"/>
          </w:tcPr>
          <w:p>
            <w:pPr>
              <w:spacing w:before="0" w:after="10" w:line="230" w:lineRule="auto"/>
            </w:pPr>
            <w:r>
              <w:rPr>
                <w:rFonts w:ascii="Calibri" w:hAnsi="Calibri"/>
                <w:color w:val="18263A"/>
                <w:sz w:val="13"/>
              </w:rPr>
              <w:t>Leave, change industry, rest</w:t>
            </w:r>
          </w:p>
        </w:tc>
        <w:tc>
          <w:tcPr>
            <w:tcW w:type="dxa" w:w="1450"/>
            <w:tcMar>
              <w:top w:w="42" w:type="dxa"/>
              <w:start w:w="64" w:type="dxa"/>
              <w:bottom w:w="42" w:type="dxa"/>
              <w:end w:w="64" w:type="dxa"/>
            </w:tcMar>
            <w:vAlign w:val="top"/>
          </w:tcPr>
          <w:p>
            <w:pPr>
              <w:spacing w:before="0" w:after="10" w:line="230" w:lineRule="auto"/>
            </w:pPr>
            <w:r>
              <w:rPr>
                <w:rFonts w:ascii="Calibri" w:hAnsi="Calibri"/>
                <w:color w:val="18263A"/>
                <w:sz w:val="13"/>
              </w:rPr>
              <w:t>Advice skips portable evidence and reversible tests.</w:t>
            </w:r>
          </w:p>
        </w:tc>
        <w:tc>
          <w:tcPr>
            <w:tcW w:type="dxa" w:w="1050"/>
            <w:tcMar>
              <w:top w:w="42" w:type="dxa"/>
              <w:start w:w="64" w:type="dxa"/>
              <w:bottom w:w="42" w:type="dxa"/>
              <w:end w:w="64" w:type="dxa"/>
            </w:tcMar>
            <w:vAlign w:val="top"/>
          </w:tcPr>
          <w:p>
            <w:pPr>
              <w:spacing w:before="0" w:after="10" w:line="230" w:lineRule="auto"/>
            </w:pPr>
            <w:r>
              <w:rPr>
                <w:rFonts w:ascii="Calibri" w:hAnsi="Calibri"/>
                <w:color w:val="18263A"/>
                <w:sz w:val="13"/>
              </w:rPr>
              <w:t>Repeated burnout/path theme</w:t>
            </w:r>
          </w:p>
        </w:tc>
        <w:tc>
          <w:tcPr>
            <w:tcW w:type="dxa" w:w="1440"/>
            <w:tcMar>
              <w:top w:w="42" w:type="dxa"/>
              <w:start w:w="64" w:type="dxa"/>
              <w:bottom w:w="42" w:type="dxa"/>
              <w:end w:w="64" w:type="dxa"/>
            </w:tcMar>
            <w:vAlign w:val="top"/>
          </w:tcPr>
          <w:p>
            <w:pPr>
              <w:spacing w:before="0" w:after="10" w:line="230" w:lineRule="auto"/>
            </w:pPr>
            <w:r>
              <w:rPr>
                <w:rFonts w:ascii="Calibri" w:hAnsi="Calibri"/>
                <w:color w:val="18263A"/>
                <w:sz w:val="13"/>
              </w:rPr>
              <w:t>Which Parts of Your Experience Transfer?</w:t>
            </w:r>
          </w:p>
        </w:tc>
        <w:tc>
          <w:tcPr>
            <w:tcW w:type="dxa" w:w="890"/>
            <w:tcMar>
              <w:top w:w="42" w:type="dxa"/>
              <w:start w:w="64" w:type="dxa"/>
              <w:bottom w:w="42" w:type="dxa"/>
              <w:end w:w="64" w:type="dxa"/>
            </w:tcMar>
            <w:vAlign w:val="top"/>
          </w:tcPr>
          <w:p>
            <w:pPr>
              <w:spacing w:before="0" w:after="10" w:line="230" w:lineRule="auto"/>
            </w:pPr>
            <w:r>
              <w:rPr>
                <w:rFonts w:ascii="Calibri" w:hAnsi="Calibri"/>
                <w:color w:val="18263A"/>
                <w:sz w:val="13"/>
              </w:rPr>
              <w:t>Affect and career stage vary.</w:t>
            </w:r>
          </w:p>
        </w:tc>
      </w:tr>
      <w:tr>
        <w:trPr>
          <w:cantSplit/>
        </w:trPr>
        <w:tc>
          <w:tcPr>
            <w:tcW w:type="dxa" w:w="1100"/>
            <w:tcMar>
              <w:top w:w="42" w:type="dxa"/>
              <w:start w:w="64" w:type="dxa"/>
              <w:bottom w:w="42" w:type="dxa"/>
              <w:end w:w="64" w:type="dxa"/>
            </w:tcMar>
            <w:vAlign w:val="top"/>
            <w:shd w:fill="F3F5F7"/>
          </w:tcPr>
          <w:p>
            <w:pPr>
              <w:spacing w:before="0" w:after="10" w:line="230" w:lineRule="auto"/>
            </w:pPr>
            <w:r>
              <w:rPr>
                <w:rFonts w:ascii="Calibri" w:hAnsi="Calibri"/>
                <w:color w:val="18263A"/>
                <w:sz w:val="13"/>
              </w:rPr>
              <w:t>“Never had a tougher time finding a tech job”</w:t>
            </w:r>
          </w:p>
        </w:tc>
        <w:tc>
          <w:tcPr>
            <w:tcW w:type="dxa" w:w="930"/>
            <w:tcMar>
              <w:top w:w="42" w:type="dxa"/>
              <w:start w:w="64" w:type="dxa"/>
              <w:bottom w:w="42" w:type="dxa"/>
              <w:end w:w="64" w:type="dxa"/>
            </w:tcMar>
            <w:vAlign w:val="top"/>
            <w:shd w:fill="F3F5F7"/>
          </w:tcPr>
          <w:p>
            <w:pPr>
              <w:spacing w:before="0" w:after="10" w:line="230" w:lineRule="auto"/>
            </w:pPr>
            <w:r>
              <w:rPr>
                <w:rFonts w:ascii="Calibri" w:hAnsi="Calibri"/>
                <w:color w:val="18263A"/>
                <w:sz w:val="13"/>
              </w:rPr>
              <w:t>48; older experience + caregiving/geography gap</w:t>
            </w:r>
          </w:p>
        </w:tc>
        <w:tc>
          <w:tcPr>
            <w:tcW w:type="dxa" w:w="1530"/>
            <w:tcMar>
              <w:top w:w="42" w:type="dxa"/>
              <w:start w:w="64" w:type="dxa"/>
              <w:bottom w:w="42" w:type="dxa"/>
              <w:end w:w="64" w:type="dxa"/>
            </w:tcMar>
            <w:vAlign w:val="top"/>
            <w:shd w:fill="F3F5F7"/>
          </w:tcPr>
          <w:p>
            <w:pPr>
              <w:spacing w:before="0" w:after="10" w:line="230" w:lineRule="auto"/>
            </w:pPr>
            <w:r>
              <w:rPr>
                <w:rFonts w:ascii="Calibri" w:hAnsi="Calibri"/>
                <w:color w:val="18263A"/>
                <w:sz w:val="13"/>
              </w:rPr>
              <w:t>Re-entry feels futile; earlier tech experience seems too old.</w:t>
            </w:r>
          </w:p>
        </w:tc>
        <w:tc>
          <w:tcPr>
            <w:tcW w:type="dxa" w:w="910"/>
            <w:tcMar>
              <w:top w:w="42" w:type="dxa"/>
              <w:start w:w="64" w:type="dxa"/>
              <w:bottom w:w="42" w:type="dxa"/>
              <w:end w:w="64" w:type="dxa"/>
            </w:tcMar>
            <w:vAlign w:val="top"/>
            <w:shd w:fill="F3F5F7"/>
          </w:tcPr>
          <w:p>
            <w:pPr>
              <w:spacing w:before="0" w:after="10" w:line="230" w:lineRule="auto"/>
            </w:pPr>
            <w:r>
              <w:rPr>
                <w:rFonts w:ascii="Calibri" w:hAnsi="Calibri"/>
                <w:color w:val="18263A"/>
                <w:sz w:val="13"/>
              </w:rPr>
              <w:t>Parenting, military moves, civil service</w:t>
            </w:r>
          </w:p>
        </w:tc>
        <w:tc>
          <w:tcPr>
            <w:tcW w:type="dxa" w:w="8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Income, student loans, prior identity</w:t>
            </w:r>
          </w:p>
        </w:tc>
        <w:tc>
          <w:tcPr>
            <w:tcW w:type="dxa" w:w="12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Small business, degree, applications</w:t>
            </w:r>
          </w:p>
        </w:tc>
        <w:tc>
          <w:tcPr>
            <w:tcW w:type="dxa" w:w="14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Advice misses recency bridge and context refresh.</w:t>
            </w:r>
          </w:p>
        </w:tc>
        <w:tc>
          <w:tcPr>
            <w:tcW w:type="dxa" w:w="10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Repeated re-entry theme</w:t>
            </w:r>
          </w:p>
        </w:tc>
        <w:tc>
          <w:tcPr>
            <w:tcW w:type="dxa" w:w="1440"/>
            <w:tcMar>
              <w:top w:w="42" w:type="dxa"/>
              <w:start w:w="64" w:type="dxa"/>
              <w:bottom w:w="42" w:type="dxa"/>
              <w:end w:w="64" w:type="dxa"/>
            </w:tcMar>
            <w:vAlign w:val="top"/>
            <w:shd w:fill="F3F5F7"/>
          </w:tcPr>
          <w:p>
            <w:pPr>
              <w:spacing w:before="0" w:after="10" w:line="230" w:lineRule="auto"/>
            </w:pPr>
            <w:r>
              <w:rPr>
                <w:rFonts w:ascii="Calibri" w:hAnsi="Calibri"/>
                <w:color w:val="18263A"/>
                <w:sz w:val="13"/>
              </w:rPr>
              <w:t>How to Return After a Career Break Without Starting at Zero</w:t>
            </w:r>
          </w:p>
        </w:tc>
        <w:tc>
          <w:tcPr>
            <w:tcW w:type="dxa" w:w="890"/>
            <w:tcMar>
              <w:top w:w="42" w:type="dxa"/>
              <w:start w:w="64" w:type="dxa"/>
              <w:bottom w:w="42" w:type="dxa"/>
              <w:end w:w="64" w:type="dxa"/>
            </w:tcMar>
            <w:vAlign w:val="top"/>
            <w:shd w:fill="F3F5F7"/>
          </w:tcPr>
          <w:p>
            <w:pPr>
              <w:spacing w:before="0" w:after="10" w:line="230" w:lineRule="auto"/>
            </w:pPr>
            <w:r>
              <w:rPr>
                <w:rFonts w:ascii="Calibri" w:hAnsi="Calibri"/>
                <w:color w:val="18263A"/>
                <w:sz w:val="13"/>
              </w:rPr>
              <w:t>One personal path; no universal outcome.</w:t>
            </w:r>
          </w:p>
        </w:tc>
      </w:tr>
      <w:tr>
        <w:trPr>
          <w:cantSplit/>
        </w:trPr>
        <w:tc>
          <w:tcPr>
            <w:tcW w:type="dxa" w:w="1100"/>
            <w:tcMar>
              <w:top w:w="42" w:type="dxa"/>
              <w:start w:w="64" w:type="dxa"/>
              <w:bottom w:w="42" w:type="dxa"/>
              <w:end w:w="64" w:type="dxa"/>
            </w:tcMar>
            <w:vAlign w:val="top"/>
          </w:tcPr>
          <w:p>
            <w:pPr>
              <w:spacing w:before="0" w:after="10" w:line="230" w:lineRule="auto"/>
            </w:pPr>
            <w:r>
              <w:rPr>
                <w:rFonts w:ascii="Calibri" w:hAnsi="Calibri"/>
                <w:color w:val="18263A"/>
                <w:sz w:val="13"/>
              </w:rPr>
              <w:t>“Started in tech in their 30s?”</w:t>
            </w:r>
          </w:p>
        </w:tc>
        <w:tc>
          <w:tcPr>
            <w:tcW w:type="dxa" w:w="930"/>
            <w:tcMar>
              <w:top w:w="42" w:type="dxa"/>
              <w:start w:w="64" w:type="dxa"/>
              <w:bottom w:w="42" w:type="dxa"/>
              <w:end w:w="64" w:type="dxa"/>
            </w:tcMar>
            <w:vAlign w:val="top"/>
          </w:tcPr>
          <w:p>
            <w:pPr>
              <w:spacing w:before="0" w:after="10" w:line="230" w:lineRule="auto"/>
            </w:pPr>
            <w:r>
              <w:rPr>
                <w:rFonts w:ascii="Calibri" w:hAnsi="Calibri"/>
                <w:color w:val="18263A"/>
                <w:sz w:val="13"/>
              </w:rPr>
              <w:t>30s; career entrant</w:t>
            </w:r>
          </w:p>
        </w:tc>
        <w:tc>
          <w:tcPr>
            <w:tcW w:type="dxa" w:w="1530"/>
            <w:tcMar>
              <w:top w:w="42" w:type="dxa"/>
              <w:start w:w="64" w:type="dxa"/>
              <w:bottom w:w="42" w:type="dxa"/>
              <w:end w:w="64" w:type="dxa"/>
            </w:tcMar>
            <w:vAlign w:val="top"/>
          </w:tcPr>
          <w:p>
            <w:pPr>
              <w:spacing w:before="0" w:after="10" w:line="230" w:lineRule="auto"/>
            </w:pPr>
            <w:r>
              <w:rPr>
                <w:rFonts w:ascii="Calibri" w:hAnsi="Calibri"/>
                <w:color w:val="18263A"/>
                <w:sz w:val="13"/>
              </w:rPr>
              <w:t>Self-belief and being older dominate the narrative.</w:t>
            </w:r>
          </w:p>
        </w:tc>
        <w:tc>
          <w:tcPr>
            <w:tcW w:type="dxa" w:w="910"/>
            <w:tcMar>
              <w:top w:w="42" w:type="dxa"/>
              <w:start w:w="64" w:type="dxa"/>
              <w:bottom w:w="42" w:type="dxa"/>
              <w:end w:w="64" w:type="dxa"/>
            </w:tcMar>
            <w:vAlign w:val="top"/>
          </w:tcPr>
          <w:p>
            <w:pPr>
              <w:spacing w:before="0" w:after="10" w:line="230" w:lineRule="auto"/>
            </w:pPr>
            <w:r>
              <w:rPr>
                <w:rFonts w:ascii="Calibri" w:hAnsi="Calibri"/>
                <w:color w:val="18263A"/>
                <w:sz w:val="13"/>
              </w:rPr>
              <w:t>Return to school</w:t>
            </w:r>
          </w:p>
        </w:tc>
        <w:tc>
          <w:tcPr>
            <w:tcW w:type="dxa" w:w="850"/>
            <w:tcMar>
              <w:top w:w="42" w:type="dxa"/>
              <w:start w:w="64" w:type="dxa"/>
              <w:bottom w:w="42" w:type="dxa"/>
              <w:end w:w="64" w:type="dxa"/>
            </w:tcMar>
            <w:vAlign w:val="top"/>
          </w:tcPr>
          <w:p>
            <w:pPr>
              <w:spacing w:before="0" w:after="10" w:line="230" w:lineRule="auto"/>
            </w:pPr>
            <w:r>
              <w:rPr>
                <w:rFonts w:ascii="Calibri" w:hAnsi="Calibri"/>
                <w:color w:val="18263A"/>
                <w:sz w:val="13"/>
              </w:rPr>
              <w:t>Time, confidence, sunk opportunity</w:t>
            </w:r>
          </w:p>
        </w:tc>
        <w:tc>
          <w:tcPr>
            <w:tcW w:type="dxa" w:w="1250"/>
            <w:tcMar>
              <w:top w:w="42" w:type="dxa"/>
              <w:start w:w="64" w:type="dxa"/>
              <w:bottom w:w="42" w:type="dxa"/>
              <w:end w:w="64" w:type="dxa"/>
            </w:tcMar>
            <w:vAlign w:val="top"/>
          </w:tcPr>
          <w:p>
            <w:pPr>
              <w:spacing w:before="0" w:after="10" w:line="230" w:lineRule="auto"/>
            </w:pPr>
            <w:r>
              <w:rPr>
                <w:rFonts w:ascii="Calibri" w:hAnsi="Calibri"/>
                <w:color w:val="18263A"/>
                <w:sz w:val="13"/>
              </w:rPr>
              <w:t>Study, seek examples, persist</w:t>
            </w:r>
          </w:p>
        </w:tc>
        <w:tc>
          <w:tcPr>
            <w:tcW w:type="dxa" w:w="1450"/>
            <w:tcMar>
              <w:top w:w="42" w:type="dxa"/>
              <w:start w:w="64" w:type="dxa"/>
              <w:bottom w:w="42" w:type="dxa"/>
              <w:end w:w="64" w:type="dxa"/>
            </w:tcMar>
            <w:vAlign w:val="top"/>
          </w:tcPr>
          <w:p>
            <w:pPr>
              <w:spacing w:before="0" w:after="10" w:line="230" w:lineRule="auto"/>
            </w:pPr>
            <w:r>
              <w:rPr>
                <w:rFonts w:ascii="Calibri" w:hAnsi="Calibri"/>
                <w:color w:val="18263A"/>
                <w:sz w:val="13"/>
              </w:rPr>
              <w:t>Does not show how prior experience becomes evidence.</w:t>
            </w:r>
          </w:p>
        </w:tc>
        <w:tc>
          <w:tcPr>
            <w:tcW w:type="dxa" w:w="1050"/>
            <w:tcMar>
              <w:top w:w="42" w:type="dxa"/>
              <w:start w:w="64" w:type="dxa"/>
              <w:bottom w:w="42" w:type="dxa"/>
              <w:end w:w="64" w:type="dxa"/>
            </w:tcMar>
            <w:vAlign w:val="top"/>
          </w:tcPr>
          <w:p>
            <w:pPr>
              <w:spacing w:before="0" w:after="10" w:line="230" w:lineRule="auto"/>
            </w:pPr>
            <w:r>
              <w:rPr>
                <w:rFonts w:ascii="Calibri" w:hAnsi="Calibri"/>
                <w:color w:val="18263A"/>
                <w:sz w:val="13"/>
              </w:rPr>
              <w:t>Repeated older-beginner theme</w:t>
            </w:r>
          </w:p>
        </w:tc>
        <w:tc>
          <w:tcPr>
            <w:tcW w:type="dxa" w:w="1440"/>
            <w:tcMar>
              <w:top w:w="42" w:type="dxa"/>
              <w:start w:w="64" w:type="dxa"/>
              <w:bottom w:w="42" w:type="dxa"/>
              <w:end w:w="64" w:type="dxa"/>
            </w:tcMar>
            <w:vAlign w:val="top"/>
          </w:tcPr>
          <w:p>
            <w:pPr>
              <w:spacing w:before="0" w:after="10" w:line="230" w:lineRule="auto"/>
            </w:pPr>
            <w:r>
              <w:rPr>
                <w:rFonts w:ascii="Calibri" w:hAnsi="Calibri"/>
                <w:color w:val="18263A"/>
                <w:sz w:val="13"/>
              </w:rPr>
              <w:t>Your Experience Still Counts in a New Industry</w:t>
            </w:r>
          </w:p>
        </w:tc>
        <w:tc>
          <w:tcPr>
            <w:tcW w:type="dxa" w:w="890"/>
            <w:tcMar>
              <w:top w:w="42" w:type="dxa"/>
              <w:start w:w="64" w:type="dxa"/>
              <w:bottom w:w="42" w:type="dxa"/>
              <w:end w:w="64" w:type="dxa"/>
            </w:tcMar>
            <w:vAlign w:val="top"/>
          </w:tcPr>
          <w:p>
            <w:pPr>
              <w:spacing w:before="0" w:after="10" w:line="230" w:lineRule="auto"/>
            </w:pPr>
            <w:r>
              <w:rPr>
                <w:rFonts w:ascii="Calibri" w:hAnsi="Calibri"/>
                <w:color w:val="18263A"/>
                <w:sz w:val="13"/>
              </w:rPr>
              <w:t>Younger than core persona, useful language.</w:t>
            </w:r>
          </w:p>
        </w:tc>
      </w:tr>
      <w:tr>
        <w:trPr>
          <w:cantSplit/>
        </w:trPr>
        <w:tc>
          <w:tcPr>
            <w:tcW w:type="dxa" w:w="1100"/>
            <w:tcMar>
              <w:top w:w="42" w:type="dxa"/>
              <w:start w:w="64" w:type="dxa"/>
              <w:bottom w:w="42" w:type="dxa"/>
              <w:end w:w="64" w:type="dxa"/>
            </w:tcMar>
            <w:vAlign w:val="top"/>
            <w:shd w:fill="F3F5F7"/>
          </w:tcPr>
          <w:p>
            <w:pPr>
              <w:spacing w:before="0" w:after="10" w:line="230" w:lineRule="auto"/>
            </w:pPr>
            <w:r>
              <w:rPr>
                <w:rFonts w:ascii="Calibri" w:hAnsi="Calibri"/>
                <w:color w:val="18263A"/>
                <w:sz w:val="13"/>
              </w:rPr>
              <w:t>“How do you care for your well-being?”</w:t>
            </w:r>
          </w:p>
        </w:tc>
        <w:tc>
          <w:tcPr>
            <w:tcW w:type="dxa" w:w="930"/>
            <w:tcMar>
              <w:top w:w="42" w:type="dxa"/>
              <w:start w:w="64" w:type="dxa"/>
              <w:bottom w:w="42" w:type="dxa"/>
              <w:end w:w="64" w:type="dxa"/>
            </w:tcMar>
            <w:vAlign w:val="top"/>
            <w:shd w:fill="F3F5F7"/>
          </w:tcPr>
          <w:p>
            <w:pPr>
              <w:spacing w:before="0" w:after="10" w:line="230" w:lineRule="auto"/>
            </w:pPr>
            <w:r>
              <w:rPr>
                <w:rFonts w:ascii="Calibri" w:hAnsi="Calibri"/>
                <w:color w:val="18263A"/>
                <w:sz w:val="13"/>
              </w:rPr>
              <w:t>41; senior engineer</w:t>
            </w:r>
          </w:p>
        </w:tc>
        <w:tc>
          <w:tcPr>
            <w:tcW w:type="dxa" w:w="1530"/>
            <w:tcMar>
              <w:top w:w="42" w:type="dxa"/>
              <w:start w:w="64" w:type="dxa"/>
              <w:bottom w:w="42" w:type="dxa"/>
              <w:end w:w="64" w:type="dxa"/>
            </w:tcMar>
            <w:vAlign w:val="top"/>
            <w:shd w:fill="F3F5F7"/>
          </w:tcPr>
          <w:p>
            <w:pPr>
              <w:spacing w:before="0" w:after="10" w:line="230" w:lineRule="auto"/>
            </w:pPr>
            <w:r>
              <w:rPr>
                <w:rFonts w:ascii="Calibri" w:hAnsi="Calibri"/>
                <w:color w:val="18263A"/>
                <w:sz w:val="13"/>
              </w:rPr>
              <w:t>PIP/coaching and serious health uncertainty collide.</w:t>
            </w:r>
          </w:p>
        </w:tc>
        <w:tc>
          <w:tcPr>
            <w:tcW w:type="dxa" w:w="910"/>
            <w:tcMar>
              <w:top w:w="42" w:type="dxa"/>
              <w:start w:w="64" w:type="dxa"/>
              <w:bottom w:w="42" w:type="dxa"/>
              <w:end w:w="64" w:type="dxa"/>
            </w:tcMar>
            <w:vAlign w:val="top"/>
            <w:shd w:fill="F3F5F7"/>
          </w:tcPr>
          <w:p>
            <w:pPr>
              <w:spacing w:before="0" w:after="10" w:line="230" w:lineRule="auto"/>
            </w:pPr>
            <w:r>
              <w:rPr>
                <w:rFonts w:ascii="Calibri" w:hAnsi="Calibri"/>
                <w:color w:val="18263A"/>
                <w:sz w:val="13"/>
              </w:rPr>
              <w:t>Performance pressure + health</w:t>
            </w:r>
          </w:p>
        </w:tc>
        <w:tc>
          <w:tcPr>
            <w:tcW w:type="dxa" w:w="8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Health, job, self-trust</w:t>
            </w:r>
          </w:p>
        </w:tc>
        <w:tc>
          <w:tcPr>
            <w:tcW w:type="dxa" w:w="12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Medical care, leave, documentation</w:t>
            </w:r>
          </w:p>
        </w:tc>
        <w:tc>
          <w:tcPr>
            <w:tcW w:type="dxa" w:w="14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Career advice often ignores health as a legitimate decision constraint.</w:t>
            </w:r>
          </w:p>
        </w:tc>
        <w:tc>
          <w:tcPr>
            <w:tcW w:type="dxa" w:w="10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Repeated health/constraint theme</w:t>
            </w:r>
          </w:p>
        </w:tc>
        <w:tc>
          <w:tcPr>
            <w:tcW w:type="dxa" w:w="1440"/>
            <w:tcMar>
              <w:top w:w="42" w:type="dxa"/>
              <w:start w:w="64" w:type="dxa"/>
              <w:bottom w:w="42" w:type="dxa"/>
              <w:end w:w="64" w:type="dxa"/>
            </w:tcMar>
            <w:vAlign w:val="top"/>
            <w:shd w:fill="F3F5F7"/>
          </w:tcPr>
          <w:p>
            <w:pPr>
              <w:spacing w:before="0" w:after="10" w:line="230" w:lineRule="auto"/>
            </w:pPr>
            <w:r>
              <w:rPr>
                <w:rFonts w:ascii="Calibri" w:hAnsi="Calibri"/>
                <w:color w:val="18263A"/>
                <w:sz w:val="13"/>
              </w:rPr>
              <w:t>What to Do When You Can’t Quit Yet</w:t>
            </w:r>
          </w:p>
        </w:tc>
        <w:tc>
          <w:tcPr>
            <w:tcW w:type="dxa" w:w="890"/>
            <w:tcMar>
              <w:top w:w="42" w:type="dxa"/>
              <w:start w:w="64" w:type="dxa"/>
              <w:bottom w:w="42" w:type="dxa"/>
              <w:end w:w="64" w:type="dxa"/>
            </w:tcMar>
            <w:vAlign w:val="top"/>
            <w:shd w:fill="F3F5F7"/>
          </w:tcPr>
          <w:p>
            <w:pPr>
              <w:spacing w:before="0" w:after="10" w:line="230" w:lineRule="auto"/>
            </w:pPr>
            <w:r>
              <w:rPr>
                <w:rFonts w:ascii="Calibri" w:hAnsi="Calibri"/>
                <w:color w:val="18263A"/>
                <w:sz w:val="13"/>
              </w:rPr>
              <w:t>Sensitive health context; paraphrase carefully.</w:t>
            </w:r>
          </w:p>
        </w:tc>
      </w:tr>
      <w:tr>
        <w:trPr>
          <w:cantSplit/>
        </w:trPr>
        <w:tc>
          <w:tcPr>
            <w:tcW w:type="dxa" w:w="1100"/>
            <w:tcMar>
              <w:top w:w="42" w:type="dxa"/>
              <w:start w:w="64" w:type="dxa"/>
              <w:bottom w:w="42" w:type="dxa"/>
              <w:end w:w="64" w:type="dxa"/>
            </w:tcMar>
            <w:vAlign w:val="top"/>
          </w:tcPr>
          <w:p>
            <w:pPr>
              <w:spacing w:before="0" w:after="10" w:line="230" w:lineRule="auto"/>
            </w:pPr>
            <w:r>
              <w:rPr>
                <w:rFonts w:ascii="Calibri" w:hAnsi="Calibri"/>
                <w:color w:val="18263A"/>
                <w:sz w:val="13"/>
              </w:rPr>
              <w:t>“Risk of staying an IC”</w:t>
            </w:r>
          </w:p>
        </w:tc>
        <w:tc>
          <w:tcPr>
            <w:tcW w:type="dxa" w:w="930"/>
            <w:tcMar>
              <w:top w:w="42" w:type="dxa"/>
              <w:start w:w="64" w:type="dxa"/>
              <w:bottom w:w="42" w:type="dxa"/>
              <w:end w:w="64" w:type="dxa"/>
            </w:tcMar>
            <w:vAlign w:val="top"/>
          </w:tcPr>
          <w:p>
            <w:pPr>
              <w:spacing w:before="0" w:after="10" w:line="230" w:lineRule="auto"/>
            </w:pPr>
            <w:r>
              <w:rPr>
                <w:rFonts w:ascii="Calibri" w:hAnsi="Calibri"/>
                <w:color w:val="18263A"/>
                <w:sz w:val="13"/>
              </w:rPr>
              <w:t>Mid-40s; senior IC</w:t>
            </w:r>
          </w:p>
        </w:tc>
        <w:tc>
          <w:tcPr>
            <w:tcW w:type="dxa" w:w="1530"/>
            <w:tcMar>
              <w:top w:w="42" w:type="dxa"/>
              <w:start w:w="64" w:type="dxa"/>
              <w:bottom w:w="42" w:type="dxa"/>
              <w:end w:w="64" w:type="dxa"/>
            </w:tcMar>
            <w:vAlign w:val="top"/>
          </w:tcPr>
          <w:p>
            <w:pPr>
              <w:spacing w:before="0" w:after="10" w:line="230" w:lineRule="auto"/>
            </w:pPr>
            <w:r>
              <w:rPr>
                <w:rFonts w:ascii="Calibri" w:hAnsi="Calibri"/>
                <w:color w:val="18263A"/>
                <w:sz w:val="13"/>
              </w:rPr>
              <w:t>Does not want people management but fears the traditional pathway is closing.</w:t>
            </w:r>
          </w:p>
        </w:tc>
        <w:tc>
          <w:tcPr>
            <w:tcW w:type="dxa" w:w="910"/>
            <w:tcMar>
              <w:top w:w="42" w:type="dxa"/>
              <w:start w:w="64" w:type="dxa"/>
              <w:bottom w:w="42" w:type="dxa"/>
              <w:end w:w="64" w:type="dxa"/>
            </w:tcMar>
            <w:vAlign w:val="top"/>
          </w:tcPr>
          <w:p>
            <w:pPr>
              <w:spacing w:before="0" w:after="10" w:line="230" w:lineRule="auto"/>
            </w:pPr>
            <w:r>
              <w:rPr>
                <w:rFonts w:ascii="Calibri" w:hAnsi="Calibri"/>
                <w:color w:val="18263A"/>
                <w:sz w:val="13"/>
              </w:rPr>
              <w:t>Career architecture and age</w:t>
            </w:r>
          </w:p>
        </w:tc>
        <w:tc>
          <w:tcPr>
            <w:tcW w:type="dxa" w:w="850"/>
            <w:tcMar>
              <w:top w:w="42" w:type="dxa"/>
              <w:start w:w="64" w:type="dxa"/>
              <w:bottom w:w="42" w:type="dxa"/>
              <w:end w:w="64" w:type="dxa"/>
            </w:tcMar>
            <w:vAlign w:val="top"/>
          </w:tcPr>
          <w:p>
            <w:pPr>
              <w:spacing w:before="0" w:after="10" w:line="230" w:lineRule="auto"/>
            </w:pPr>
            <w:r>
              <w:rPr>
                <w:rFonts w:ascii="Calibri" w:hAnsi="Calibri"/>
                <w:color w:val="18263A"/>
                <w:sz w:val="13"/>
              </w:rPr>
              <w:t>Employability, identity, preferred work</w:t>
            </w:r>
          </w:p>
        </w:tc>
        <w:tc>
          <w:tcPr>
            <w:tcW w:type="dxa" w:w="1250"/>
            <w:tcMar>
              <w:top w:w="42" w:type="dxa"/>
              <w:start w:w="64" w:type="dxa"/>
              <w:bottom w:w="42" w:type="dxa"/>
              <w:end w:w="64" w:type="dxa"/>
            </w:tcMar>
            <w:vAlign w:val="top"/>
          </w:tcPr>
          <w:p>
            <w:pPr>
              <w:spacing w:before="0" w:after="10" w:line="230" w:lineRule="auto"/>
            </w:pPr>
            <w:r>
              <w:rPr>
                <w:rFonts w:ascii="Calibri" w:hAnsi="Calibri"/>
                <w:color w:val="18263A"/>
                <w:sz w:val="13"/>
              </w:rPr>
              <w:t>Manage projects, specialize, move company</w:t>
            </w:r>
          </w:p>
        </w:tc>
        <w:tc>
          <w:tcPr>
            <w:tcW w:type="dxa" w:w="1450"/>
            <w:tcMar>
              <w:top w:w="42" w:type="dxa"/>
              <w:start w:w="64" w:type="dxa"/>
              <w:bottom w:w="42" w:type="dxa"/>
              <w:end w:w="64" w:type="dxa"/>
            </w:tcMar>
            <w:vAlign w:val="top"/>
          </w:tcPr>
          <w:p>
            <w:pPr>
              <w:spacing w:before="0" w:after="10" w:line="230" w:lineRule="auto"/>
            </w:pPr>
            <w:r>
              <w:rPr>
                <w:rFonts w:ascii="Calibri" w:hAnsi="Calibri"/>
                <w:color w:val="18263A"/>
                <w:sz w:val="13"/>
              </w:rPr>
              <w:t>Advice often equates leadership with people management.</w:t>
            </w:r>
          </w:p>
        </w:tc>
        <w:tc>
          <w:tcPr>
            <w:tcW w:type="dxa" w:w="1050"/>
            <w:tcMar>
              <w:top w:w="42" w:type="dxa"/>
              <w:start w:w="64" w:type="dxa"/>
              <w:bottom w:w="42" w:type="dxa"/>
              <w:end w:w="64" w:type="dxa"/>
            </w:tcMar>
            <w:vAlign w:val="top"/>
          </w:tcPr>
          <w:p>
            <w:pPr>
              <w:spacing w:before="0" w:after="10" w:line="230" w:lineRule="auto"/>
            </w:pPr>
            <w:r>
              <w:rPr>
                <w:rFonts w:ascii="Calibri" w:hAnsi="Calibri"/>
                <w:color w:val="18263A"/>
                <w:sz w:val="13"/>
              </w:rPr>
              <w:t>Repeated senior-path theme</w:t>
            </w:r>
          </w:p>
        </w:tc>
        <w:tc>
          <w:tcPr>
            <w:tcW w:type="dxa" w:w="1440"/>
            <w:tcMar>
              <w:top w:w="42" w:type="dxa"/>
              <w:start w:w="64" w:type="dxa"/>
              <w:bottom w:w="42" w:type="dxa"/>
              <w:end w:w="64" w:type="dxa"/>
            </w:tcMar>
            <w:vAlign w:val="top"/>
          </w:tcPr>
          <w:p>
            <w:pPr>
              <w:spacing w:before="0" w:after="10" w:line="230" w:lineRule="auto"/>
            </w:pPr>
            <w:r>
              <w:rPr>
                <w:rFonts w:ascii="Calibri" w:hAnsi="Calibri"/>
                <w:color w:val="18263A"/>
                <w:sz w:val="13"/>
              </w:rPr>
              <w:t>Should You Stay an IC—or Become a Manager?</w:t>
            </w:r>
          </w:p>
        </w:tc>
        <w:tc>
          <w:tcPr>
            <w:tcW w:type="dxa" w:w="890"/>
            <w:tcMar>
              <w:top w:w="42" w:type="dxa"/>
              <w:start w:w="64" w:type="dxa"/>
              <w:bottom w:w="42" w:type="dxa"/>
              <w:end w:w="64" w:type="dxa"/>
            </w:tcMar>
            <w:vAlign w:val="top"/>
          </w:tcPr>
          <w:p>
            <w:pPr>
              <w:spacing w:before="0" w:after="10" w:line="230" w:lineRule="auto"/>
            </w:pPr>
            <w:r>
              <w:rPr>
                <w:rFonts w:ascii="Calibri" w:hAnsi="Calibri"/>
                <w:color w:val="18263A"/>
                <w:sz w:val="13"/>
              </w:rPr>
              <w:t>Australian corporate context.</w:t>
            </w:r>
          </w:p>
        </w:tc>
      </w:tr>
      <w:tr>
        <w:trPr>
          <w:cantSplit/>
        </w:trPr>
        <w:tc>
          <w:tcPr>
            <w:tcW w:type="dxa" w:w="1100"/>
            <w:tcMar>
              <w:top w:w="42" w:type="dxa"/>
              <w:start w:w="64" w:type="dxa"/>
              <w:bottom w:w="42" w:type="dxa"/>
              <w:end w:w="64" w:type="dxa"/>
            </w:tcMar>
            <w:vAlign w:val="top"/>
            <w:shd w:fill="F3F5F7"/>
          </w:tcPr>
          <w:p>
            <w:pPr>
              <w:spacing w:before="0" w:after="10" w:line="230" w:lineRule="auto"/>
            </w:pPr>
            <w:r>
              <w:rPr>
                <w:rFonts w:ascii="Calibri" w:hAnsi="Calibri"/>
                <w:color w:val="18263A"/>
                <w:sz w:val="13"/>
              </w:rPr>
              <w:t>“Career break + full-time caregiver”</w:t>
            </w:r>
          </w:p>
        </w:tc>
        <w:tc>
          <w:tcPr>
            <w:tcW w:type="dxa" w:w="930"/>
            <w:tcMar>
              <w:top w:w="42" w:type="dxa"/>
              <w:start w:w="64" w:type="dxa"/>
              <w:bottom w:w="42" w:type="dxa"/>
              <w:end w:w="64" w:type="dxa"/>
            </w:tcMar>
            <w:vAlign w:val="top"/>
            <w:shd w:fill="F3F5F7"/>
          </w:tcPr>
          <w:p>
            <w:pPr>
              <w:spacing w:before="0" w:after="10" w:line="230" w:lineRule="auto"/>
            </w:pPr>
            <w:r>
              <w:rPr>
                <w:rFonts w:ascii="Calibri" w:hAnsi="Calibri"/>
                <w:color w:val="18263A"/>
                <w:sz w:val="13"/>
              </w:rPr>
              <w:t>30s+; caregiving re-entry</w:t>
            </w:r>
          </w:p>
        </w:tc>
        <w:tc>
          <w:tcPr>
            <w:tcW w:type="dxa" w:w="1530"/>
            <w:tcMar>
              <w:top w:w="42" w:type="dxa"/>
              <w:start w:w="64" w:type="dxa"/>
              <w:bottom w:w="42" w:type="dxa"/>
              <w:end w:w="64" w:type="dxa"/>
            </w:tcMar>
            <w:vAlign w:val="top"/>
            <w:shd w:fill="F3F5F7"/>
          </w:tcPr>
          <w:p>
            <w:pPr>
              <w:spacing w:before="0" w:after="10" w:line="230" w:lineRule="auto"/>
            </w:pPr>
            <w:r>
              <w:rPr>
                <w:rFonts w:ascii="Calibri" w:hAnsi="Calibri"/>
                <w:color w:val="18263A"/>
                <w:sz w:val="13"/>
              </w:rPr>
              <w:t>Embarrassment about gap and fear recruiter will discount the whole story.</w:t>
            </w:r>
          </w:p>
        </w:tc>
        <w:tc>
          <w:tcPr>
            <w:tcW w:type="dxa" w:w="910"/>
            <w:tcMar>
              <w:top w:w="42" w:type="dxa"/>
              <w:start w:w="64" w:type="dxa"/>
              <w:bottom w:w="42" w:type="dxa"/>
              <w:end w:w="64" w:type="dxa"/>
            </w:tcMar>
            <w:vAlign w:val="top"/>
            <w:shd w:fill="F3F5F7"/>
          </w:tcPr>
          <w:p>
            <w:pPr>
              <w:spacing w:before="0" w:after="10" w:line="230" w:lineRule="auto"/>
            </w:pPr>
            <w:r>
              <w:rPr>
                <w:rFonts w:ascii="Calibri" w:hAnsi="Calibri"/>
                <w:color w:val="18263A"/>
                <w:sz w:val="13"/>
              </w:rPr>
              <w:t>Family caregiving + field change</w:t>
            </w:r>
          </w:p>
        </w:tc>
        <w:tc>
          <w:tcPr>
            <w:tcW w:type="dxa" w:w="8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Credibility, recency, income</w:t>
            </w:r>
          </w:p>
        </w:tc>
        <w:tc>
          <w:tcPr>
            <w:tcW w:type="dxa" w:w="12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Resume framing, new field training</w:t>
            </w:r>
          </w:p>
        </w:tc>
        <w:tc>
          <w:tcPr>
            <w:tcW w:type="dxa" w:w="14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Advice can romanticize caregiving instead of addressing recency and bias.</w:t>
            </w:r>
          </w:p>
        </w:tc>
        <w:tc>
          <w:tcPr>
            <w:tcW w:type="dxa" w:w="10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Repeated re-entry theme</w:t>
            </w:r>
          </w:p>
        </w:tc>
        <w:tc>
          <w:tcPr>
            <w:tcW w:type="dxa" w:w="1440"/>
            <w:tcMar>
              <w:top w:w="42" w:type="dxa"/>
              <w:start w:w="64" w:type="dxa"/>
              <w:bottom w:w="42" w:type="dxa"/>
              <w:end w:w="64" w:type="dxa"/>
            </w:tcMar>
            <w:vAlign w:val="top"/>
            <w:shd w:fill="F3F5F7"/>
          </w:tcPr>
          <w:p>
            <w:pPr>
              <w:spacing w:before="0" w:after="10" w:line="230" w:lineRule="auto"/>
            </w:pPr>
            <w:r>
              <w:rPr>
                <w:rFonts w:ascii="Calibri" w:hAnsi="Calibri"/>
                <w:color w:val="18263A"/>
                <w:sz w:val="13"/>
              </w:rPr>
              <w:t>How to Return After a Career Break Without Starting at Zero</w:t>
            </w:r>
          </w:p>
        </w:tc>
        <w:tc>
          <w:tcPr>
            <w:tcW w:type="dxa" w:w="890"/>
            <w:tcMar>
              <w:top w:w="42" w:type="dxa"/>
              <w:start w:w="64" w:type="dxa"/>
              <w:bottom w:w="42" w:type="dxa"/>
              <w:end w:w="64" w:type="dxa"/>
            </w:tcMar>
            <w:vAlign w:val="top"/>
            <w:shd w:fill="F3F5F7"/>
          </w:tcPr>
          <w:p>
            <w:pPr>
              <w:spacing w:before="0" w:after="10" w:line="230" w:lineRule="auto"/>
            </w:pPr>
            <w:r>
              <w:rPr>
                <w:rFonts w:ascii="Calibri" w:hAnsi="Calibri"/>
                <w:color w:val="18263A"/>
                <w:sz w:val="13"/>
              </w:rPr>
              <w:t>Different age/geography; mechanism relevant.</w:t>
            </w:r>
          </w:p>
        </w:tc>
      </w:tr>
      <w:tr>
        <w:trPr>
          <w:cantSplit/>
        </w:trPr>
        <w:tc>
          <w:tcPr>
            <w:tcW w:type="dxa" w:w="1100"/>
            <w:tcMar>
              <w:top w:w="42" w:type="dxa"/>
              <w:start w:w="64" w:type="dxa"/>
              <w:bottom w:w="42" w:type="dxa"/>
              <w:end w:w="64" w:type="dxa"/>
            </w:tcMar>
            <w:vAlign w:val="top"/>
          </w:tcPr>
          <w:p>
            <w:pPr>
              <w:spacing w:before="0" w:after="10" w:line="230" w:lineRule="auto"/>
            </w:pPr>
            <w:r>
              <w:rPr>
                <w:rFonts w:ascii="Calibri" w:hAnsi="Calibri"/>
                <w:color w:val="18263A"/>
                <w:sz w:val="13"/>
              </w:rPr>
              <w:t>“Joined consulting late”</w:t>
            </w:r>
          </w:p>
        </w:tc>
        <w:tc>
          <w:tcPr>
            <w:tcW w:type="dxa" w:w="930"/>
            <w:tcMar>
              <w:top w:w="42" w:type="dxa"/>
              <w:start w:w="64" w:type="dxa"/>
              <w:bottom w:w="42" w:type="dxa"/>
              <w:end w:w="64" w:type="dxa"/>
            </w:tcMar>
            <w:vAlign w:val="top"/>
          </w:tcPr>
          <w:p>
            <w:pPr>
              <w:spacing w:before="0" w:after="10" w:line="230" w:lineRule="auto"/>
            </w:pPr>
            <w:r>
              <w:rPr>
                <w:rFonts w:ascii="Calibri" w:hAnsi="Calibri"/>
                <w:color w:val="18263A"/>
                <w:sz w:val="13"/>
              </w:rPr>
              <w:t>Mid-30s/40s; new consulting context</w:t>
            </w:r>
          </w:p>
        </w:tc>
        <w:tc>
          <w:tcPr>
            <w:tcW w:type="dxa" w:w="1530"/>
            <w:tcMar>
              <w:top w:w="42" w:type="dxa"/>
              <w:start w:w="64" w:type="dxa"/>
              <w:bottom w:w="42" w:type="dxa"/>
              <w:end w:w="64" w:type="dxa"/>
            </w:tcMar>
            <w:vAlign w:val="top"/>
          </w:tcPr>
          <w:p>
            <w:pPr>
              <w:spacing w:before="0" w:after="10" w:line="230" w:lineRule="auto"/>
            </w:pPr>
            <w:r>
              <w:rPr>
                <w:rFonts w:ascii="Calibri" w:hAnsi="Calibri"/>
                <w:color w:val="18263A"/>
                <w:sz w:val="13"/>
              </w:rPr>
              <w:t>Older peers may face ageist recruiting or find industry experience discounted.</w:t>
            </w:r>
          </w:p>
        </w:tc>
        <w:tc>
          <w:tcPr>
            <w:tcW w:type="dxa" w:w="910"/>
            <w:tcMar>
              <w:top w:w="42" w:type="dxa"/>
              <w:start w:w="64" w:type="dxa"/>
              <w:bottom w:w="42" w:type="dxa"/>
              <w:end w:w="64" w:type="dxa"/>
            </w:tcMar>
            <w:vAlign w:val="top"/>
          </w:tcPr>
          <w:p>
            <w:pPr>
              <w:spacing w:before="0" w:after="10" w:line="230" w:lineRule="auto"/>
            </w:pPr>
            <w:r>
              <w:rPr>
                <w:rFonts w:ascii="Calibri" w:hAnsi="Calibri"/>
                <w:color w:val="18263A"/>
                <w:sz w:val="13"/>
              </w:rPr>
              <w:t>Late entry to consulting</w:t>
            </w:r>
          </w:p>
        </w:tc>
        <w:tc>
          <w:tcPr>
            <w:tcW w:type="dxa" w:w="850"/>
            <w:tcMar>
              <w:top w:w="42" w:type="dxa"/>
              <w:start w:w="64" w:type="dxa"/>
              <w:bottom w:w="42" w:type="dxa"/>
              <w:end w:w="64" w:type="dxa"/>
            </w:tcMar>
            <w:vAlign w:val="top"/>
          </w:tcPr>
          <w:p>
            <w:pPr>
              <w:spacing w:before="0" w:after="10" w:line="230" w:lineRule="auto"/>
            </w:pPr>
            <w:r>
              <w:rPr>
                <w:rFonts w:ascii="Calibri" w:hAnsi="Calibri"/>
                <w:color w:val="18263A"/>
                <w:sz w:val="13"/>
              </w:rPr>
              <w:t>Status, respect, work-life fit</w:t>
            </w:r>
          </w:p>
        </w:tc>
        <w:tc>
          <w:tcPr>
            <w:tcW w:type="dxa" w:w="1250"/>
            <w:tcMar>
              <w:top w:w="42" w:type="dxa"/>
              <w:start w:w="64" w:type="dxa"/>
              <w:bottom w:w="42" w:type="dxa"/>
              <w:end w:w="64" w:type="dxa"/>
            </w:tcMar>
            <w:vAlign w:val="top"/>
          </w:tcPr>
          <w:p>
            <w:pPr>
              <w:spacing w:before="0" w:after="10" w:line="230" w:lineRule="auto"/>
            </w:pPr>
            <w:r>
              <w:rPr>
                <w:rFonts w:ascii="Calibri" w:hAnsi="Calibri"/>
                <w:color w:val="18263A"/>
                <w:sz w:val="13"/>
              </w:rPr>
              <w:t>Adapt, leverage client maturity, leave</w:t>
            </w:r>
          </w:p>
        </w:tc>
        <w:tc>
          <w:tcPr>
            <w:tcW w:type="dxa" w:w="1450"/>
            <w:tcMar>
              <w:top w:w="42" w:type="dxa"/>
              <w:start w:w="64" w:type="dxa"/>
              <w:bottom w:w="42" w:type="dxa"/>
              <w:end w:w="64" w:type="dxa"/>
            </w:tcMar>
            <w:vAlign w:val="top"/>
          </w:tcPr>
          <w:p>
            <w:pPr>
              <w:spacing w:before="0" w:after="10" w:line="230" w:lineRule="auto"/>
            </w:pPr>
            <w:r>
              <w:rPr>
                <w:rFonts w:ascii="Calibri" w:hAnsi="Calibri"/>
                <w:color w:val="18263A"/>
                <w:sz w:val="13"/>
              </w:rPr>
              <w:t>Success stories and bad-fit stories need a diagnostic, not a promise.</w:t>
            </w:r>
          </w:p>
        </w:tc>
        <w:tc>
          <w:tcPr>
            <w:tcW w:type="dxa" w:w="1050"/>
            <w:tcMar>
              <w:top w:w="42" w:type="dxa"/>
              <w:start w:w="64" w:type="dxa"/>
              <w:bottom w:w="42" w:type="dxa"/>
              <w:end w:w="64" w:type="dxa"/>
            </w:tcMar>
            <w:vAlign w:val="top"/>
          </w:tcPr>
          <w:p>
            <w:pPr>
              <w:spacing w:before="0" w:after="10" w:line="230" w:lineRule="auto"/>
            </w:pPr>
            <w:r>
              <w:rPr>
                <w:rFonts w:ascii="Calibri" w:hAnsi="Calibri"/>
                <w:color w:val="18263A"/>
                <w:sz w:val="13"/>
              </w:rPr>
              <w:t>Repeated age/context theme</w:t>
            </w:r>
          </w:p>
        </w:tc>
        <w:tc>
          <w:tcPr>
            <w:tcW w:type="dxa" w:w="1440"/>
            <w:tcMar>
              <w:top w:w="42" w:type="dxa"/>
              <w:start w:w="64" w:type="dxa"/>
              <w:bottom w:w="42" w:type="dxa"/>
              <w:end w:w="64" w:type="dxa"/>
            </w:tcMar>
            <w:vAlign w:val="top"/>
          </w:tcPr>
          <w:p>
            <w:pPr>
              <w:spacing w:before="0" w:after="10" w:line="230" w:lineRule="auto"/>
            </w:pPr>
            <w:r>
              <w:rPr>
                <w:rFonts w:ascii="Calibri" w:hAnsi="Calibri"/>
                <w:color w:val="18263A"/>
                <w:sz w:val="13"/>
              </w:rPr>
              <w:t>Is Consulting a Real Next Step?</w:t>
            </w:r>
          </w:p>
        </w:tc>
        <w:tc>
          <w:tcPr>
            <w:tcW w:type="dxa" w:w="890"/>
            <w:tcMar>
              <w:top w:w="42" w:type="dxa"/>
              <w:start w:w="64" w:type="dxa"/>
              <w:bottom w:w="42" w:type="dxa"/>
              <w:end w:w="64" w:type="dxa"/>
            </w:tcMar>
            <w:vAlign w:val="top"/>
          </w:tcPr>
          <w:p>
            <w:pPr>
              <w:spacing w:before="0" w:after="10" w:line="230" w:lineRule="auto"/>
            </w:pPr>
            <w:r>
              <w:rPr>
                <w:rFonts w:ascii="Calibri" w:hAnsi="Calibri"/>
                <w:color w:val="18263A"/>
                <w:sz w:val="13"/>
              </w:rPr>
              <w:t>Do not generalize one firm or country.</w:t>
            </w:r>
          </w:p>
        </w:tc>
      </w:tr>
      <w:tr>
        <w:trPr>
          <w:cantSplit/>
        </w:trPr>
        <w:tc>
          <w:tcPr>
            <w:tcW w:type="dxa" w:w="1100"/>
            <w:tcMar>
              <w:top w:w="42" w:type="dxa"/>
              <w:start w:w="64" w:type="dxa"/>
              <w:bottom w:w="42" w:type="dxa"/>
              <w:end w:w="64" w:type="dxa"/>
            </w:tcMar>
            <w:vAlign w:val="top"/>
            <w:shd w:fill="F3F5F7"/>
          </w:tcPr>
          <w:p>
            <w:pPr>
              <w:spacing w:before="0" w:after="10" w:line="230" w:lineRule="auto"/>
            </w:pPr>
            <w:r>
              <w:rPr>
                <w:rFonts w:ascii="Calibri" w:hAnsi="Calibri"/>
                <w:color w:val="18263A"/>
                <w:sz w:val="13"/>
              </w:rPr>
              <w:t>“Boss blocked my promotion”</w:t>
            </w:r>
          </w:p>
        </w:tc>
        <w:tc>
          <w:tcPr>
            <w:tcW w:type="dxa" w:w="930"/>
            <w:tcMar>
              <w:top w:w="42" w:type="dxa"/>
              <w:start w:w="64" w:type="dxa"/>
              <w:bottom w:w="42" w:type="dxa"/>
              <w:end w:w="64" w:type="dxa"/>
            </w:tcMar>
            <w:vAlign w:val="top"/>
            <w:shd w:fill="F3F5F7"/>
          </w:tcPr>
          <w:p>
            <w:pPr>
              <w:spacing w:before="0" w:after="10" w:line="230" w:lineRule="auto"/>
            </w:pPr>
            <w:r>
              <w:rPr>
                <w:rFonts w:ascii="Calibri" w:hAnsi="Calibri"/>
                <w:color w:val="18263A"/>
                <w:sz w:val="13"/>
              </w:rPr>
              <w:t>Experienced; under-leveled after immigration</w:t>
            </w:r>
          </w:p>
        </w:tc>
        <w:tc>
          <w:tcPr>
            <w:tcW w:type="dxa" w:w="1530"/>
            <w:tcMar>
              <w:top w:w="42" w:type="dxa"/>
              <w:start w:w="64" w:type="dxa"/>
              <w:bottom w:w="42" w:type="dxa"/>
              <w:end w:w="64" w:type="dxa"/>
            </w:tcMar>
            <w:vAlign w:val="top"/>
            <w:shd w:fill="F3F5F7"/>
          </w:tcPr>
          <w:p>
            <w:pPr>
              <w:spacing w:before="0" w:after="10" w:line="230" w:lineRule="auto"/>
            </w:pPr>
            <w:r>
              <w:rPr>
                <w:rFonts w:ascii="Calibri" w:hAnsi="Calibri"/>
                <w:color w:val="18263A"/>
                <w:sz w:val="13"/>
              </w:rPr>
              <w:t>External geography shift reduced level; internal sponsor offered a better-fit role but manager resistance intervened.</w:t>
            </w:r>
          </w:p>
        </w:tc>
        <w:tc>
          <w:tcPr>
            <w:tcW w:type="dxa" w:w="910"/>
            <w:tcMar>
              <w:top w:w="42" w:type="dxa"/>
              <w:start w:w="64" w:type="dxa"/>
              <w:bottom w:w="42" w:type="dxa"/>
              <w:end w:w="64" w:type="dxa"/>
            </w:tcMar>
            <w:vAlign w:val="top"/>
            <w:shd w:fill="F3F5F7"/>
          </w:tcPr>
          <w:p>
            <w:pPr>
              <w:spacing w:before="0" w:after="10" w:line="230" w:lineRule="auto"/>
            </w:pPr>
            <w:r>
              <w:rPr>
                <w:rFonts w:ascii="Calibri" w:hAnsi="Calibri"/>
                <w:color w:val="18263A"/>
                <w:sz w:val="13"/>
              </w:rPr>
              <w:t>Immigration + internal mobility</w:t>
            </w:r>
          </w:p>
        </w:tc>
        <w:tc>
          <w:tcPr>
            <w:tcW w:type="dxa" w:w="8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Level, pay, dignity, path</w:t>
            </w:r>
          </w:p>
        </w:tc>
        <w:tc>
          <w:tcPr>
            <w:tcW w:type="dxa" w:w="12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Escalate, transfer, leave</w:t>
            </w:r>
          </w:p>
        </w:tc>
        <w:tc>
          <w:tcPr>
            <w:tcW w:type="dxa" w:w="14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Advice misses power map, evidence and risk of manager retaliation.</w:t>
            </w:r>
          </w:p>
        </w:tc>
        <w:tc>
          <w:tcPr>
            <w:tcW w:type="dxa" w:w="1050"/>
            <w:tcMar>
              <w:top w:w="42" w:type="dxa"/>
              <w:start w:w="64" w:type="dxa"/>
              <w:bottom w:w="42" w:type="dxa"/>
              <w:end w:w="64" w:type="dxa"/>
            </w:tcMar>
            <w:vAlign w:val="top"/>
            <w:shd w:fill="F3F5F7"/>
          </w:tcPr>
          <w:p>
            <w:pPr>
              <w:spacing w:before="0" w:after="10" w:line="230" w:lineRule="auto"/>
            </w:pPr>
            <w:r>
              <w:rPr>
                <w:rFonts w:ascii="Calibri" w:hAnsi="Calibri"/>
                <w:color w:val="18263A"/>
                <w:sz w:val="13"/>
              </w:rPr>
              <w:t>Repeated blocked-mobility theme</w:t>
            </w:r>
          </w:p>
        </w:tc>
        <w:tc>
          <w:tcPr>
            <w:tcW w:type="dxa" w:w="1440"/>
            <w:tcMar>
              <w:top w:w="42" w:type="dxa"/>
              <w:start w:w="64" w:type="dxa"/>
              <w:bottom w:w="42" w:type="dxa"/>
              <w:end w:w="64" w:type="dxa"/>
            </w:tcMar>
            <w:vAlign w:val="top"/>
            <w:shd w:fill="F3F5F7"/>
          </w:tcPr>
          <w:p>
            <w:pPr>
              <w:spacing w:before="0" w:after="10" w:line="230" w:lineRule="auto"/>
            </w:pPr>
            <w:r>
              <w:rPr>
                <w:rFonts w:ascii="Calibri" w:hAnsi="Calibri"/>
                <w:color w:val="18263A"/>
                <w:sz w:val="13"/>
              </w:rPr>
              <w:t>No Promotion? Wait or Move?</w:t>
            </w:r>
          </w:p>
        </w:tc>
        <w:tc>
          <w:tcPr>
            <w:tcW w:type="dxa" w:w="890"/>
            <w:tcMar>
              <w:top w:w="42" w:type="dxa"/>
              <w:start w:w="64" w:type="dxa"/>
              <w:bottom w:w="42" w:type="dxa"/>
              <w:end w:w="64" w:type="dxa"/>
            </w:tcMar>
            <w:vAlign w:val="top"/>
            <w:shd w:fill="F3F5F7"/>
          </w:tcPr>
          <w:p>
            <w:pPr>
              <w:spacing w:before="0" w:after="10" w:line="230" w:lineRule="auto"/>
            </w:pPr>
            <w:r>
              <w:rPr>
                <w:rFonts w:ascii="Calibri" w:hAnsi="Calibri"/>
                <w:color w:val="18263A"/>
                <w:sz w:val="13"/>
              </w:rPr>
              <w:t>Individual organizational context.</w:t>
            </w:r>
          </w:p>
        </w:tc>
      </w:tr>
      <w:tr>
        <w:trPr>
          <w:cantSplit/>
        </w:trPr>
        <w:tc>
          <w:tcPr>
            <w:tcW w:type="dxa" w:w="1100"/>
            <w:tcMar>
              <w:top w:w="42" w:type="dxa"/>
              <w:start w:w="64" w:type="dxa"/>
              <w:bottom w:w="42" w:type="dxa"/>
              <w:end w:w="64" w:type="dxa"/>
            </w:tcMar>
            <w:vAlign w:val="top"/>
          </w:tcPr>
          <w:p>
            <w:pPr>
              <w:spacing w:before="0" w:after="10" w:line="230" w:lineRule="auto"/>
            </w:pPr>
            <w:r>
              <w:rPr>
                <w:rFonts w:ascii="Calibri" w:hAnsi="Calibri"/>
                <w:color w:val="18263A"/>
                <w:sz w:val="13"/>
              </w:rPr>
              <w:t>“Few women principal engineers?”</w:t>
            </w:r>
          </w:p>
        </w:tc>
        <w:tc>
          <w:tcPr>
            <w:tcW w:type="dxa" w:w="930"/>
            <w:tcMar>
              <w:top w:w="42" w:type="dxa"/>
              <w:start w:w="64" w:type="dxa"/>
              <w:bottom w:w="42" w:type="dxa"/>
              <w:end w:w="64" w:type="dxa"/>
            </w:tcMar>
            <w:vAlign w:val="top"/>
          </w:tcPr>
          <w:p>
            <w:pPr>
              <w:spacing w:before="0" w:after="10" w:line="230" w:lineRule="auto"/>
            </w:pPr>
            <w:r>
              <w:rPr>
                <w:rFonts w:ascii="Calibri" w:hAnsi="Calibri"/>
                <w:color w:val="18263A"/>
                <w:sz w:val="13"/>
              </w:rPr>
              <w:t>20+ years; senior IC visibility</w:t>
            </w:r>
          </w:p>
        </w:tc>
        <w:tc>
          <w:tcPr>
            <w:tcW w:type="dxa" w:w="1530"/>
            <w:tcMar>
              <w:top w:w="42" w:type="dxa"/>
              <w:start w:w="64" w:type="dxa"/>
              <w:bottom w:w="42" w:type="dxa"/>
              <w:end w:w="64" w:type="dxa"/>
            </w:tcMar>
            <w:vAlign w:val="top"/>
          </w:tcPr>
          <w:p>
            <w:pPr>
              <w:spacing w:before="0" w:after="10" w:line="230" w:lineRule="auto"/>
            </w:pPr>
            <w:r>
              <w:rPr>
                <w:rFonts w:ascii="Calibri" w:hAnsi="Calibri"/>
                <w:color w:val="18263A"/>
                <w:sz w:val="13"/>
              </w:rPr>
              <w:t>Some women hide years of experience to reduce age inference.</w:t>
            </w:r>
          </w:p>
        </w:tc>
        <w:tc>
          <w:tcPr>
            <w:tcW w:type="dxa" w:w="910"/>
            <w:tcMar>
              <w:top w:w="42" w:type="dxa"/>
              <w:start w:w="64" w:type="dxa"/>
              <w:bottom w:w="42" w:type="dxa"/>
              <w:end w:w="64" w:type="dxa"/>
            </w:tcMar>
            <w:vAlign w:val="top"/>
          </w:tcPr>
          <w:p>
            <w:pPr>
              <w:spacing w:before="0" w:after="10" w:line="230" w:lineRule="auto"/>
            </w:pPr>
            <w:r>
              <w:rPr>
                <w:rFonts w:ascii="Calibri" w:hAnsi="Calibri"/>
                <w:color w:val="18263A"/>
                <w:sz w:val="13"/>
              </w:rPr>
              <w:t>Job search / representation</w:t>
            </w:r>
          </w:p>
        </w:tc>
        <w:tc>
          <w:tcPr>
            <w:tcW w:type="dxa" w:w="850"/>
            <w:tcMar>
              <w:top w:w="42" w:type="dxa"/>
              <w:start w:w="64" w:type="dxa"/>
              <w:bottom w:w="42" w:type="dxa"/>
              <w:end w:w="64" w:type="dxa"/>
            </w:tcMar>
            <w:vAlign w:val="top"/>
          </w:tcPr>
          <w:p>
            <w:pPr>
              <w:spacing w:before="0" w:after="10" w:line="230" w:lineRule="auto"/>
            </w:pPr>
            <w:r>
              <w:rPr>
                <w:rFonts w:ascii="Calibri" w:hAnsi="Calibri"/>
                <w:color w:val="18263A"/>
                <w:sz w:val="13"/>
              </w:rPr>
              <w:t>Employability, authentic history</w:t>
            </w:r>
          </w:p>
        </w:tc>
        <w:tc>
          <w:tcPr>
            <w:tcW w:type="dxa" w:w="1250"/>
            <w:tcMar>
              <w:top w:w="42" w:type="dxa"/>
              <w:start w:w="64" w:type="dxa"/>
              <w:bottom w:w="42" w:type="dxa"/>
              <w:end w:w="64" w:type="dxa"/>
            </w:tcMar>
            <w:vAlign w:val="top"/>
          </w:tcPr>
          <w:p>
            <w:pPr>
              <w:spacing w:before="0" w:after="10" w:line="230" w:lineRule="auto"/>
            </w:pPr>
            <w:r>
              <w:rPr>
                <w:rFonts w:ascii="Calibri" w:hAnsi="Calibri"/>
                <w:color w:val="18263A"/>
                <w:sz w:val="13"/>
              </w:rPr>
              <w:t>Shorten résumé, manage, specialize</w:t>
            </w:r>
          </w:p>
        </w:tc>
        <w:tc>
          <w:tcPr>
            <w:tcW w:type="dxa" w:w="1450"/>
            <w:tcMar>
              <w:top w:w="42" w:type="dxa"/>
              <w:start w:w="64" w:type="dxa"/>
              <w:bottom w:w="42" w:type="dxa"/>
              <w:end w:w="64" w:type="dxa"/>
            </w:tcMar>
            <w:vAlign w:val="top"/>
          </w:tcPr>
          <w:p>
            <w:pPr>
              <w:spacing w:before="0" w:after="10" w:line="230" w:lineRule="auto"/>
            </w:pPr>
            <w:r>
              <w:rPr>
                <w:rFonts w:ascii="Calibri" w:hAnsi="Calibri"/>
                <w:color w:val="18263A"/>
                <w:sz w:val="13"/>
              </w:rPr>
              <w:t>Advice may normalize hiding without confronting visibility and value translation.</w:t>
            </w:r>
          </w:p>
        </w:tc>
        <w:tc>
          <w:tcPr>
            <w:tcW w:type="dxa" w:w="1050"/>
            <w:tcMar>
              <w:top w:w="42" w:type="dxa"/>
              <w:start w:w="64" w:type="dxa"/>
              <w:bottom w:w="42" w:type="dxa"/>
              <w:end w:w="64" w:type="dxa"/>
            </w:tcMar>
            <w:vAlign w:val="top"/>
          </w:tcPr>
          <w:p>
            <w:pPr>
              <w:spacing w:before="0" w:after="10" w:line="230" w:lineRule="auto"/>
            </w:pPr>
            <w:r>
              <w:rPr>
                <w:rFonts w:ascii="Calibri" w:hAnsi="Calibri"/>
                <w:color w:val="18263A"/>
                <w:sz w:val="13"/>
              </w:rPr>
              <w:t>Repeated age/visibility theme</w:t>
            </w:r>
          </w:p>
        </w:tc>
        <w:tc>
          <w:tcPr>
            <w:tcW w:type="dxa" w:w="1440"/>
            <w:tcMar>
              <w:top w:w="42" w:type="dxa"/>
              <w:start w:w="64" w:type="dxa"/>
              <w:bottom w:w="42" w:type="dxa"/>
              <w:end w:w="64" w:type="dxa"/>
            </w:tcMar>
            <w:vAlign w:val="top"/>
          </w:tcPr>
          <w:p>
            <w:pPr>
              <w:spacing w:before="0" w:after="10" w:line="230" w:lineRule="auto"/>
            </w:pPr>
            <w:r>
              <w:rPr>
                <w:rFonts w:ascii="Calibri" w:hAnsi="Calibri"/>
                <w:color w:val="18263A"/>
                <w:sz w:val="13"/>
              </w:rPr>
              <w:t>How to Stay Relevant After 40 Without Erasing Experience</w:t>
            </w:r>
          </w:p>
        </w:tc>
        <w:tc>
          <w:tcPr>
            <w:tcW w:type="dxa" w:w="890"/>
            <w:tcMar>
              <w:top w:w="42" w:type="dxa"/>
              <w:start w:w="64" w:type="dxa"/>
              <w:bottom w:w="42" w:type="dxa"/>
              <w:end w:w="64" w:type="dxa"/>
            </w:tcMar>
            <w:vAlign w:val="top"/>
          </w:tcPr>
          <w:p>
            <w:pPr>
              <w:spacing w:before="0" w:after="10" w:line="230" w:lineRule="auto"/>
            </w:pPr>
            <w:r>
              <w:rPr>
                <w:rFonts w:ascii="Calibri" w:hAnsi="Calibri"/>
                <w:color w:val="18263A"/>
                <w:sz w:val="13"/>
              </w:rPr>
              <w:t>Historical pipeline also affects representation.</w:t>
            </w:r>
          </w:p>
        </w:tc>
      </w:tr>
    </w:tbl>
    <w:p>
      <w:pPr>
        <w:spacing w:after="0"/>
      </w:pPr>
    </w:p>
    <w:p>
      <w:pPr>
        <w:sectPr>
          <w:headerReference w:type="default" r:id="rId25"/>
          <w:footerReference w:type="default" r:id="rId26"/>
          <w:pgSz w:w="15840" w:h="12240" w:orient="landscape"/>
          <w:pgMar w:top="893" w:right="720" w:bottom="893" w:left="720" w:header="605" w:footer="605" w:gutter="0"/>
          <w:cols w:space="720"/>
          <w:docGrid w:linePitch="360"/>
        </w:sectPr>
      </w:pPr>
    </w:p>
    <w:p>
      <w:pPr>
        <w:keepNext/>
        <w:spacing w:after="60"/>
      </w:pPr>
      <w:r>
        <w:rPr>
          <w:rFonts w:ascii="Calibri" w:hAnsi="Calibri"/>
          <w:b/>
          <w:color w:val="C6A646"/>
          <w:sz w:val="18"/>
        </w:rPr>
        <w:t>APPENDIX B  /  SOURCES</w:t>
      </w:r>
    </w:p>
    <w:p>
      <w:pPr>
        <w:pStyle w:val="Heading1"/>
        <w:keepNext/>
      </w:pPr>
      <w:r>
        <w:rPr>
          <w:rFonts w:ascii="Calibri" w:hAnsi="Calibri"/>
          <w:b/>
          <w:color w:val="10264B"/>
          <w:sz w:val="32"/>
        </w:rPr>
        <w:t>Discussion and web sources</w:t>
      </w:r>
    </w:p>
    <w:p>
      <w:pPr>
        <w:keepLines w:val="0"/>
        <w:spacing w:before="0" w:after="120" w:line="300" w:lineRule="auto"/>
      </w:pPr>
      <w:r>
        <w:rPr>
          <w:rFonts w:ascii="Calibri" w:hAnsi="Calibri"/>
          <w:i w:val="0"/>
          <w:color w:val="18263A"/>
          <w:sz w:val="22"/>
        </w:rPr>
        <w:t>The source list is included for auditability. The final editorial recommendations synthesize these materials rather than treating any single anecdote as proof.</w:t>
      </w:r>
    </w:p>
    <w:tbl>
      <w:tblPr>
        <w:tblW w:type="dxa" w:w="10000"/>
        <w:tblLook w:firstColumn="1" w:firstRow="1" w:lastColumn="0" w:lastRow="0" w:noHBand="0" w:noVBand="1" w:val="04A0"/>
        <w:tblLayout w:type="fixed"/>
        <w:tblInd w:w="0" w:type="dxa"/>
        <w:tblBorders>
          <w:top w:val="single" w:sz="3" w:space="0" w:color="DDE2E8"/>
          <w:left w:val="single" w:sz="3" w:space="0" w:color="DDE2E8"/>
          <w:bottom w:val="single" w:sz="3" w:space="0" w:color="DDE2E8"/>
          <w:right w:val="single" w:sz="3" w:space="0" w:color="DDE2E8"/>
          <w:insideH w:val="single" w:sz="3" w:space="0" w:color="DDE2E8"/>
          <w:insideV w:val="single" w:sz="3" w:space="0" w:color="DDE2E8"/>
        </w:tblBorders>
      </w:tblPr>
      <w:tblGrid>
        <w:gridCol w:w="5000"/>
        <w:gridCol w:w="5000"/>
      </w:tblGrid>
      <w:tr>
        <w:trPr>
          <w:cantSplit/>
        </w:trPr>
        <w:tc>
          <w:tcPr>
            <w:tcW w:type="dxa" w:w="5000"/>
            <w:shd w:fill="FFFFFF"/>
            <w:tcMar>
              <w:top w:w="45" w:type="dxa"/>
              <w:start w:w="90" w:type="dxa"/>
              <w:bottom w:w="45" w:type="dxa"/>
              <w:end w:w="90" w:type="dxa"/>
            </w:tcMar>
            <w:vAlign w:val="top"/>
          </w:tcPr>
          <w:p>
            <w:pPr>
              <w:spacing w:after="20"/>
            </w:pPr>
            <w:r>
              <w:rPr>
                <w:rFonts w:ascii="Calibri" w:hAnsi="Calibri"/>
                <w:b/>
                <w:color w:val="10264B"/>
                <w:sz w:val="16"/>
              </w:rPr>
              <w:t>Supplied Reddit thread: “Now what?”</w:t>
            </w:r>
          </w:p>
          <w:p>
            <w:pPr>
              <w:spacing w:after="0"/>
            </w:pPr>
            <w:hyperlink r:id="rId29">
              <w:r>
                <w:rPr>
                  <w:rFonts w:ascii="Calibri" w:hAnsi="Calibri"/>
                  <w:color w:val="1B3A68"/>
                  <w:sz w:val="14"/>
                  <w:szCs w:val="14"/>
                  <w:u w:val="single"/>
                </w:rPr>
                <w:t>https://www.reddit.com/r/womenintech/comments/1vgxbi4/now_what/</w:t>
              </w:r>
            </w:hyperlink>
          </w:p>
        </w:tc>
        <w:tc>
          <w:tcPr>
            <w:tcW w:type="dxa" w:w="5000"/>
            <w:shd w:fill="FFFFFF"/>
            <w:tcMar>
              <w:top w:w="45" w:type="dxa"/>
              <w:start w:w="90" w:type="dxa"/>
              <w:bottom w:w="45" w:type="dxa"/>
              <w:end w:w="90" w:type="dxa"/>
            </w:tcMar>
            <w:vAlign w:val="top"/>
          </w:tcPr>
          <w:p>
            <w:pPr>
              <w:spacing w:after="20"/>
            </w:pPr>
            <w:r>
              <w:rPr>
                <w:rFonts w:ascii="Calibri" w:hAnsi="Calibri"/>
                <w:b/>
                <w:color w:val="10264B"/>
                <w:sz w:val="16"/>
              </w:rPr>
              <w:t>Supplied Reddit thread: senior women in tech</w:t>
            </w:r>
          </w:p>
          <w:p>
            <w:pPr>
              <w:spacing w:after="0"/>
            </w:pPr>
            <w:hyperlink r:id="rId30">
              <w:r>
                <w:rPr>
                  <w:rFonts w:ascii="Calibri" w:hAnsi="Calibri"/>
                  <w:color w:val="1B3A68"/>
                  <w:sz w:val="14"/>
                  <w:szCs w:val="14"/>
                  <w:u w:val="single"/>
                </w:rPr>
                <w:t>https://www.reddit.com/r/womenintech/comments/1szt3t9/where_do_the_senior_women_in_tech_go_when_they/</w:t>
              </w:r>
            </w:hyperlink>
          </w:p>
        </w:tc>
      </w:tr>
      <w:tr>
        <w:trPr>
          <w:cantSplit/>
        </w:trPr>
        <w:tc>
          <w:tcPr>
            <w:tcW w:type="dxa" w:w="5000"/>
            <w:shd w:fill="F3F5F7"/>
            <w:tcMar>
              <w:top w:w="45" w:type="dxa"/>
              <w:start w:w="90" w:type="dxa"/>
              <w:bottom w:w="45" w:type="dxa"/>
              <w:end w:w="90" w:type="dxa"/>
            </w:tcMar>
            <w:vAlign w:val="top"/>
          </w:tcPr>
          <w:p>
            <w:pPr>
              <w:spacing w:after="20"/>
            </w:pPr>
            <w:r>
              <w:rPr>
                <w:rFonts w:ascii="Calibri" w:hAnsi="Calibri"/>
                <w:b/>
                <w:color w:val="10264B"/>
                <w:sz w:val="16"/>
              </w:rPr>
              <w:t>Supplied Reddit thread: 40-year-old entering tech</w:t>
            </w:r>
          </w:p>
          <w:p>
            <w:pPr>
              <w:spacing w:after="0"/>
            </w:pPr>
            <w:hyperlink r:id="rId31">
              <w:r>
                <w:rPr>
                  <w:rFonts w:ascii="Calibri" w:hAnsi="Calibri"/>
                  <w:color w:val="1B3A68"/>
                  <w:sz w:val="14"/>
                  <w:szCs w:val="14"/>
                  <w:u w:val="single"/>
                </w:rPr>
                <w:t>https://www.reddit.com/r/womenintech/comments/1u8en48/how_is_the_job_market_for_a_40yearold_woman_just/</w:t>
              </w:r>
            </w:hyperlink>
          </w:p>
        </w:tc>
        <w:tc>
          <w:tcPr>
            <w:tcW w:type="dxa" w:w="5000"/>
            <w:shd w:fill="F3F5F7"/>
            <w:tcMar>
              <w:top w:w="45" w:type="dxa"/>
              <w:start w:w="90" w:type="dxa"/>
              <w:bottom w:w="45" w:type="dxa"/>
              <w:end w:w="90" w:type="dxa"/>
            </w:tcMar>
            <w:vAlign w:val="top"/>
          </w:tcPr>
          <w:p>
            <w:pPr>
              <w:spacing w:after="20"/>
            </w:pPr>
            <w:r>
              <w:rPr>
                <w:rFonts w:ascii="Calibri" w:hAnsi="Calibri"/>
                <w:b/>
                <w:color w:val="10264B"/>
                <w:sz w:val="16"/>
              </w:rPr>
              <w:t>Reddit: I don’t recognize software engineering anymore</w:t>
            </w:r>
          </w:p>
          <w:p>
            <w:pPr>
              <w:spacing w:after="0"/>
            </w:pPr>
            <w:hyperlink r:id="rId32">
              <w:r>
                <w:rPr>
                  <w:rFonts w:ascii="Calibri" w:hAnsi="Calibri"/>
                  <w:color w:val="1B3A68"/>
                  <w:sz w:val="14"/>
                  <w:szCs w:val="14"/>
                  <w:u w:val="single"/>
                </w:rPr>
                <w:t>https://www.reddit.com/r/womenintech/comments/1vfqn6h/i_feel_like_i_dont_recognize_software_engineering/</w:t>
              </w:r>
            </w:hyperlink>
          </w:p>
        </w:tc>
      </w:tr>
      <w:tr>
        <w:trPr>
          <w:cantSplit/>
        </w:trPr>
        <w:tc>
          <w:tcPr>
            <w:tcW w:type="dxa" w:w="5000"/>
            <w:shd w:fill="FFFFFF"/>
            <w:tcMar>
              <w:top w:w="45" w:type="dxa"/>
              <w:start w:w="90" w:type="dxa"/>
              <w:bottom w:w="45" w:type="dxa"/>
              <w:end w:w="90" w:type="dxa"/>
            </w:tcMar>
            <w:vAlign w:val="top"/>
          </w:tcPr>
          <w:p>
            <w:pPr>
              <w:spacing w:after="20"/>
            </w:pPr>
            <w:r>
              <w:rPr>
                <w:rFonts w:ascii="Calibri" w:hAnsi="Calibri"/>
                <w:b/>
                <w:color w:val="10264B"/>
                <w:sz w:val="16"/>
              </w:rPr>
              <w:t>Reddit: A big eff you to AI</w:t>
            </w:r>
          </w:p>
          <w:p>
            <w:pPr>
              <w:spacing w:after="0"/>
            </w:pPr>
            <w:hyperlink r:id="rId33">
              <w:r>
                <w:rPr>
                  <w:rFonts w:ascii="Calibri" w:hAnsi="Calibri"/>
                  <w:color w:val="1B3A68"/>
                  <w:sz w:val="14"/>
                  <w:szCs w:val="14"/>
                  <w:u w:val="single"/>
                </w:rPr>
                <w:t>https://www.reddit.com/r/womenintech/comments/1tkwxc4/a_big_eff_you_to_ai/</w:t>
              </w:r>
            </w:hyperlink>
          </w:p>
        </w:tc>
        <w:tc>
          <w:tcPr>
            <w:tcW w:type="dxa" w:w="5000"/>
            <w:shd w:fill="FFFFFF"/>
            <w:tcMar>
              <w:top w:w="45" w:type="dxa"/>
              <w:start w:w="90" w:type="dxa"/>
              <w:bottom w:w="45" w:type="dxa"/>
              <w:end w:w="90" w:type="dxa"/>
            </w:tcMar>
            <w:vAlign w:val="top"/>
          </w:tcPr>
          <w:p>
            <w:pPr>
              <w:spacing w:after="20"/>
            </w:pPr>
            <w:r>
              <w:rPr>
                <w:rFonts w:ascii="Calibri" w:hAnsi="Calibri"/>
                <w:b/>
                <w:color w:val="10264B"/>
                <w:sz w:val="16"/>
              </w:rPr>
              <w:t>Reddit: 35+ women in tech</w:t>
            </w:r>
          </w:p>
          <w:p>
            <w:pPr>
              <w:spacing w:after="0"/>
            </w:pPr>
            <w:hyperlink r:id="rId34">
              <w:r>
                <w:rPr>
                  <w:rFonts w:ascii="Calibri" w:hAnsi="Calibri"/>
                  <w:color w:val="1B3A68"/>
                  <w:sz w:val="14"/>
                  <w:szCs w:val="14"/>
                  <w:u w:val="single"/>
                </w:rPr>
                <w:t>https://www.reddit.com/r/womenintech/comments/1g0xs3o/35_women_in_tech_where_are_you_now/</w:t>
              </w:r>
            </w:hyperlink>
          </w:p>
        </w:tc>
      </w:tr>
      <w:tr>
        <w:trPr>
          <w:cantSplit/>
        </w:trPr>
        <w:tc>
          <w:tcPr>
            <w:tcW w:type="dxa" w:w="5000"/>
            <w:shd w:fill="F3F5F7"/>
            <w:tcMar>
              <w:top w:w="45" w:type="dxa"/>
              <w:start w:w="90" w:type="dxa"/>
              <w:bottom w:w="45" w:type="dxa"/>
              <w:end w:w="90" w:type="dxa"/>
            </w:tcMar>
            <w:vAlign w:val="top"/>
          </w:tcPr>
          <w:p>
            <w:pPr>
              <w:spacing w:after="20"/>
            </w:pPr>
            <w:r>
              <w:rPr>
                <w:rFonts w:ascii="Calibri" w:hAnsi="Calibri"/>
                <w:b/>
                <w:color w:val="10264B"/>
                <w:sz w:val="16"/>
              </w:rPr>
              <w:t>Reddit: laid off 12 hours ago</w:t>
            </w:r>
          </w:p>
          <w:p>
            <w:pPr>
              <w:spacing w:after="0"/>
            </w:pPr>
            <w:hyperlink r:id="rId35">
              <w:r>
                <w:rPr>
                  <w:rFonts w:ascii="Calibri" w:hAnsi="Calibri"/>
                  <w:color w:val="1B3A68"/>
                  <w:sz w:val="14"/>
                  <w:szCs w:val="14"/>
                  <w:u w:val="single"/>
                </w:rPr>
                <w:t>https://www.reddit.com/r/womenintech/comments/1v8r26a/i_got_laid_off_12_hours_ago_and_im_in_shock/</w:t>
              </w:r>
            </w:hyperlink>
          </w:p>
        </w:tc>
        <w:tc>
          <w:tcPr>
            <w:tcW w:type="dxa" w:w="5000"/>
            <w:shd w:fill="F3F5F7"/>
            <w:tcMar>
              <w:top w:w="45" w:type="dxa"/>
              <w:start w:w="90" w:type="dxa"/>
              <w:bottom w:w="45" w:type="dxa"/>
              <w:end w:w="90" w:type="dxa"/>
            </w:tcMar>
            <w:vAlign w:val="top"/>
          </w:tcPr>
          <w:p>
            <w:pPr>
              <w:spacing w:after="20"/>
            </w:pPr>
            <w:r>
              <w:rPr>
                <w:rFonts w:ascii="Calibri" w:hAnsi="Calibri"/>
                <w:b/>
                <w:color w:val="10264B"/>
                <w:sz w:val="16"/>
              </w:rPr>
              <w:t>Reddit: women in tech—how do you deal?</w:t>
            </w:r>
          </w:p>
          <w:p>
            <w:pPr>
              <w:spacing w:after="0"/>
            </w:pPr>
            <w:hyperlink r:id="rId36">
              <w:r>
                <w:rPr>
                  <w:rFonts w:ascii="Calibri" w:hAnsi="Calibri"/>
                  <w:color w:val="1B3A68"/>
                  <w:sz w:val="14"/>
                  <w:szCs w:val="14"/>
                  <w:u w:val="single"/>
                </w:rPr>
                <w:t>https://www.reddit.com/r/cscareerquestions/comments/m5zh7w/women_in_tech_how_do_you_deal/</w:t>
              </w:r>
            </w:hyperlink>
          </w:p>
        </w:tc>
      </w:tr>
      <w:tr>
        <w:trPr>
          <w:cantSplit/>
        </w:trPr>
        <w:tc>
          <w:tcPr>
            <w:tcW w:type="dxa" w:w="5000"/>
            <w:shd w:fill="FFFFFF"/>
            <w:tcMar>
              <w:top w:w="45" w:type="dxa"/>
              <w:start w:w="90" w:type="dxa"/>
              <w:bottom w:w="45" w:type="dxa"/>
              <w:end w:w="90" w:type="dxa"/>
            </w:tcMar>
            <w:vAlign w:val="top"/>
          </w:tcPr>
          <w:p>
            <w:pPr>
              <w:spacing w:after="20"/>
            </w:pPr>
            <w:r>
              <w:rPr>
                <w:rFonts w:ascii="Calibri" w:hAnsi="Calibri"/>
                <w:b/>
                <w:color w:val="10264B"/>
                <w:sz w:val="16"/>
              </w:rPr>
              <w:t>Reddit: impending layoffs</w:t>
            </w:r>
          </w:p>
          <w:p>
            <w:pPr>
              <w:spacing w:after="0"/>
            </w:pPr>
            <w:hyperlink r:id="rId37">
              <w:r>
                <w:rPr>
                  <w:rFonts w:ascii="Calibri" w:hAnsi="Calibri"/>
                  <w:color w:val="1B3A68"/>
                  <w:sz w:val="14"/>
                  <w:szCs w:val="14"/>
                  <w:u w:val="single"/>
                </w:rPr>
                <w:t>https://www.reddit.com/r/womenintech/comments/1ulvqae/impending_layoffs/</w:t>
              </w:r>
            </w:hyperlink>
          </w:p>
        </w:tc>
        <w:tc>
          <w:tcPr>
            <w:tcW w:type="dxa" w:w="5000"/>
            <w:shd w:fill="FFFFFF"/>
            <w:tcMar>
              <w:top w:w="45" w:type="dxa"/>
              <w:start w:w="90" w:type="dxa"/>
              <w:bottom w:w="45" w:type="dxa"/>
              <w:end w:w="90" w:type="dxa"/>
            </w:tcMar>
            <w:vAlign w:val="top"/>
          </w:tcPr>
          <w:p>
            <w:pPr>
              <w:spacing w:after="20"/>
            </w:pPr>
            <w:r>
              <w:rPr>
                <w:rFonts w:ascii="Calibri" w:hAnsi="Calibri"/>
                <w:b/>
                <w:color w:val="10264B"/>
                <w:sz w:val="16"/>
              </w:rPr>
              <w:t>Reddit: Grace Hopper as a senior engineer</w:t>
            </w:r>
          </w:p>
          <w:p>
            <w:pPr>
              <w:spacing w:after="0"/>
            </w:pPr>
            <w:hyperlink r:id="rId38">
              <w:r>
                <w:rPr>
                  <w:rFonts w:ascii="Calibri" w:hAnsi="Calibri"/>
                  <w:color w:val="1B3A68"/>
                  <w:sz w:val="14"/>
                  <w:szCs w:val="14"/>
                  <w:u w:val="single"/>
                </w:rPr>
                <w:t>https://www.reddit.com/r/womenintech/comments/1nukhdi/worth_going_to_grace_hopper_2025_as_a_senior/</w:t>
              </w:r>
            </w:hyperlink>
          </w:p>
        </w:tc>
      </w:tr>
      <w:tr>
        <w:trPr>
          <w:cantSplit/>
        </w:trPr>
        <w:tc>
          <w:tcPr>
            <w:tcW w:type="dxa" w:w="5000"/>
            <w:shd w:fill="F3F5F7"/>
            <w:tcMar>
              <w:top w:w="45" w:type="dxa"/>
              <w:start w:w="90" w:type="dxa"/>
              <w:bottom w:w="45" w:type="dxa"/>
              <w:end w:w="90" w:type="dxa"/>
            </w:tcMar>
            <w:vAlign w:val="top"/>
          </w:tcPr>
          <w:p>
            <w:pPr>
              <w:spacing w:after="20"/>
            </w:pPr>
            <w:r>
              <w:rPr>
                <w:rFonts w:ascii="Calibri" w:hAnsi="Calibri"/>
                <w:b/>
                <w:color w:val="10264B"/>
                <w:sz w:val="16"/>
              </w:rPr>
              <w:t>Reddit: anyone else leaving tech?</w:t>
            </w:r>
          </w:p>
          <w:p>
            <w:pPr>
              <w:spacing w:after="0"/>
            </w:pPr>
            <w:hyperlink r:id="rId39">
              <w:r>
                <w:rPr>
                  <w:rFonts w:ascii="Calibri" w:hAnsi="Calibri"/>
                  <w:color w:val="1B3A68"/>
                  <w:sz w:val="14"/>
                  <w:szCs w:val="14"/>
                  <w:u w:val="single"/>
                </w:rPr>
                <w:t>https://www.reddit.com/r/womenintech/comments/1j4f2tj/anyone_else_thinking_of_leaving_tech/</w:t>
              </w:r>
            </w:hyperlink>
          </w:p>
        </w:tc>
        <w:tc>
          <w:tcPr>
            <w:tcW w:type="dxa" w:w="5000"/>
            <w:shd w:fill="F3F5F7"/>
            <w:tcMar>
              <w:top w:w="45" w:type="dxa"/>
              <w:start w:w="90" w:type="dxa"/>
              <w:bottom w:w="45" w:type="dxa"/>
              <w:end w:w="90" w:type="dxa"/>
            </w:tcMar>
            <w:vAlign w:val="top"/>
          </w:tcPr>
          <w:p>
            <w:pPr>
              <w:spacing w:after="20"/>
            </w:pPr>
            <w:r>
              <w:rPr>
                <w:rFonts w:ascii="Calibri" w:hAnsi="Calibri"/>
                <w:b/>
                <w:color w:val="10264B"/>
                <w:sz w:val="16"/>
              </w:rPr>
              <w:t>Reddit: toughest time finding a tech job</w:t>
            </w:r>
          </w:p>
          <w:p>
            <w:pPr>
              <w:spacing w:after="0"/>
            </w:pPr>
            <w:hyperlink r:id="rId40">
              <w:r>
                <w:rPr>
                  <w:rFonts w:ascii="Calibri" w:hAnsi="Calibri"/>
                  <w:color w:val="1B3A68"/>
                  <w:sz w:val="14"/>
                  <w:szCs w:val="14"/>
                  <w:u w:val="single"/>
                </w:rPr>
                <w:t>https://www.reddit.com/r/womenintech/comments/1og325w/never_had_a_tougher_time_finding_a_tech_job_than/</w:t>
              </w:r>
            </w:hyperlink>
          </w:p>
        </w:tc>
      </w:tr>
      <w:tr>
        <w:trPr>
          <w:cantSplit/>
        </w:trPr>
        <w:tc>
          <w:tcPr>
            <w:tcW w:type="dxa" w:w="5000"/>
            <w:shd w:fill="FFFFFF"/>
            <w:tcMar>
              <w:top w:w="45" w:type="dxa"/>
              <w:start w:w="90" w:type="dxa"/>
              <w:bottom w:w="45" w:type="dxa"/>
              <w:end w:w="90" w:type="dxa"/>
            </w:tcMar>
            <w:vAlign w:val="top"/>
          </w:tcPr>
          <w:p>
            <w:pPr>
              <w:spacing w:after="20"/>
            </w:pPr>
            <w:r>
              <w:rPr>
                <w:rFonts w:ascii="Calibri" w:hAnsi="Calibri"/>
                <w:b/>
                <w:color w:val="10264B"/>
                <w:sz w:val="16"/>
              </w:rPr>
              <w:t>Reddit: started in tech in their 30s</w:t>
            </w:r>
          </w:p>
          <w:p>
            <w:pPr>
              <w:spacing w:after="0"/>
            </w:pPr>
            <w:hyperlink r:id="rId41">
              <w:r>
                <w:rPr>
                  <w:rFonts w:ascii="Calibri" w:hAnsi="Calibri"/>
                  <w:color w:val="1B3A68"/>
                  <w:sz w:val="14"/>
                  <w:szCs w:val="14"/>
                  <w:u w:val="single"/>
                </w:rPr>
                <w:t>https://www.reddit.com/r/womenintech/comments/1lkin48/did_anyone_get_started_in_tech_in_their_30s/</w:t>
              </w:r>
            </w:hyperlink>
          </w:p>
        </w:tc>
        <w:tc>
          <w:tcPr>
            <w:tcW w:type="dxa" w:w="5000"/>
            <w:shd w:fill="FFFFFF"/>
            <w:tcMar>
              <w:top w:w="45" w:type="dxa"/>
              <w:start w:w="90" w:type="dxa"/>
              <w:bottom w:w="45" w:type="dxa"/>
              <w:end w:w="90" w:type="dxa"/>
            </w:tcMar>
            <w:vAlign w:val="top"/>
          </w:tcPr>
          <w:p>
            <w:pPr>
              <w:spacing w:after="20"/>
            </w:pPr>
            <w:r>
              <w:rPr>
                <w:rFonts w:ascii="Calibri" w:hAnsi="Calibri"/>
                <w:b/>
                <w:color w:val="10264B"/>
                <w:sz w:val="16"/>
              </w:rPr>
              <w:t>Reddit: well-being as a 41-year-old senior engineer</w:t>
            </w:r>
          </w:p>
          <w:p>
            <w:pPr>
              <w:spacing w:after="0"/>
            </w:pPr>
            <w:hyperlink r:id="rId42">
              <w:r>
                <w:rPr>
                  <w:rFonts w:ascii="Calibri" w:hAnsi="Calibri"/>
                  <w:color w:val="1B3A68"/>
                  <w:sz w:val="14"/>
                  <w:szCs w:val="14"/>
                  <w:u w:val="single"/>
                </w:rPr>
                <w:t>https://www.reddit.com/r/womenintech/comments/1tqivxr/how_do_you_take_care_of_your_wellbeing/</w:t>
              </w:r>
            </w:hyperlink>
          </w:p>
        </w:tc>
      </w:tr>
      <w:tr>
        <w:trPr>
          <w:cantSplit/>
        </w:trPr>
        <w:tc>
          <w:tcPr>
            <w:tcW w:type="dxa" w:w="5000"/>
            <w:shd w:fill="F3F5F7"/>
            <w:tcMar>
              <w:top w:w="45" w:type="dxa"/>
              <w:start w:w="90" w:type="dxa"/>
              <w:bottom w:w="45" w:type="dxa"/>
              <w:end w:w="90" w:type="dxa"/>
            </w:tcMar>
            <w:vAlign w:val="top"/>
          </w:tcPr>
          <w:p>
            <w:pPr>
              <w:spacing w:after="20"/>
            </w:pPr>
            <w:r>
              <w:rPr>
                <w:rFonts w:ascii="Calibri" w:hAnsi="Calibri"/>
                <w:b/>
                <w:color w:val="10264B"/>
                <w:sz w:val="16"/>
              </w:rPr>
              <w:t>Reddit: risk of staying an individual contributor</w:t>
            </w:r>
          </w:p>
          <w:p>
            <w:pPr>
              <w:spacing w:after="0"/>
            </w:pPr>
            <w:hyperlink r:id="rId43">
              <w:r>
                <w:rPr>
                  <w:rFonts w:ascii="Calibri" w:hAnsi="Calibri"/>
                  <w:color w:val="1B3A68"/>
                  <w:sz w:val="14"/>
                  <w:szCs w:val="14"/>
                  <w:u w:val="single"/>
                </w:rPr>
                <w:t>https://www.reddit.com/r/auscorp/comments/1ripagw/the_risk_of_staying_an_individual_contributor/</w:t>
              </w:r>
            </w:hyperlink>
          </w:p>
        </w:tc>
        <w:tc>
          <w:tcPr>
            <w:tcW w:type="dxa" w:w="5000"/>
            <w:shd w:fill="F3F5F7"/>
            <w:tcMar>
              <w:top w:w="45" w:type="dxa"/>
              <w:start w:w="90" w:type="dxa"/>
              <w:bottom w:w="45" w:type="dxa"/>
              <w:end w:w="90" w:type="dxa"/>
            </w:tcMar>
            <w:vAlign w:val="top"/>
          </w:tcPr>
          <w:p>
            <w:pPr>
              <w:spacing w:after="20"/>
            </w:pPr>
            <w:r>
              <w:rPr>
                <w:rFonts w:ascii="Calibri" w:hAnsi="Calibri"/>
                <w:b/>
                <w:color w:val="10264B"/>
                <w:sz w:val="16"/>
              </w:rPr>
              <w:t>Reddit: career break and caregiving</w:t>
            </w:r>
          </w:p>
          <w:p>
            <w:pPr>
              <w:spacing w:after="0"/>
            </w:pPr>
            <w:hyperlink r:id="rId44">
              <w:r>
                <w:rPr>
                  <w:rFonts w:ascii="Calibri" w:hAnsi="Calibri"/>
                  <w:color w:val="1B3A68"/>
                  <w:sz w:val="14"/>
                  <w:szCs w:val="14"/>
                  <w:u w:val="single"/>
                </w:rPr>
                <w:t>https://www.reddit.com/r/AskWomenOver30/comments/ys25lg/i_took_a_career_break_then_i_was_fulltime/</w:t>
              </w:r>
            </w:hyperlink>
          </w:p>
        </w:tc>
      </w:tr>
      <w:tr>
        <w:trPr>
          <w:cantSplit/>
        </w:trPr>
        <w:tc>
          <w:tcPr>
            <w:tcW w:type="dxa" w:w="5000"/>
            <w:shd w:fill="FFFFFF"/>
            <w:tcMar>
              <w:top w:w="45" w:type="dxa"/>
              <w:start w:w="90" w:type="dxa"/>
              <w:bottom w:w="45" w:type="dxa"/>
              <w:end w:w="90" w:type="dxa"/>
            </w:tcMar>
            <w:vAlign w:val="top"/>
          </w:tcPr>
          <w:p>
            <w:pPr>
              <w:spacing w:after="20"/>
            </w:pPr>
            <w:r>
              <w:rPr>
                <w:rFonts w:ascii="Calibri" w:hAnsi="Calibri"/>
                <w:b/>
                <w:color w:val="10264B"/>
                <w:sz w:val="16"/>
              </w:rPr>
              <w:t>Reddit: joined consulting late</w:t>
            </w:r>
          </w:p>
          <w:p>
            <w:pPr>
              <w:spacing w:after="0"/>
            </w:pPr>
            <w:hyperlink r:id="rId45">
              <w:r>
                <w:rPr>
                  <w:rFonts w:ascii="Calibri" w:hAnsi="Calibri"/>
                  <w:color w:val="1B3A68"/>
                  <w:sz w:val="14"/>
                  <w:szCs w:val="14"/>
                  <w:u w:val="single"/>
                </w:rPr>
                <w:t>https://www.reddit.com/r/consulting/comments/1j3hysf/anyone_else_joined_consulting_late_so_youre_older/</w:t>
              </w:r>
            </w:hyperlink>
          </w:p>
        </w:tc>
        <w:tc>
          <w:tcPr>
            <w:tcW w:type="dxa" w:w="5000"/>
            <w:shd w:fill="FFFFFF"/>
            <w:tcMar>
              <w:top w:w="45" w:type="dxa"/>
              <w:start w:w="90" w:type="dxa"/>
              <w:bottom w:w="45" w:type="dxa"/>
              <w:end w:w="90" w:type="dxa"/>
            </w:tcMar>
            <w:vAlign w:val="top"/>
          </w:tcPr>
          <w:p>
            <w:pPr>
              <w:spacing w:after="20"/>
            </w:pPr>
            <w:r>
              <w:rPr>
                <w:rFonts w:ascii="Calibri" w:hAnsi="Calibri"/>
                <w:b/>
                <w:color w:val="10264B"/>
                <w:sz w:val="16"/>
              </w:rPr>
              <w:t>Reddit: manager blocked promotion</w:t>
            </w:r>
          </w:p>
          <w:p>
            <w:pPr>
              <w:spacing w:after="0"/>
            </w:pPr>
            <w:hyperlink r:id="rId46">
              <w:r>
                <w:rPr>
                  <w:rFonts w:ascii="Calibri" w:hAnsi="Calibri"/>
                  <w:color w:val="1B3A68"/>
                  <w:sz w:val="14"/>
                  <w:szCs w:val="14"/>
                  <w:u w:val="single"/>
                </w:rPr>
                <w:t>https://www.reddit.com/r/careerguidance/comments/zqthm5/my_boss_blocked_my_promotion_how_do_i_move_past/</w:t>
              </w:r>
            </w:hyperlink>
          </w:p>
        </w:tc>
      </w:tr>
      <w:tr>
        <w:trPr>
          <w:cantSplit/>
        </w:trPr>
        <w:tc>
          <w:tcPr>
            <w:tcW w:type="dxa" w:w="5000"/>
            <w:shd w:fill="F3F5F7"/>
            <w:tcMar>
              <w:top w:w="45" w:type="dxa"/>
              <w:start w:w="90" w:type="dxa"/>
              <w:bottom w:w="45" w:type="dxa"/>
              <w:end w:w="90" w:type="dxa"/>
            </w:tcMar>
            <w:vAlign w:val="top"/>
          </w:tcPr>
          <w:p>
            <w:pPr>
              <w:spacing w:after="20"/>
            </w:pPr>
            <w:r>
              <w:rPr>
                <w:rFonts w:ascii="Calibri" w:hAnsi="Calibri"/>
                <w:b/>
                <w:color w:val="10264B"/>
                <w:sz w:val="16"/>
              </w:rPr>
              <w:t>Reddit: few women principal engineers</w:t>
            </w:r>
          </w:p>
          <w:p>
            <w:pPr>
              <w:spacing w:after="0"/>
            </w:pPr>
            <w:hyperlink r:id="rId47">
              <w:r>
                <w:rPr>
                  <w:rFonts w:ascii="Calibri" w:hAnsi="Calibri"/>
                  <w:color w:val="1B3A68"/>
                  <w:sz w:val="14"/>
                  <w:szCs w:val="14"/>
                  <w:u w:val="single"/>
                </w:rPr>
                <w:t>https://www.reddit.com/r/womenintech/comments/1uwv1qd/have_you_noticed_very_few_women_principal/</w:t>
              </w:r>
            </w:hyperlink>
          </w:p>
        </w:tc>
        <w:tc>
          <w:tcPr>
            <w:tcW w:type="dxa" w:w="5000"/>
            <w:shd w:fill="F3F5F7"/>
            <w:tcMar>
              <w:top w:w="45" w:type="dxa"/>
              <w:start w:w="90" w:type="dxa"/>
              <w:bottom w:w="45" w:type="dxa"/>
              <w:end w:w="90" w:type="dxa"/>
            </w:tcMar>
            <w:vAlign w:val="top"/>
          </w:tcPr>
          <w:p>
            <w:pPr>
              <w:spacing w:after="20"/>
            </w:pPr>
            <w:r>
              <w:rPr>
                <w:rFonts w:ascii="Calibri" w:hAnsi="Calibri"/>
                <w:b/>
                <w:color w:val="10264B"/>
                <w:sz w:val="16"/>
              </w:rPr>
              <w:t>AARP: age bias survey 2026</w:t>
            </w:r>
          </w:p>
          <w:p>
            <w:pPr>
              <w:spacing w:after="0"/>
            </w:pPr>
            <w:hyperlink r:id="rId48">
              <w:r>
                <w:rPr>
                  <w:rFonts w:ascii="Calibri" w:hAnsi="Calibri"/>
                  <w:color w:val="1B3A68"/>
                  <w:sz w:val="14"/>
                  <w:szCs w:val="14"/>
                  <w:u w:val="single"/>
                </w:rPr>
                <w:t>https://www.aarp.org/work/age-discrimination/age-bias-survey-2026/</w:t>
              </w:r>
            </w:hyperlink>
          </w:p>
        </w:tc>
      </w:tr>
      <w:tr>
        <w:trPr>
          <w:cantSplit/>
        </w:trPr>
        <w:tc>
          <w:tcPr>
            <w:tcW w:type="dxa" w:w="5000"/>
            <w:shd w:fill="FFFFFF"/>
            <w:tcMar>
              <w:top w:w="45" w:type="dxa"/>
              <w:start w:w="90" w:type="dxa"/>
              <w:bottom w:w="45" w:type="dxa"/>
              <w:end w:w="90" w:type="dxa"/>
            </w:tcMar>
            <w:vAlign w:val="top"/>
          </w:tcPr>
          <w:p>
            <w:pPr>
              <w:spacing w:after="20"/>
            </w:pPr>
            <w:r>
              <w:rPr>
                <w:rFonts w:ascii="Calibri" w:hAnsi="Calibri"/>
                <w:b/>
                <w:color w:val="10264B"/>
                <w:sz w:val="16"/>
              </w:rPr>
              <w:t>McKinsey / LeanIn: Women in the Workplace 2025</w:t>
            </w:r>
          </w:p>
          <w:p>
            <w:pPr>
              <w:spacing w:after="0"/>
            </w:pPr>
            <w:hyperlink r:id="rId49">
              <w:r>
                <w:rPr>
                  <w:rFonts w:ascii="Calibri" w:hAnsi="Calibri"/>
                  <w:color w:val="1B3A68"/>
                  <w:sz w:val="14"/>
                  <w:szCs w:val="14"/>
                  <w:u w:val="single"/>
                </w:rPr>
                <w:t>https://www.mckinsey.com/capabilities/people-and-organizational-performance/our-insights/women-in-the-workplace</w:t>
              </w:r>
            </w:hyperlink>
          </w:p>
        </w:tc>
        <w:tc>
          <w:tcPr>
            <w:tcW w:type="dxa" w:w="5000"/>
            <w:shd w:fill="FFFFFF"/>
            <w:tcMar>
              <w:top w:w="45" w:type="dxa"/>
              <w:start w:w="90" w:type="dxa"/>
              <w:bottom w:w="45" w:type="dxa"/>
              <w:end w:w="90" w:type="dxa"/>
            </w:tcMar>
            <w:vAlign w:val="top"/>
          </w:tcPr>
          <w:p>
            <w:pPr>
              <w:spacing w:after="20"/>
            </w:pPr>
            <w:r>
              <w:rPr>
                <w:rFonts w:ascii="Calibri" w:hAnsi="Calibri"/>
                <w:b/>
                <w:color w:val="10264B"/>
                <w:sz w:val="16"/>
              </w:rPr>
              <w:t>LinkedIn Economic Graph: Work Change Report</w:t>
            </w:r>
          </w:p>
          <w:p>
            <w:pPr>
              <w:spacing w:after="0"/>
            </w:pPr>
            <w:hyperlink r:id="rId50">
              <w:r>
                <w:rPr>
                  <w:rFonts w:ascii="Calibri" w:hAnsi="Calibri"/>
                  <w:color w:val="1B3A68"/>
                  <w:sz w:val="14"/>
                  <w:szCs w:val="14"/>
                  <w:u w:val="single"/>
                </w:rPr>
                <w:t>https://economicgraph.linkedin.com/research/work-change-report</w:t>
              </w:r>
            </w:hyperlink>
          </w:p>
        </w:tc>
      </w:tr>
      <w:tr>
        <w:trPr>
          <w:cantSplit/>
        </w:trPr>
        <w:tc>
          <w:tcPr>
            <w:tcW w:type="dxa" w:w="5000"/>
            <w:shd w:fill="F3F5F7"/>
            <w:tcMar>
              <w:top w:w="45" w:type="dxa"/>
              <w:start w:w="90" w:type="dxa"/>
              <w:bottom w:w="45" w:type="dxa"/>
              <w:end w:w="90" w:type="dxa"/>
            </w:tcMar>
            <w:vAlign w:val="top"/>
          </w:tcPr>
          <w:p>
            <w:pPr>
              <w:spacing w:after="20"/>
            </w:pPr>
            <w:r>
              <w:rPr>
                <w:rFonts w:ascii="Calibri" w:hAnsi="Calibri"/>
                <w:b/>
                <w:color w:val="10264B"/>
                <w:sz w:val="16"/>
              </w:rPr>
              <w:t>LinkedIn Learning: Workplace Learning Report 2025</w:t>
            </w:r>
          </w:p>
          <w:p>
            <w:pPr>
              <w:spacing w:after="0"/>
            </w:pPr>
            <w:hyperlink r:id="rId51">
              <w:r>
                <w:rPr>
                  <w:rFonts w:ascii="Calibri" w:hAnsi="Calibri"/>
                  <w:color w:val="1B3A68"/>
                  <w:sz w:val="14"/>
                  <w:szCs w:val="14"/>
                  <w:u w:val="single"/>
                </w:rPr>
                <w:t>https://business.linkedin.com/learn/resources/workplace-learning-report</w:t>
              </w:r>
            </w:hyperlink>
          </w:p>
        </w:tc>
        <w:tc>
          <w:tcPr>
            <w:tcW w:type="dxa" w:w="5000"/>
            <w:shd w:fill="F3F5F7"/>
            <w:tcMar>
              <w:top w:w="45" w:type="dxa"/>
              <w:start w:w="90" w:type="dxa"/>
              <w:bottom w:w="45" w:type="dxa"/>
              <w:end w:w="90" w:type="dxa"/>
            </w:tcMar>
            <w:vAlign w:val="top"/>
          </w:tcPr>
          <w:p>
            <w:pPr>
              <w:spacing w:after="20"/>
            </w:pPr>
            <w:r>
              <w:rPr>
                <w:rFonts w:ascii="Calibri" w:hAnsi="Calibri"/>
                <w:b/>
                <w:color w:val="10264B"/>
                <w:sz w:val="16"/>
              </w:rPr>
              <w:t>NCWIT Scorecard</w:t>
            </w:r>
          </w:p>
          <w:p>
            <w:pPr>
              <w:spacing w:after="0"/>
            </w:pPr>
            <w:hyperlink r:id="rId52">
              <w:r>
                <w:rPr>
                  <w:rFonts w:ascii="Calibri" w:hAnsi="Calibri"/>
                  <w:color w:val="1B3A68"/>
                  <w:sz w:val="14"/>
                  <w:szCs w:val="14"/>
                  <w:u w:val="single"/>
                </w:rPr>
                <w:t>https://ncwit.org/resource/scorecard/</w:t>
              </w:r>
            </w:hyperlink>
          </w:p>
        </w:tc>
      </w:tr>
    </w:tbl>
    <w:p>
      <w:pPr>
        <w:pStyle w:val="Heading2"/>
        <w:keepNext/>
      </w:pPr>
      <w:r>
        <w:rPr>
          <w:rFonts w:ascii="Calibri" w:hAnsi="Calibri"/>
          <w:b/>
          <w:color w:val="10264B"/>
          <w:sz w:val="26"/>
        </w:rPr>
        <w:t>Approved internal source documents used</w:t>
      </w:r>
    </w:p>
    <w:tbl>
      <w:tblPr>
        <w:tblW w:type="dxa" w:w="10000"/>
        <w:tblLook w:firstColumn="1" w:firstRow="1" w:lastColumn="0" w:lastRow="0" w:noHBand="0" w:noVBand="1" w:val="04A0"/>
        <w:tblLayout w:type="fixed"/>
        <w:tblInd w:w="0" w:type="dxa"/>
        <w:tblBorders>
          <w:top w:val="single" w:sz="3" w:space="0" w:color="DDE2E8"/>
          <w:left w:val="single" w:sz="3" w:space="0" w:color="DDE2E8"/>
          <w:bottom w:val="single" w:sz="3" w:space="0" w:color="DDE2E8"/>
          <w:right w:val="single" w:sz="3" w:space="0" w:color="DDE2E8"/>
          <w:insideH w:val="single" w:sz="3" w:space="0" w:color="DDE2E8"/>
          <w:insideV w:val="single" w:sz="3" w:space="0" w:color="DDE2E8"/>
        </w:tblBorders>
      </w:tblPr>
      <w:tblGrid>
        <w:gridCol w:w="5000"/>
        <w:gridCol w:w="5000"/>
      </w:tblGrid>
      <w:tr>
        <w:trPr>
          <w:cantSplit/>
        </w:trPr>
        <w:tc>
          <w:tcPr>
            <w:tcW w:type="dxa" w:w="5000"/>
            <w:shd w:fill="E9EFF6"/>
            <w:tcMar>
              <w:top w:w="70" w:type="dxa"/>
              <w:start w:w="90" w:type="dxa"/>
              <w:bottom w:w="70" w:type="dxa"/>
              <w:end w:w="90" w:type="dxa"/>
            </w:tcMar>
            <w:vAlign w:val="top"/>
          </w:tcPr>
          <w:p>
            <w:r>
              <w:rPr>
                <w:rFonts w:ascii="Calibri" w:hAnsi="Calibri"/>
                <w:color w:val="18263A"/>
                <w:sz w:val="17"/>
              </w:rPr>
              <w:t>YouTube Strategy and Roadmap: Career Portability, revised 26 August 2026</w:t>
            </w:r>
          </w:p>
        </w:tc>
        <w:tc>
          <w:tcPr>
            <w:tcW w:type="dxa" w:w="5000"/>
            <w:shd w:fill="F7F3EA"/>
            <w:tcMar>
              <w:top w:w="70" w:type="dxa"/>
              <w:start w:w="90" w:type="dxa"/>
              <w:bottom w:w="70" w:type="dxa"/>
              <w:end w:w="90" w:type="dxa"/>
            </w:tcMar>
            <w:vAlign w:val="top"/>
          </w:tcPr>
          <w:p>
            <w:r>
              <w:rPr>
                <w:rFonts w:ascii="Calibri" w:hAnsi="Calibri"/>
                <w:color w:val="18263A"/>
                <w:sz w:val="17"/>
              </w:rPr>
              <w:t>YouTube editor handoff for Videos 1–3 and individual editor briefs</w:t>
            </w:r>
          </w:p>
        </w:tc>
      </w:tr>
      <w:tr>
        <w:trPr>
          <w:cantSplit/>
        </w:trPr>
        <w:tc>
          <w:tcPr>
            <w:tcW w:type="dxa" w:w="5000"/>
            <w:shd w:fill="E9EFF6"/>
            <w:tcMar>
              <w:top w:w="70" w:type="dxa"/>
              <w:start w:w="90" w:type="dxa"/>
              <w:bottom w:w="70" w:type="dxa"/>
              <w:end w:w="90" w:type="dxa"/>
            </w:tcMar>
            <w:vAlign w:val="top"/>
          </w:tcPr>
          <w:p>
            <w:r>
              <w:rPr>
                <w:rFonts w:ascii="Calibri" w:hAnsi="Calibri"/>
                <w:color w:val="18263A"/>
                <w:sz w:val="17"/>
              </w:rPr>
              <w:t>Approved Video 4 production package</w:t>
            </w:r>
          </w:p>
        </w:tc>
        <w:tc>
          <w:tcPr>
            <w:tcW w:type="dxa" w:w="5000"/>
            <w:shd w:fill="F7F3EA"/>
            <w:tcMar>
              <w:top w:w="70" w:type="dxa"/>
              <w:start w:w="90" w:type="dxa"/>
              <w:bottom w:w="70" w:type="dxa"/>
              <w:end w:w="90" w:type="dxa"/>
            </w:tcMar>
            <w:vAlign w:val="top"/>
          </w:tcPr>
          <w:p>
            <w:r>
              <w:rPr>
                <w:rFonts w:ascii="Calibri" w:hAnsi="Calibri"/>
                <w:color w:val="18263A"/>
                <w:sz w:val="17"/>
              </w:rPr>
              <w:t>Approved Video 5 production package</w:t>
            </w:r>
          </w:p>
        </w:tc>
      </w:tr>
      <w:tr>
        <w:trPr>
          <w:cantSplit/>
        </w:trPr>
        <w:tc>
          <w:tcPr>
            <w:tcW w:type="dxa" w:w="5000"/>
            <w:shd w:fill="E9EFF6"/>
            <w:tcMar>
              <w:top w:w="70" w:type="dxa"/>
              <w:start w:w="90" w:type="dxa"/>
              <w:bottom w:w="70" w:type="dxa"/>
              <w:end w:w="90" w:type="dxa"/>
            </w:tcMar>
            <w:vAlign w:val="top"/>
          </w:tcPr>
          <w:p>
            <w:r>
              <w:rPr>
                <w:rFonts w:ascii="Calibri" w:hAnsi="Calibri"/>
                <w:color w:val="18263A"/>
                <w:sz w:val="17"/>
              </w:rPr>
              <w:t>Video 6 first-pass production package</w:t>
            </w:r>
          </w:p>
        </w:tc>
        <w:tc>
          <w:tcPr>
            <w:tcW w:type="dxa" w:w="5000"/>
            <w:shd w:fill="F7F3EA"/>
            <w:tcMar>
              <w:top w:w="70" w:type="dxa"/>
              <w:start w:w="90" w:type="dxa"/>
              <w:bottom w:w="70" w:type="dxa"/>
              <w:end w:w="90" w:type="dxa"/>
            </w:tcMar>
            <w:vAlign w:val="top"/>
          </w:tcPr>
          <w:p>
            <w:r>
              <w:rPr>
                <w:rFonts w:ascii="Calibri" w:hAnsi="Calibri"/>
                <w:color w:val="18263A"/>
                <w:sz w:val="17"/>
              </w:rPr>
              <w:t>Career Portability positioning update and the attached strategic audit brief</w:t>
            </w:r>
          </w:p>
        </w:tc>
      </w:tr>
    </w:tbl>
    <w:sectPr w:rsidR="00FC693F" w:rsidRPr="0006063C" w:rsidSect="00034616">
      <w:headerReference w:type="default" r:id="rId27"/>
      <w:footerReference w:type="default" r:id="rId28"/>
      <w:pgSz w:w="15840" w:h="12240" w:orient="landscape"/>
      <w:pgMar w:top="893" w:right="720" w:bottom="893" w:left="72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8768A"/>
        <w:sz w:val="16"/>
      </w:rPr>
      <w:t xml:space="preserve">TEMIDAYO AFONJA   •   </w:t>
    </w:r>
    <w:r>
      <w:rPr>
        <w:rFonts w:ascii="Calibri" w:hAnsi="Calibri"/>
        <w:color w:val="68768A"/>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8768A"/>
        <w:sz w:val="16"/>
      </w:rPr>
      <w:t xml:space="preserve">TEMIDAYO AFONJA   •   </w:t>
    </w:r>
    <w:r>
      <w:rPr>
        <w:rFonts w:ascii="Calibri" w:hAnsi="Calibri"/>
        <w:color w:val="68768A"/>
        <w:sz w:val="17"/>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8768A"/>
        <w:sz w:val="16"/>
      </w:rPr>
      <w:t xml:space="preserve">TEMIDAYO AFONJA   •   </w:t>
    </w:r>
    <w:r>
      <w:rPr>
        <w:rFonts w:ascii="Calibri" w:hAnsi="Calibri"/>
        <w:color w:val="68768A"/>
        <w:sz w:val="17"/>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8768A"/>
        <w:sz w:val="16"/>
      </w:rPr>
      <w:t xml:space="preserve">TEMIDAYO AFONJA   •   </w:t>
    </w:r>
    <w:r>
      <w:rPr>
        <w:rFonts w:ascii="Calibri" w:hAnsi="Calibri"/>
        <w:color w:val="68768A"/>
        <w:sz w:val="17"/>
      </w:rP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8768A"/>
        <w:sz w:val="16"/>
      </w:rPr>
      <w:t xml:space="preserve">TEMIDAYO AFONJA   •   </w:t>
    </w:r>
    <w:r>
      <w:rPr>
        <w:rFonts w:ascii="Calibri" w:hAnsi="Calibri"/>
        <w:color w:val="68768A"/>
        <w:sz w:val="17"/>
      </w:rPr>
      <w:fldChar w:fldCharType="begin"/>
      <w:instrText xml:space="preserve"> PAGE </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8768A"/>
        <w:sz w:val="16"/>
      </w:rPr>
      <w:t xml:space="preserve">TEMIDAYO AFONJA   •   </w:t>
    </w:r>
    <w:r>
      <w:rPr>
        <w:rFonts w:ascii="Calibri" w:hAnsi="Calibri"/>
        <w:color w:val="68768A"/>
        <w:sz w:val="17"/>
      </w:rPr>
      <w:fldChar w:fldCharType="begin"/>
      <w:instrText xml:space="preserve"> PAGE </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8768A"/>
        <w:sz w:val="16"/>
      </w:rPr>
      <w:t xml:space="preserve">TEMIDAYO AFONJA   •   </w:t>
    </w:r>
    <w:r>
      <w:rPr>
        <w:rFonts w:ascii="Calibri" w:hAnsi="Calibri"/>
        <w:color w:val="68768A"/>
        <w:sz w:val="17"/>
      </w:rPr>
      <w:fldChar w:fldCharType="begin"/>
      <w:instrText xml:space="preserve"> PAGE </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8768A"/>
        <w:sz w:val="16"/>
      </w:rPr>
      <w:t xml:space="preserve">TEMIDAYO AFONJA   •   </w:t>
    </w:r>
    <w:r>
      <w:rPr>
        <w:rFonts w:ascii="Calibri" w:hAnsi="Calibri"/>
        <w:color w:val="68768A"/>
        <w:sz w:val="17"/>
      </w:rPr>
      <w:fldChar w:fldCharType="begin"/>
      <w:instrText xml:space="preserve"> PAGE </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8768A"/>
        <w:sz w:val="16"/>
      </w:rPr>
      <w:t xml:space="preserve">TEMIDAYO AFONJA   •   </w:t>
    </w:r>
    <w:r>
      <w:rPr>
        <w:rFonts w:ascii="Calibri" w:hAnsi="Calibri"/>
        <w:color w:val="68768A"/>
        <w:sz w:val="17"/>
      </w:rPr>
      <w:fldChar w:fldCharType="begin"/>
      <w:instrText xml:space="preserve"> PAGE </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8768A"/>
        <w:sz w:val="16"/>
      </w:rPr>
      <w:t xml:space="preserve">TEMIDAYO AFONJA   •   </w:t>
    </w:r>
    <w:r>
      <w:rPr>
        <w:rFonts w:ascii="Calibri" w:hAnsi="Calibri"/>
        <w:color w:val="68768A"/>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68768A"/>
        <w:sz w:val="16"/>
      </w:rPr>
      <w:t>CAREER PORTABILITY  /  YOUTUBE AUDIT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68768A"/>
        <w:sz w:val="16"/>
      </w:rPr>
      <w:t>CAREER PORTABILITY  /  YOUTUBE AUDIT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68768A"/>
        <w:sz w:val="16"/>
      </w:rPr>
      <w:t>CAREER PORTABILITY  /  YOUTUBE AUDIT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68768A"/>
        <w:sz w:val="16"/>
      </w:rPr>
      <w:t>CAREER PORTABILITY  /  YOUTUBE AUDIT</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68768A"/>
        <w:sz w:val="16"/>
      </w:rPr>
      <w:t>CAREER PORTABILITY  /  YOUTUBE AUDIT</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68768A"/>
        <w:sz w:val="16"/>
      </w:rPr>
      <w:t>CAREER PORTABILITY  /  YOUTUBE AUDIT</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68768A"/>
        <w:sz w:val="16"/>
      </w:rPr>
      <w:t>CAREER PORTABILITY  /  YOUTUBE AUDIT</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68768A"/>
        <w:sz w:val="16"/>
      </w:rPr>
      <w:t>CAREER PORTABILITY  /  YOUTUBE AUDIT</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68768A"/>
        <w:sz w:val="16"/>
      </w:rPr>
      <w:t>CAREER PORTABILITY  /  YOUTUBE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1">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826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0264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026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B3A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Bullet">
    <w:name w:val="Audit Bullet"/>
    <w:basedOn w:val="Normal"/>
    <w:pPr>
      <w:ind w:left="540" w:hanging="271"/>
      <w:numPr>
        <w:ilvl w:val="0"/>
        <w:numId w:val="41"/>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yperlink" Target="https://www.reddit.com/r/womenintech/comments/1vgxbi4/now_what/" TargetMode="External"/><Relationship Id="rId30" Type="http://schemas.openxmlformats.org/officeDocument/2006/relationships/hyperlink" Target="https://www.reddit.com/r/womenintech/comments/1szt3t9/where_do_the_senior_women_in_tech_go_when_they/" TargetMode="External"/><Relationship Id="rId31" Type="http://schemas.openxmlformats.org/officeDocument/2006/relationships/hyperlink" Target="https://www.reddit.com/r/womenintech/comments/1u8en48/how_is_the_job_market_for_a_40yearold_woman_just/" TargetMode="External"/><Relationship Id="rId32" Type="http://schemas.openxmlformats.org/officeDocument/2006/relationships/hyperlink" Target="https://www.reddit.com/r/womenintech/comments/1vfqn6h/i_feel_like_i_dont_recognize_software_engineering/" TargetMode="External"/><Relationship Id="rId33" Type="http://schemas.openxmlformats.org/officeDocument/2006/relationships/hyperlink" Target="https://www.reddit.com/r/womenintech/comments/1tkwxc4/a_big_eff_you_to_ai/" TargetMode="External"/><Relationship Id="rId34" Type="http://schemas.openxmlformats.org/officeDocument/2006/relationships/hyperlink" Target="https://www.reddit.com/r/womenintech/comments/1g0xs3o/35_women_in_tech_where_are_you_now/" TargetMode="External"/><Relationship Id="rId35" Type="http://schemas.openxmlformats.org/officeDocument/2006/relationships/hyperlink" Target="https://www.reddit.com/r/womenintech/comments/1v8r26a/i_got_laid_off_12_hours_ago_and_im_in_shock/" TargetMode="External"/><Relationship Id="rId36" Type="http://schemas.openxmlformats.org/officeDocument/2006/relationships/hyperlink" Target="https://www.reddit.com/r/cscareerquestions/comments/m5zh7w/women_in_tech_how_do_you_deal/" TargetMode="External"/><Relationship Id="rId37" Type="http://schemas.openxmlformats.org/officeDocument/2006/relationships/hyperlink" Target="https://www.reddit.com/r/womenintech/comments/1ulvqae/impending_layoffs/" TargetMode="External"/><Relationship Id="rId38" Type="http://schemas.openxmlformats.org/officeDocument/2006/relationships/hyperlink" Target="https://www.reddit.com/r/womenintech/comments/1nukhdi/worth_going_to_grace_hopper_2025_as_a_senior/" TargetMode="External"/><Relationship Id="rId39" Type="http://schemas.openxmlformats.org/officeDocument/2006/relationships/hyperlink" Target="https://www.reddit.com/r/womenintech/comments/1j4f2tj/anyone_else_thinking_of_leaving_tech/" TargetMode="External"/><Relationship Id="rId40" Type="http://schemas.openxmlformats.org/officeDocument/2006/relationships/hyperlink" Target="https://www.reddit.com/r/womenintech/comments/1og325w/never_had_a_tougher_time_finding_a_tech_job_than/" TargetMode="External"/><Relationship Id="rId41" Type="http://schemas.openxmlformats.org/officeDocument/2006/relationships/hyperlink" Target="https://www.reddit.com/r/womenintech/comments/1lkin48/did_anyone_get_started_in_tech_in_their_30s/" TargetMode="External"/><Relationship Id="rId42" Type="http://schemas.openxmlformats.org/officeDocument/2006/relationships/hyperlink" Target="https://www.reddit.com/r/womenintech/comments/1tqivxr/how_do_you_take_care_of_your_wellbeing/" TargetMode="External"/><Relationship Id="rId43" Type="http://schemas.openxmlformats.org/officeDocument/2006/relationships/hyperlink" Target="https://www.reddit.com/r/auscorp/comments/1ripagw/the_risk_of_staying_an_individual_contributor/" TargetMode="External"/><Relationship Id="rId44" Type="http://schemas.openxmlformats.org/officeDocument/2006/relationships/hyperlink" Target="https://www.reddit.com/r/AskWomenOver30/comments/ys25lg/i_took_a_career_break_then_i_was_fulltime/" TargetMode="External"/><Relationship Id="rId45" Type="http://schemas.openxmlformats.org/officeDocument/2006/relationships/hyperlink" Target="https://www.reddit.com/r/consulting/comments/1j3hysf/anyone_else_joined_consulting_late_so_youre_older/" TargetMode="External"/><Relationship Id="rId46" Type="http://schemas.openxmlformats.org/officeDocument/2006/relationships/hyperlink" Target="https://www.reddit.com/r/careerguidance/comments/zqthm5/my_boss_blocked_my_promotion_how_do_i_move_past/" TargetMode="External"/><Relationship Id="rId47" Type="http://schemas.openxmlformats.org/officeDocument/2006/relationships/hyperlink" Target="https://www.reddit.com/r/womenintech/comments/1uwv1qd/have_you_noticed_very_few_women_principal/" TargetMode="External"/><Relationship Id="rId48" Type="http://schemas.openxmlformats.org/officeDocument/2006/relationships/hyperlink" Target="https://www.aarp.org/work/age-discrimination/age-bias-survey-2026/" TargetMode="External"/><Relationship Id="rId49" Type="http://schemas.openxmlformats.org/officeDocument/2006/relationships/hyperlink" Target="https://www.mckinsey.com/capabilities/people-and-organizational-performance/our-insights/women-in-the-workplace" TargetMode="External"/><Relationship Id="rId50" Type="http://schemas.openxmlformats.org/officeDocument/2006/relationships/hyperlink" Target="https://economicgraph.linkedin.com/research/work-change-report" TargetMode="External"/><Relationship Id="rId51" Type="http://schemas.openxmlformats.org/officeDocument/2006/relationships/hyperlink" Target="https://business.linkedin.com/learn/resources/workplace-learning-report" TargetMode="External"/><Relationship Id="rId52" Type="http://schemas.openxmlformats.org/officeDocument/2006/relationships/hyperlink" Target="https://ncwit.org/resource/scorec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YouTube Audience &amp; 20-Video Roadmap Audit</dc:title>
  <dc:subject>Career Portability editorial strategy and qualitative audience validation</dc:subject>
  <dc:creator>OpenAI for Temidayo Afonja</dc:creator>
  <cp:keywords>career portability, capability formation, YouTube, editorial strategy</cp:keywords>
  <dc:description>generated by python-docx</dc:description>
  <cp:lastModifiedBy/>
  <cp:revision>1</cp:revision>
  <dcterms:created xsi:type="dcterms:W3CDTF">2013-12-23T23:15:00Z</dcterms:created>
  <dcterms:modified xsi:type="dcterms:W3CDTF">2013-12-23T23:15:00Z</dcterms:modified>
  <cp:category/>
</cp:coreProperties>
</file>