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</w:pPr>
      <w:r>
        <w:rPr>
          <w:b/>
          <w:i w:val="0"/>
          <w:color w:val="8A6D1E"/>
          <w:sz w:val="18"/>
        </w:rPr>
        <w:t>CAPABILITY FORMATION | TWO-WEEK SPRINT</w:t>
      </w:r>
    </w:p>
    <w:p>
      <w:pPr>
        <w:spacing w:before="0" w:after="80"/>
      </w:pPr>
      <w:r>
        <w:rPr>
          <w:b/>
          <w:i w:val="0"/>
          <w:color w:val="112345"/>
          <w:sz w:val="42"/>
        </w:rPr>
        <w:t>Decode a Job Description in 10 Minutes</w:t>
      </w:r>
    </w:p>
    <w:p>
      <w:pPr>
        <w:spacing w:before="0" w:after="280"/>
      </w:pPr>
      <w:r>
        <w:rPr>
          <w:b w:val="0"/>
          <w:i w:val="0"/>
          <w:color w:val="5A6B82"/>
          <w:sz w:val="20"/>
        </w:rPr>
        <w:t>Shorts evidence-boundary notes</w:t>
      </w:r>
    </w:p>
    <w:p>
      <w:pPr>
        <w:spacing w:before="0" w:after="240"/>
        <w:pBdr>
          <w:bottom w:val="single" w:sz="6" w:color="8A6D1E"/>
        </w:pBdr>
      </w:pPr>
    </w:p>
    <w:p>
      <w:pPr>
        <w:spacing w:after="80"/>
      </w:pPr>
      <w:r>
        <w:rPr>
          <w:b/>
          <w:color w:val="8A6D1E"/>
          <w:sz w:val="20"/>
        </w:rPr>
        <w:t xml:space="preserve">New public number  </w:t>
      </w:r>
      <w:r>
        <w:rPr>
          <w:sz w:val="21"/>
        </w:rPr>
        <w:t>V6</w:t>
      </w:r>
    </w:p>
    <w:p>
      <w:pPr>
        <w:spacing w:after="80"/>
      </w:pPr>
      <w:r>
        <w:rPr>
          <w:b/>
          <w:color w:val="8A6D1E"/>
          <w:sz w:val="20"/>
        </w:rPr>
        <w:t xml:space="preserve">Former roadmap number  </w:t>
      </w:r>
      <w:r>
        <w:rPr>
          <w:sz w:val="21"/>
        </w:rPr>
        <w:t>V22</w:t>
      </w:r>
    </w:p>
    <w:p>
      <w:pPr>
        <w:spacing w:after="80"/>
      </w:pPr>
      <w:r>
        <w:rPr>
          <w:b/>
          <w:color w:val="8A6D1E"/>
          <w:sz w:val="20"/>
        </w:rPr>
        <w:t xml:space="preserve">Generated  </w:t>
      </w:r>
      <w:r>
        <w:rPr>
          <w:sz w:val="21"/>
        </w:rPr>
        <w:t>Monday, September 14, 2026 | 5:48 AM CT</w:t>
      </w:r>
    </w:p>
    <w:p>
      <w:pPr>
        <w:spacing w:before="0" w:after="160"/>
      </w:pPr>
      <w:r>
        <w:rPr>
          <w:b w:val="0"/>
          <w:i w:val="0"/>
          <w:sz w:val="22"/>
        </w:rPr>
        <w:t>Every Short inherits the research and evidence boundaries of its parent video. A Short is often where a boundary gets dropped for pace. It may not be dropped here.</w:t>
      </w: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THE BOUNDARY</w:t>
      </w:r>
    </w:p>
    <w:p>
      <w:pPr>
        <w:spacing w:before="200" w:after="200"/>
        <w:ind w:left="216"/>
        <w:pBdr>
          <w:left w:val="single" w:sz="18" w:color="9B2C10" w:space="8"/>
        </w:pBdr>
        <w:keepNext w:val="1"/>
        <w:keepLines w:val="1"/>
      </w:pPr>
      <w:r>
        <w:rPr>
          <w:b/>
          <w:color w:val="9B2C10"/>
          <w:sz w:val="21"/>
        </w:rPr>
        <w:t>Fifteen postings from eleven employers. No labor-market generalization, and the highest published ceiling is bounded to the sample. No local meeting time is stated or implied.</w:t>
      </w: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PER SHORT</w:t>
      </w:r>
    </w:p>
    <w:tbl>
      <w:tblPr>
        <w:tblW w:type="auto" w:w="0"/>
        <w:jc w:val="left"/>
        <w:tblBorders>
          <w:top w:val="single" w:sz="4" w:space="0" w:color="C9BFA8"/>
          <w:left w:val="single" w:sz="4" w:space="0" w:color="C9BFA8"/>
          <w:bottom w:val="single" w:sz="4" w:space="0" w:color="C9BFA8"/>
          <w:right w:val="single" w:sz="4" w:space="0" w:color="C9BFA8"/>
          <w:insideH w:val="single" w:sz="4" w:space="0" w:color="C9BFA8"/>
          <w:insideV w:val="single" w:sz="4" w:space="0" w:color="C9BFA8"/>
        </w:tblBorders>
        <w:tblLayout w:type="fixed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rPr>
          <w:tblHeader w:val="true"/>
        </w:trPr>
        <w:tc>
          <w:tcPr>
            <w:tcW w:type="dxa" w:w="504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#</w:t>
            </w:r>
          </w:p>
        </w:tc>
        <w:tc>
          <w:tcPr>
            <w:tcW w:type="dxa" w:w="3744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STOP SCROLL</w:t>
            </w:r>
          </w:p>
        </w:tc>
        <w:tc>
          <w:tcPr>
            <w:tcW w:type="dxa" w:w="5400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THE BOUNDARY IT MUST CARRY</w:t>
            </w:r>
          </w:p>
        </w:tc>
      </w:tr>
      <w:tr>
        <w:tc>
          <w:tcPr>
            <w:tcW w:type="dxa" w:w="5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1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Read the Verb Before You Trust the Title</w:t>
            </w:r>
          </w:p>
        </w:tc>
        <w:tc>
          <w:tcPr>
            <w:tcW w:type="dxa" w:w="540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Fifteen postings from eleven employers. No labor-market generalization, and the highest published ceiling is bounded to the sample. No local meeting time is stated or implied.</w:t>
            </w:r>
          </w:p>
        </w:tc>
      </w:tr>
      <w:tr>
        <w:tc>
          <w:tcPr>
            <w:tcW w:type="dxa" w:w="5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2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The $61,500 Strategy Title</w:t>
            </w:r>
          </w:p>
        </w:tc>
        <w:tc>
          <w:tcPr>
            <w:tcW w:type="dxa" w:w="540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Fifteen postings from eleven employers. No labor-market generalization, and the highest published ceiling is bounded to the sample. No local meeting time is stated or implied.</w:t>
            </w:r>
          </w:p>
        </w:tc>
      </w:tr>
      <w:tr>
        <w:tc>
          <w:tcPr>
            <w:tcW w:type="dxa" w:w="5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3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The $440K Title That Tells You Almost Nothing</w:t>
            </w:r>
          </w:p>
        </w:tc>
        <w:tc>
          <w:tcPr>
            <w:tcW w:type="dxa" w:w="540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Fifteen postings from eleven employers. No labor-market generalization, and the highest published ceiling is bounded to the sample. No local meeting time is stated or implied.</w:t>
            </w:r>
          </w:p>
        </w:tc>
      </w:tr>
    </w:tbl>
    <w:p>
      <w:pPr>
        <w:spacing w:after="120"/>
      </w:pPr>
    </w:p>
    <w:sectPr w:rsidR="00FC693F" w:rsidRPr="0006063C" w:rsidSect="00034616">
      <w:footerReference w:type="default" r:id="rId9"/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color w:val="5A6B82"/>
        <w:sz w:val="16"/>
      </w:rPr>
      <w:t>No Short adds a claim to strengthen a hook, and none introduces research the long-form video does not make.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283" w:lineRule="auto"/>
    </w:pPr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