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59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59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1,010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1010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23 camera stretches against 18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PNG at 1920 x 1080, 5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72a2b19fc317abbd59e43a939b767e45b39fd2be68daba9c44c5c0bc0e264c5b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95a61d24357bb0411f0a835fed2aea61eeba994764f549ddc672613fc474b5bb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1010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84 paragraphs, 1010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and former 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Turn One Accomplishment Into Proof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camera stretches against 18 cues; 756 of 1010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sample bounded, ceiling bounded, no labor-market generalization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authorized replacements, nothing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Starter, and only that 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ten-minute promise is protected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1,010 spoken words, the supplied script plus two authorized sentence replacements. No spoken material added, no second CTA.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Problem, Authority, Proof and Real Gap all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four-part framework is intact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reused card is byte-identical to the former V22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 verified against the locked V22 bytes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anonymized card changed the employer label and nothing else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families: restoring the name returns the former V22 bytes exactly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name is drawn on any public V6 card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audited off the drawn card, not the source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HCSC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Health Care Service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xAI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Zeta Global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Patriot Growth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public-facing V6 graphic identifies GiveDirectly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absent from every drawn state and every filename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name remains in V6 spoken copy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URL appears anywhere public in V6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internal evidence layer still names every employer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evidence and provenance records keep the real identities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Posting titles, ranges and quoted language are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anonymizing the employer removed no evidence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Capture provenance is intact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posting still carries its capture date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15-posting, 11-employer boundary is intact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denominator unchanged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ceiling claim stays bounded to the sample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highest range is the highest in this sample, not the market, even though the card now says AI Company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V6 and former roadmap V22.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