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Sprint production changelog</w:t>
      </w:r>
    </w:p>
    <w:p>
      <w:pPr>
        <w:spacing w:before="0" w:after="280"/>
      </w:pPr>
      <w:r>
        <w:rPr>
          <w:b w:val="0"/>
          <w:i w:val="0"/>
          <w:color w:val="5A6B82"/>
          <w:sz w:val="20"/>
        </w:rPr>
        <w:t>What was built, from what, and what was flagged</w:t>
      </w:r>
    </w:p>
    <w:p>
      <w:pPr>
        <w:spacing w:before="0" w:after="240"/>
        <w:pBdr>
          <w:bottom w:val="single" w:sz="6" w:color="8A6D1E"/>
        </w:pBdr>
      </w:pP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Six spoken sentences have been replaced by explicit authorization: five source-language corrections on September 13 across NEW V6, NEW V8 and NEW V9, and one public employer anonymization in NEW V6 on September 14. No other spoken wording changed anywhere in the six scripts. NEW V4, NEW V5 and NEW V7 are identical to the supplied source, verified against the preserved copy rather than assumed.</w:t>
      </w:r>
    </w:p>
    <w:p>
      <w:pPr>
        <w:spacing w:before="320" w:after="120"/>
        <w:keepNext w:val="1"/>
        <w:keepLines w:val="1"/>
      </w:pPr>
      <w:r>
        <w:rPr>
          <w:b/>
          <w:i w:val="0"/>
          <w:color w:val="112345"/>
          <w:sz w:val="26"/>
        </w:rPr>
        <w:t>WHAT WAS BUILT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2448"/>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1008"/>
            <w:shd w:val="clear" w:color="auto" w:fill="F3EFE6"/>
          </w:tcPr>
          <w:p>
            <w:pPr>
              <w:spacing w:before="60" w:after="60" w:line="264" w:lineRule="auto"/>
            </w:pPr>
            <w:r/>
            <w:r>
              <w:rPr>
                <w:b/>
                <w:i w:val="0"/>
                <w:color w:val="112345"/>
                <w:sz w:val="17"/>
              </w:rPr>
              <w:t>STATES</w:t>
            </w:r>
          </w:p>
        </w:tc>
        <w:tc>
          <w:tcPr>
            <w:tcW w:type="dxa" w:w="1872"/>
            <w:shd w:val="clear" w:color="auto" w:fill="F3EFE6"/>
          </w:tcPr>
          <w:p>
            <w:pPr>
              <w:spacing w:before="60" w:after="60" w:line="264" w:lineRule="auto"/>
            </w:pPr>
            <w:r/>
            <w:r>
              <w:rPr>
                <w:b/>
                <w:i w:val="0"/>
                <w:color w:val="112345"/>
                <w:sz w:val="17"/>
              </w:rPr>
              <w:t>CAMERA STRETCHES</w:t>
            </w:r>
          </w:p>
        </w:tc>
        <w:tc>
          <w:tcPr>
            <w:tcW w:type="dxa" w:w="1728"/>
            <w:shd w:val="clear" w:color="auto" w:fill="F3EFE6"/>
          </w:tcPr>
          <w:p>
            <w:pPr>
              <w:spacing w:before="60" w:after="60" w:line="264" w:lineRule="auto"/>
            </w:pPr>
            <w:r/>
            <w:r>
              <w:rPr>
                <w:b/>
                <w:i w:val="0"/>
                <w:color w:val="112345"/>
                <w:sz w:val="17"/>
              </w:rPr>
              <w:t>FULL-SCREEN CUES</w:t>
            </w:r>
          </w:p>
        </w:tc>
        <w:tc>
          <w:tcPr>
            <w:tcW w:type="dxa" w:w="1008"/>
            <w:shd w:val="clear" w:color="auto" w:fill="F3EFE6"/>
          </w:tcPr>
          <w:p>
            <w:pPr>
              <w:spacing w:before="60" w:after="60" w:line="264" w:lineRule="auto"/>
            </w:pPr>
            <w:r/>
            <w:r>
              <w:rPr>
                <w:b/>
                <w:i w:val="0"/>
                <w:color w:val="112345"/>
                <w:sz w:val="17"/>
              </w:rPr>
              <w:t>SHORTS</w:t>
            </w:r>
          </w:p>
        </w:tc>
      </w:tr>
      <w:tr>
        <w:tc>
          <w:tcPr>
            <w:tcW w:type="dxa" w:w="2448"/>
          </w:tcPr>
          <w:p>
            <w:pPr>
              <w:spacing w:before="60" w:after="60" w:line="264" w:lineRule="auto"/>
            </w:pPr>
            <w:r/>
            <w:r>
              <w:rPr>
                <w:b w:val="0"/>
                <w:i w:val="0"/>
                <w:sz w:val="16"/>
              </w:rPr>
              <w:t>NEW V4 (former V26)</w:t>
            </w:r>
          </w:p>
        </w:tc>
        <w:tc>
          <w:tcPr>
            <w:tcW w:type="dxa" w:w="1152"/>
          </w:tcPr>
          <w:p>
            <w:pPr>
              <w:spacing w:before="60" w:after="60" w:line="264" w:lineRule="auto"/>
            </w:pPr>
            <w:r/>
            <w:r>
              <w:rPr>
                <w:b w:val="0"/>
                <w:i w:val="0"/>
                <w:sz w:val="16"/>
              </w:rPr>
              <w:t>12</w:t>
            </w:r>
          </w:p>
        </w:tc>
        <w:tc>
          <w:tcPr>
            <w:tcW w:type="dxa" w:w="1008"/>
          </w:tcPr>
          <w:p>
            <w:pPr>
              <w:spacing w:before="60" w:after="60" w:line="264" w:lineRule="auto"/>
            </w:pPr>
            <w:r/>
            <w:r>
              <w:rPr>
                <w:b w:val="0"/>
                <w:i w:val="0"/>
                <w:sz w:val="16"/>
              </w:rPr>
              <w:t>15</w:t>
            </w:r>
          </w:p>
        </w:tc>
        <w:tc>
          <w:tcPr>
            <w:tcW w:type="dxa" w:w="1872"/>
          </w:tcPr>
          <w:p>
            <w:pPr>
              <w:spacing w:before="60" w:after="60" w:line="264" w:lineRule="auto"/>
            </w:pPr>
            <w:r/>
            <w:r>
              <w:rPr>
                <w:b w:val="0"/>
                <w:i w:val="0"/>
                <w:sz w:val="16"/>
              </w:rPr>
              <w:t>17</w:t>
            </w:r>
          </w:p>
        </w:tc>
        <w:tc>
          <w:tcPr>
            <w:tcW w:type="dxa" w:w="1728"/>
          </w:tcPr>
          <w:p>
            <w:pPr>
              <w:spacing w:before="60" w:after="60" w:line="264" w:lineRule="auto"/>
            </w:pPr>
            <w:r/>
            <w:r>
              <w:rPr>
                <w:b w:val="0"/>
                <w:i w:val="0"/>
                <w:sz w:val="16"/>
              </w:rPr>
              <w:t>11</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V5 (former V33)</w:t>
            </w:r>
          </w:p>
        </w:tc>
        <w:tc>
          <w:tcPr>
            <w:tcW w:type="dxa" w:w="1152"/>
          </w:tcPr>
          <w:p>
            <w:pPr>
              <w:spacing w:before="60" w:after="60" w:line="264" w:lineRule="auto"/>
            </w:pPr>
            <w:r/>
            <w:r>
              <w:rPr>
                <w:b w:val="0"/>
                <w:i w:val="0"/>
                <w:sz w:val="16"/>
              </w:rPr>
              <w:t>11</w:t>
            </w:r>
          </w:p>
        </w:tc>
        <w:tc>
          <w:tcPr>
            <w:tcW w:type="dxa" w:w="1008"/>
          </w:tcPr>
          <w:p>
            <w:pPr>
              <w:spacing w:before="60" w:after="60" w:line="264" w:lineRule="auto"/>
            </w:pPr>
            <w:r/>
            <w:r>
              <w:rPr>
                <w:b w:val="0"/>
                <w:i w:val="0"/>
                <w:sz w:val="16"/>
              </w:rPr>
              <w:t>11</w:t>
            </w:r>
          </w:p>
        </w:tc>
        <w:tc>
          <w:tcPr>
            <w:tcW w:type="dxa" w:w="1872"/>
          </w:tcPr>
          <w:p>
            <w:pPr>
              <w:spacing w:before="60" w:after="60" w:line="264" w:lineRule="auto"/>
            </w:pPr>
            <w:r/>
            <w:r>
              <w:rPr>
                <w:b w:val="0"/>
                <w:i w:val="0"/>
                <w:sz w:val="16"/>
              </w:rPr>
              <w:t>17</w:t>
            </w:r>
          </w:p>
        </w:tc>
        <w:tc>
          <w:tcPr>
            <w:tcW w:type="dxa" w:w="1728"/>
          </w:tcPr>
          <w:p>
            <w:pPr>
              <w:spacing w:before="60" w:after="60" w:line="264" w:lineRule="auto"/>
            </w:pPr>
            <w:r/>
            <w:r>
              <w:rPr>
                <w:b w:val="0"/>
                <w:i w:val="0"/>
                <w:sz w:val="16"/>
              </w:rPr>
              <w:t>10</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V6 (former V22)</w:t>
            </w:r>
          </w:p>
        </w:tc>
        <w:tc>
          <w:tcPr>
            <w:tcW w:type="dxa" w:w="1152"/>
          </w:tcPr>
          <w:p>
            <w:pPr>
              <w:spacing w:before="60" w:after="60" w:line="264" w:lineRule="auto"/>
            </w:pPr>
            <w:r/>
            <w:r>
              <w:rPr>
                <w:b w:val="0"/>
                <w:i w:val="0"/>
                <w:sz w:val="16"/>
              </w:rPr>
              <w:t>19</w:t>
            </w:r>
          </w:p>
        </w:tc>
        <w:tc>
          <w:tcPr>
            <w:tcW w:type="dxa" w:w="1008"/>
          </w:tcPr>
          <w:p>
            <w:pPr>
              <w:spacing w:before="60" w:after="60" w:line="264" w:lineRule="auto"/>
            </w:pPr>
            <w:r/>
            <w:r>
              <w:rPr>
                <w:b w:val="0"/>
                <w:i w:val="0"/>
                <w:sz w:val="16"/>
              </w:rPr>
              <w:t>37</w:t>
            </w:r>
          </w:p>
        </w:tc>
        <w:tc>
          <w:tcPr>
            <w:tcW w:type="dxa" w:w="1872"/>
          </w:tcPr>
          <w:p>
            <w:pPr>
              <w:spacing w:before="60" w:after="60" w:line="264" w:lineRule="auto"/>
            </w:pPr>
            <w:r/>
            <w:r>
              <w:rPr>
                <w:b w:val="0"/>
                <w:i w:val="0"/>
                <w:sz w:val="16"/>
              </w:rPr>
              <w:t>23</w:t>
            </w:r>
          </w:p>
        </w:tc>
        <w:tc>
          <w:tcPr>
            <w:tcW w:type="dxa" w:w="1728"/>
          </w:tcPr>
          <w:p>
            <w:pPr>
              <w:spacing w:before="60" w:after="60" w:line="264" w:lineRule="auto"/>
            </w:pPr>
            <w:r/>
            <w:r>
              <w:rPr>
                <w:b w:val="0"/>
                <w:i w:val="0"/>
                <w:sz w:val="16"/>
              </w:rPr>
              <w:t>18</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V7 (former V24)</w:t>
            </w:r>
          </w:p>
        </w:tc>
        <w:tc>
          <w:tcPr>
            <w:tcW w:type="dxa" w:w="1152"/>
          </w:tcPr>
          <w:p>
            <w:pPr>
              <w:spacing w:before="60" w:after="60" w:line="264" w:lineRule="auto"/>
            </w:pPr>
            <w:r/>
            <w:r>
              <w:rPr>
                <w:b w:val="0"/>
                <w:i w:val="0"/>
                <w:sz w:val="16"/>
              </w:rPr>
              <w:t>14</w:t>
            </w:r>
          </w:p>
        </w:tc>
        <w:tc>
          <w:tcPr>
            <w:tcW w:type="dxa" w:w="1008"/>
          </w:tcPr>
          <w:p>
            <w:pPr>
              <w:spacing w:before="60" w:after="60" w:line="264" w:lineRule="auto"/>
            </w:pPr>
            <w:r/>
            <w:r>
              <w:rPr>
                <w:b w:val="0"/>
                <w:i w:val="0"/>
                <w:sz w:val="16"/>
              </w:rPr>
              <w:t>18</w:t>
            </w:r>
          </w:p>
        </w:tc>
        <w:tc>
          <w:tcPr>
            <w:tcW w:type="dxa" w:w="1872"/>
          </w:tcPr>
          <w:p>
            <w:pPr>
              <w:spacing w:before="60" w:after="60" w:line="264" w:lineRule="auto"/>
            </w:pPr>
            <w:r/>
            <w:r>
              <w:rPr>
                <w:b w:val="0"/>
                <w:i w:val="0"/>
                <w:sz w:val="16"/>
              </w:rPr>
              <w:t>21</w:t>
            </w:r>
          </w:p>
        </w:tc>
        <w:tc>
          <w:tcPr>
            <w:tcW w:type="dxa" w:w="1728"/>
          </w:tcPr>
          <w:p>
            <w:pPr>
              <w:spacing w:before="60" w:after="60" w:line="264" w:lineRule="auto"/>
            </w:pPr>
            <w:r/>
            <w:r>
              <w:rPr>
                <w:b w:val="0"/>
                <w:i w:val="0"/>
                <w:sz w:val="16"/>
              </w:rPr>
              <w:t>13</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V8 (former V28)</w:t>
            </w:r>
          </w:p>
        </w:tc>
        <w:tc>
          <w:tcPr>
            <w:tcW w:type="dxa" w:w="1152"/>
          </w:tcPr>
          <w:p>
            <w:pPr>
              <w:spacing w:before="60" w:after="60" w:line="264" w:lineRule="auto"/>
            </w:pPr>
            <w:r/>
            <w:r>
              <w:rPr>
                <w:b w:val="0"/>
                <w:i w:val="0"/>
                <w:sz w:val="16"/>
              </w:rPr>
              <w:t>13</w:t>
            </w:r>
          </w:p>
        </w:tc>
        <w:tc>
          <w:tcPr>
            <w:tcW w:type="dxa" w:w="1008"/>
          </w:tcPr>
          <w:p>
            <w:pPr>
              <w:spacing w:before="60" w:after="60" w:line="264" w:lineRule="auto"/>
            </w:pPr>
            <w:r/>
            <w:r>
              <w:rPr>
                <w:b w:val="0"/>
                <w:i w:val="0"/>
                <w:sz w:val="16"/>
              </w:rPr>
              <w:t>18</w:t>
            </w:r>
          </w:p>
        </w:tc>
        <w:tc>
          <w:tcPr>
            <w:tcW w:type="dxa" w:w="1872"/>
          </w:tcPr>
          <w:p>
            <w:pPr>
              <w:spacing w:before="60" w:after="60" w:line="264" w:lineRule="auto"/>
            </w:pPr>
            <w:r/>
            <w:r>
              <w:rPr>
                <w:b w:val="0"/>
                <w:i w:val="0"/>
                <w:sz w:val="16"/>
              </w:rPr>
              <w:t>21</w:t>
            </w:r>
          </w:p>
        </w:tc>
        <w:tc>
          <w:tcPr>
            <w:tcW w:type="dxa" w:w="1728"/>
          </w:tcPr>
          <w:p>
            <w:pPr>
              <w:spacing w:before="60" w:after="60" w:line="264" w:lineRule="auto"/>
            </w:pPr>
            <w:r/>
            <w:r>
              <w:rPr>
                <w:b w:val="0"/>
                <w:i w:val="0"/>
                <w:sz w:val="16"/>
              </w:rPr>
              <w:t>12</w:t>
            </w:r>
          </w:p>
        </w:tc>
        <w:tc>
          <w:tcPr>
            <w:tcW w:type="dxa" w:w="1008"/>
          </w:tcPr>
          <w:p>
            <w:pPr>
              <w:spacing w:before="60" w:after="60" w:line="264" w:lineRule="auto"/>
            </w:pPr>
            <w:r/>
            <w:r>
              <w:rPr>
                <w:b w:val="0"/>
                <w:i w:val="0"/>
                <w:sz w:val="16"/>
              </w:rPr>
              <w:t>3</w:t>
            </w:r>
          </w:p>
        </w:tc>
      </w:tr>
      <w:tr>
        <w:tc>
          <w:tcPr>
            <w:tcW w:type="dxa" w:w="2448"/>
          </w:tcPr>
          <w:p>
            <w:pPr>
              <w:spacing w:before="60" w:after="60" w:line="264" w:lineRule="auto"/>
            </w:pPr>
            <w:r/>
            <w:r>
              <w:rPr>
                <w:b w:val="0"/>
                <w:i w:val="0"/>
                <w:sz w:val="16"/>
              </w:rPr>
              <w:t>NEW V9 (former V27)</w:t>
            </w:r>
          </w:p>
        </w:tc>
        <w:tc>
          <w:tcPr>
            <w:tcW w:type="dxa" w:w="1152"/>
          </w:tcPr>
          <w:p>
            <w:pPr>
              <w:spacing w:before="60" w:after="60" w:line="264" w:lineRule="auto"/>
            </w:pPr>
            <w:r/>
            <w:r>
              <w:rPr>
                <w:b w:val="0"/>
                <w:i w:val="0"/>
                <w:sz w:val="16"/>
              </w:rPr>
              <w:t>13</w:t>
            </w:r>
          </w:p>
        </w:tc>
        <w:tc>
          <w:tcPr>
            <w:tcW w:type="dxa" w:w="1008"/>
          </w:tcPr>
          <w:p>
            <w:pPr>
              <w:spacing w:before="60" w:after="60" w:line="264" w:lineRule="auto"/>
            </w:pPr>
            <w:r/>
            <w:r>
              <w:rPr>
                <w:b w:val="0"/>
                <w:i w:val="0"/>
                <w:sz w:val="16"/>
              </w:rPr>
              <w:t>17</w:t>
            </w:r>
          </w:p>
        </w:tc>
        <w:tc>
          <w:tcPr>
            <w:tcW w:type="dxa" w:w="1872"/>
          </w:tcPr>
          <w:p>
            <w:pPr>
              <w:spacing w:before="60" w:after="60" w:line="264" w:lineRule="auto"/>
            </w:pPr>
            <w:r/>
            <w:r>
              <w:rPr>
                <w:b w:val="0"/>
                <w:i w:val="0"/>
                <w:sz w:val="16"/>
              </w:rPr>
              <w:t>21</w:t>
            </w:r>
          </w:p>
        </w:tc>
        <w:tc>
          <w:tcPr>
            <w:tcW w:type="dxa" w:w="1728"/>
          </w:tcPr>
          <w:p>
            <w:pPr>
              <w:spacing w:before="60" w:after="60" w:line="264" w:lineRule="auto"/>
            </w:pPr>
            <w:r/>
            <w:r>
              <w:rPr>
                <w:b w:val="0"/>
                <w:i w:val="0"/>
                <w:sz w:val="16"/>
              </w:rPr>
              <w:t>12</w:t>
            </w:r>
          </w:p>
        </w:tc>
        <w:tc>
          <w:tcPr>
            <w:tcW w:type="dxa" w:w="1008"/>
          </w:tcPr>
          <w:p>
            <w:pPr>
              <w:spacing w:before="60" w:after="60" w:line="264" w:lineRule="auto"/>
            </w:pPr>
            <w:r/>
            <w:r>
              <w:rPr>
                <w:b w:val="0"/>
                <w:i w:val="0"/>
                <w:sz w:val="16"/>
              </w:rPr>
              <w:t>3</w:t>
            </w:r>
          </w:p>
        </w:tc>
      </w:tr>
    </w:tbl>
    <w:p>
      <w:pPr>
        <w:spacing w:after="120"/>
      </w:pPr>
    </w:p>
    <w:p>
      <w:pPr>
        <w:spacing w:before="320" w:after="120"/>
        <w:keepNext w:val="1"/>
        <w:keepLines w:val="1"/>
      </w:pPr>
      <w:r>
        <w:rPr>
          <w:b/>
          <w:i w:val="0"/>
          <w:color w:val="112345"/>
          <w:sz w:val="26"/>
        </w:rPr>
        <w:t>NEW V6, FORMER ROADMAP V22</w:t>
      </w:r>
    </w:p>
    <w:p>
      <w:pPr>
        <w:spacing w:before="0" w:after="160"/>
      </w:pPr>
      <w:r>
        <w:rPr>
          <w:b w:val="0"/>
          <w:i w:val="0"/>
          <w:sz w:val="21"/>
        </w:rPr>
        <w:t>The former V22 had substantial production work in a prior package. Eighteen of NEW V6's nineteen card families are carried over from it, and each was verified byte for byte against the file the locked V22 package shipped rather than assumed. The one new family is the Watch Next end card, which the sprint script adds a spoken line for and the former V22 did not have.</w:t>
      </w:r>
    </w:p>
    <w:p>
      <w:pPr>
        <w:spacing w:before="120" w:after="160"/>
      </w:pPr>
      <w:r>
        <w:rPr>
          <w:b w:val="0"/>
          <w:i w:val="0"/>
          <w:sz w:val="21"/>
        </w:rPr>
        <w:t>The sprint script was not pushed backward to fit an older asset. Where the sprint script differs, the sprint script controls, and no card was kept because it already existed.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744"/>
            <w:shd w:val="clear" w:color="auto" w:fill="F3EFE6"/>
          </w:tcPr>
          <w:p>
            <w:pPr>
              <w:spacing w:before="60" w:after="60" w:line="264" w:lineRule="auto"/>
            </w:pPr>
            <w:r/>
            <w:r>
              <w:rPr>
                <w:b/>
                <w:i w:val="0"/>
                <w:color w:val="112345"/>
                <w:sz w:val="17"/>
              </w:rPr>
              <w:t>REUSED FAMILY</w:t>
            </w:r>
          </w:p>
        </w:tc>
        <w:tc>
          <w:tcPr>
            <w:tcW w:type="dxa" w:w="5904"/>
            <w:shd w:val="clear" w:color="auto" w:fill="F3EFE6"/>
          </w:tcPr>
          <w:p>
            <w:pPr>
              <w:spacing w:before="60" w:after="60" w:line="264" w:lineRule="auto"/>
            </w:pPr>
            <w:r/>
            <w:r>
              <w:rPr>
                <w:b/>
                <w:i w:val="0"/>
                <w:color w:val="112345"/>
                <w:sz w:val="17"/>
              </w:rPr>
              <w:t>VERIFIED</w:t>
            </w:r>
          </w:p>
        </w:tc>
      </w:tr>
      <w:tr>
        <w:tc>
          <w:tcPr>
            <w:tcW w:type="dxa" w:w="3744"/>
          </w:tcPr>
          <w:p>
            <w:pPr>
              <w:spacing w:before="60" w:after="60" w:line="264" w:lineRule="auto"/>
            </w:pPr>
            <w:r/>
            <w:r>
              <w:rPr>
                <w:b w:val="0"/>
                <w:i w:val="0"/>
                <w:sz w:val="15"/>
              </w:rPr>
              <w:t>NEW_V6_FS_02_THE_CONTRADICTION</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NEW_V6_FS_03_THE_SAMPLE</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NEW_V6_FS_05_PARP</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NEW_V6_FS_04_THREE_QUESTIONS</w:t>
            </w:r>
          </w:p>
        </w:tc>
        <w:tc>
          <w:tcPr>
            <w:tcW w:type="dxa" w:w="5904"/>
          </w:tcPr>
          <w:p>
            <w:pPr>
              <w:spacing w:before="60" w:after="60" w:line="264" w:lineRule="auto"/>
            </w:pPr>
            <w:r/>
            <w:r>
              <w:rPr>
                <w:b w:val="0"/>
                <w:i w:val="0"/>
                <w:sz w:val="15"/>
              </w:rPr>
              <w:t>all 3 states byte-identical to the former V22 package</w:t>
            </w:r>
          </w:p>
        </w:tc>
      </w:tr>
      <w:tr>
        <w:tc>
          <w:tcPr>
            <w:tcW w:type="dxa" w:w="3744"/>
          </w:tcPr>
          <w:p>
            <w:pPr>
              <w:spacing w:before="60" w:after="60" w:line="264" w:lineRule="auto"/>
            </w:pPr>
            <w:r/>
            <w:r>
              <w:rPr>
                <w:b w:val="0"/>
                <w:i w:val="0"/>
                <w:sz w:val="15"/>
              </w:rPr>
              <w:t>NEW_V6_FS_06_POSTING_WALKTHROUGH</w:t>
            </w:r>
          </w:p>
        </w:tc>
        <w:tc>
          <w:tcPr>
            <w:tcW w:type="dxa" w:w="5904"/>
          </w:tcPr>
          <w:p>
            <w:pPr>
              <w:spacing w:before="60" w:after="60" w:line="264" w:lineRule="auto"/>
            </w:pPr>
            <w:r/>
            <w:r>
              <w:rPr>
                <w:b w:val="0"/>
                <w:i w:val="0"/>
                <w:sz w:val="15"/>
              </w:rPr>
              <w:t>all 3 states byte-identical to the former V22 package</w:t>
            </w:r>
          </w:p>
        </w:tc>
      </w:tr>
      <w:tr>
        <w:tc>
          <w:tcPr>
            <w:tcW w:type="dxa" w:w="3744"/>
          </w:tcPr>
          <w:p>
            <w:pPr>
              <w:spacing w:before="60" w:after="60" w:line="264" w:lineRule="auto"/>
            </w:pPr>
            <w:r/>
            <w:r>
              <w:rPr>
                <w:b w:val="0"/>
                <w:i w:val="0"/>
                <w:sz w:val="15"/>
              </w:rPr>
              <w:t>NEW_V6_FS_08_READ_THE_VERBS</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NEW_V6_FS_17_REAL_GAP</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NEW_V6_FS_12_TITLE_TEST</w:t>
            </w:r>
          </w:p>
        </w:tc>
        <w:tc>
          <w:tcPr>
            <w:tcW w:type="dxa" w:w="5904"/>
          </w:tcPr>
          <w:p>
            <w:pPr>
              <w:spacing w:before="60" w:after="60" w:line="264" w:lineRule="auto"/>
            </w:pPr>
            <w:r/>
            <w:r>
              <w:rPr>
                <w:b w:val="0"/>
                <w:i w:val="0"/>
                <w:sz w:val="15"/>
              </w:rPr>
              <w:t>all 4 states byte-identical to the former V22 package</w:t>
            </w:r>
          </w:p>
        </w:tc>
      </w:tr>
      <w:tr>
        <w:tc>
          <w:tcPr>
            <w:tcW w:type="dxa" w:w="3744"/>
          </w:tcPr>
          <w:p>
            <w:pPr>
              <w:spacing w:before="60" w:after="60" w:line="264" w:lineRule="auto"/>
            </w:pPr>
            <w:r/>
            <w:r>
              <w:rPr>
                <w:b w:val="0"/>
                <w:i w:val="0"/>
                <w:sz w:val="15"/>
              </w:rPr>
              <w:t>NEW_V6_FS_14_AUTHORITY_POSTURES</w:t>
            </w:r>
          </w:p>
        </w:tc>
        <w:tc>
          <w:tcPr>
            <w:tcW w:type="dxa" w:w="5904"/>
          </w:tcPr>
          <w:p>
            <w:pPr>
              <w:spacing w:before="60" w:after="60" w:line="264" w:lineRule="auto"/>
            </w:pPr>
            <w:r/>
            <w:r>
              <w:rPr>
                <w:b w:val="0"/>
                <w:i w:val="0"/>
                <w:sz w:val="15"/>
              </w:rPr>
              <w:t>all 5 states byte-identical to the former V22 package</w:t>
            </w:r>
          </w:p>
        </w:tc>
      </w:tr>
      <w:tr>
        <w:tc>
          <w:tcPr>
            <w:tcW w:type="dxa" w:w="3744"/>
          </w:tcPr>
          <w:p>
            <w:pPr>
              <w:spacing w:before="60" w:after="60" w:line="264" w:lineRule="auto"/>
            </w:pPr>
            <w:r/>
            <w:r>
              <w:rPr>
                <w:b w:val="0"/>
                <w:i w:val="0"/>
                <w:sz w:val="15"/>
              </w:rPr>
              <w:t>NEW_V6_FS_15_CEILING</w:t>
            </w:r>
          </w:p>
        </w:tc>
        <w:tc>
          <w:tcPr>
            <w:tcW w:type="dxa" w:w="5904"/>
          </w:tcPr>
          <w:p>
            <w:pPr>
              <w:spacing w:before="60" w:after="60" w:line="264" w:lineRule="auto"/>
            </w:pPr>
            <w:r/>
            <w:r>
              <w:rPr>
                <w:b w:val="0"/>
                <w:i w:val="0"/>
                <w:sz w:val="15"/>
              </w:rPr>
              <w:t>all 2 states byte-identical to the former V22 package</w:t>
            </w:r>
          </w:p>
        </w:tc>
      </w:tr>
      <w:tr>
        <w:tc>
          <w:tcPr>
            <w:tcW w:type="dxa" w:w="3744"/>
          </w:tcPr>
          <w:p>
            <w:pPr>
              <w:spacing w:before="60" w:after="60" w:line="264" w:lineRule="auto"/>
            </w:pPr>
            <w:r/>
            <w:r>
              <w:rPr>
                <w:b w:val="0"/>
                <w:i w:val="0"/>
                <w:sz w:val="15"/>
              </w:rPr>
              <w:t>NEW_V6_FS_16_READ_THE_WORK</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NEW_V6_FS_18_WHAT_IT_WILL_NOT_DO</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NEW_V6_FS_19_FOUR_THINGS</w:t>
            </w:r>
          </w:p>
        </w:tc>
        <w:tc>
          <w:tcPr>
            <w:tcW w:type="dxa" w:w="5904"/>
          </w:tcPr>
          <w:p>
            <w:pPr>
              <w:spacing w:before="60" w:after="60" w:line="264" w:lineRule="auto"/>
            </w:pPr>
            <w:r/>
            <w:r>
              <w:rPr>
                <w:b w:val="0"/>
                <w:i w:val="0"/>
                <w:sz w:val="15"/>
              </w:rPr>
              <w:t>all 1 states byte-identical to the former V22 package</w:t>
            </w:r>
          </w:p>
        </w:tc>
      </w:tr>
      <w:tr>
        <w:tc>
          <w:tcPr>
            <w:tcW w:type="dxa" w:w="3744"/>
          </w:tcPr>
          <w:p>
            <w:pPr>
              <w:spacing w:before="60" w:after="60" w:line="264" w:lineRule="auto"/>
            </w:pPr>
            <w:r/>
            <w:r>
              <w:rPr>
                <w:b w:val="0"/>
                <w:i w:val="0"/>
                <w:sz w:val="15"/>
              </w:rPr>
              <w:t>NEW_V6_FS_20_CTA</w:t>
            </w:r>
          </w:p>
        </w:tc>
        <w:tc>
          <w:tcPr>
            <w:tcW w:type="dxa" w:w="5904"/>
          </w:tcPr>
          <w:p>
            <w:pPr>
              <w:spacing w:before="60" w:after="60" w:line="264" w:lineRule="auto"/>
            </w:pPr>
            <w:r/>
            <w:r>
              <w:rPr>
                <w:b w:val="0"/>
                <w:i w:val="0"/>
                <w:sz w:val="15"/>
              </w:rPr>
              <w:t>all 2 states byte-identical to the former V22 package</w:t>
            </w:r>
          </w:p>
        </w:tc>
      </w:tr>
    </w:tbl>
    <w:p>
      <w:pPr>
        <w:spacing w:after="120"/>
      </w:pPr>
    </w:p>
    <w:p>
      <w:pPr>
        <w:spacing w:before="320" w:after="120"/>
        <w:keepNext w:val="1"/>
        <w:keepLines w:val="1"/>
      </w:pPr>
      <w:r>
        <w:rPr>
          <w:b/>
          <w:i w:val="0"/>
          <w:color w:val="112345"/>
          <w:sz w:val="26"/>
        </w:rPr>
        <w:t>SOURCE-LANGUAGE CORRECTIONS</w:t>
      </w:r>
    </w:p>
    <w:p>
      <w:pPr>
        <w:spacing w:before="0" w:after="160"/>
      </w:pPr>
      <w:r>
        <w:rPr>
          <w:b w:val="0"/>
          <w:i w:val="0"/>
          <w:sz w:val="21"/>
        </w:rPr>
        <w:t>A source-language integrity check reads every spoken script for unsupported claims about what people do, feel or struggle with. It reports; it never rewrites. Five sentences were flagged across the six scripts, and all five were then replaced by explicit authorization. The replacements are reproduced here exactly as authorized.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728"/>
            <w:shd w:val="clear" w:color="auto" w:fill="F3EFE6"/>
          </w:tcPr>
          <w:p>
            <w:pPr>
              <w:spacing w:before="60" w:after="60" w:line="264" w:lineRule="auto"/>
            </w:pPr>
            <w:r/>
            <w:r>
              <w:rPr>
                <w:b/>
                <w:i w:val="0"/>
                <w:color w:val="112345"/>
                <w:sz w:val="17"/>
              </w:rPr>
              <w:t>VIDEO</w:t>
            </w:r>
          </w:p>
        </w:tc>
        <w:tc>
          <w:tcPr>
            <w:tcW w:type="dxa" w:w="4032"/>
            <w:shd w:val="clear" w:color="auto" w:fill="F3EFE6"/>
          </w:tcPr>
          <w:p>
            <w:pPr>
              <w:spacing w:before="60" w:after="60" w:line="264" w:lineRule="auto"/>
            </w:pPr>
            <w:r/>
            <w:r>
              <w:rPr>
                <w:b/>
                <w:i w:val="0"/>
                <w:color w:val="112345"/>
                <w:sz w:val="17"/>
              </w:rPr>
              <w:t>WAS</w:t>
            </w:r>
          </w:p>
        </w:tc>
        <w:tc>
          <w:tcPr>
            <w:tcW w:type="dxa" w:w="3888"/>
            <w:shd w:val="clear" w:color="auto" w:fill="F3EFE6"/>
          </w:tcPr>
          <w:p>
            <w:pPr>
              <w:spacing w:before="60" w:after="60" w:line="264" w:lineRule="auto"/>
            </w:pPr>
            <w:r/>
            <w:r>
              <w:rPr>
                <w:b/>
                <w:i w:val="0"/>
                <w:color w:val="112345"/>
                <w:sz w:val="17"/>
              </w:rPr>
              <w:t>NOW</w:t>
            </w:r>
          </w:p>
        </w:tc>
      </w:tr>
      <w:tr>
        <w:tc>
          <w:tcPr>
            <w:tcW w:type="dxa" w:w="1728"/>
          </w:tcPr>
          <w:p>
            <w:pPr>
              <w:spacing w:before="60" w:after="60" w:line="264" w:lineRule="auto"/>
            </w:pPr>
            <w:r/>
            <w:r>
              <w:rPr>
                <w:b w:val="0"/>
                <w:i w:val="0"/>
                <w:sz w:val="16"/>
              </w:rPr>
              <w:t>NEW V6 (former V22)</w:t>
            </w:r>
          </w:p>
        </w:tc>
        <w:tc>
          <w:tcPr>
            <w:tcW w:type="dxa" w:w="4032"/>
          </w:tcPr>
          <w:p>
            <w:pPr>
              <w:spacing w:before="60" w:after="60" w:line="264" w:lineRule="auto"/>
            </w:pPr>
            <w:r/>
            <w:r>
              <w:rPr>
                <w:b w:val="0"/>
                <w:i w:val="0"/>
                <w:sz w:val="16"/>
              </w:rPr>
              <w:t>Then ask the question people sometimes skip because they want the move to work:</w:t>
            </w:r>
          </w:p>
        </w:tc>
        <w:tc>
          <w:tcPr>
            <w:tcW w:type="dxa" w:w="3888"/>
          </w:tcPr>
          <w:p>
            <w:pPr>
              <w:spacing w:before="60" w:after="60" w:line="264" w:lineRule="auto"/>
            </w:pPr>
            <w:r/>
            <w:r>
              <w:rPr>
                <w:b w:val="0"/>
                <w:i w:val="0"/>
                <w:sz w:val="16"/>
              </w:rPr>
              <w:t>Then ask the question that is easy to skip when you want the move to work:</w:t>
            </w:r>
          </w:p>
        </w:tc>
      </w:tr>
      <w:tr>
        <w:tc>
          <w:tcPr>
            <w:tcW w:type="dxa" w:w="1728"/>
          </w:tcPr>
          <w:p>
            <w:pPr>
              <w:spacing w:before="60" w:after="60" w:line="264" w:lineRule="auto"/>
            </w:pPr>
            <w:r/>
            <w:r>
              <w:rPr>
                <w:b w:val="0"/>
                <w:i w:val="0"/>
                <w:sz w:val="16"/>
              </w:rPr>
              <w:t>NEW V6 (former V22)</w:t>
            </w:r>
          </w:p>
        </w:tc>
        <w:tc>
          <w:tcPr>
            <w:tcW w:type="dxa" w:w="4032"/>
          </w:tcPr>
          <w:p>
            <w:pPr>
              <w:spacing w:before="60" w:after="60" w:line="264" w:lineRule="auto"/>
            </w:pPr>
            <w:r/>
            <w:r>
              <w:rPr>
                <w:b w:val="0"/>
                <w:i w:val="0"/>
                <w:sz w:val="16"/>
              </w:rPr>
              <w:t>One posting in the sample was unusually direct. GiveDirectly was hiring a Director of Global Talent Acquisition and said candidates whose recruiting experience was exclusively in one geographic context were unlikely to be a strong fit.</w:t>
            </w:r>
          </w:p>
        </w:tc>
        <w:tc>
          <w:tcPr>
            <w:tcW w:type="dxa" w:w="3888"/>
          </w:tcPr>
          <w:p>
            <w:pPr>
              <w:spacing w:before="60" w:after="60" w:line="264" w:lineRule="auto"/>
            </w:pPr>
            <w:r/>
            <w:r>
              <w:rPr>
                <w:b w:val="0"/>
                <w:i w:val="0"/>
                <w:sz w:val="16"/>
              </w:rPr>
              <w:t>One posting in the sample was unusually direct. A global nonprofit was hiring a Director of Global Talent Acquisition and said candidates whose recruiting experience was exclusively in one geographic context were unlikely to be a strong fit.</w:t>
            </w:r>
          </w:p>
        </w:tc>
      </w:tr>
      <w:tr>
        <w:tc>
          <w:tcPr>
            <w:tcW w:type="dxa" w:w="1728"/>
          </w:tcPr>
          <w:p>
            <w:pPr>
              <w:spacing w:before="60" w:after="60" w:line="264" w:lineRule="auto"/>
            </w:pPr>
            <w:r/>
            <w:r>
              <w:rPr>
                <w:b w:val="0"/>
                <w:i w:val="0"/>
                <w:sz w:val="16"/>
              </w:rPr>
              <w:t>NEW V8 (former V28)</w:t>
            </w:r>
          </w:p>
        </w:tc>
        <w:tc>
          <w:tcPr>
            <w:tcW w:type="dxa" w:w="4032"/>
          </w:tcPr>
          <w:p>
            <w:pPr>
              <w:spacing w:before="60" w:after="60" w:line="264" w:lineRule="auto"/>
            </w:pPr>
            <w:r/>
            <w:r>
              <w:rPr>
                <w:b w:val="0"/>
                <w:i w:val="0"/>
                <w:sz w:val="16"/>
              </w:rPr>
              <w:t>This happens because most people treat evidence like something they will collect later.</w:t>
            </w:r>
          </w:p>
        </w:tc>
        <w:tc>
          <w:tcPr>
            <w:tcW w:type="dxa" w:w="3888"/>
          </w:tcPr>
          <w:p>
            <w:pPr>
              <w:spacing w:before="60" w:after="60" w:line="264" w:lineRule="auto"/>
            </w:pPr>
            <w:r/>
            <w:r>
              <w:rPr>
                <w:b w:val="0"/>
                <w:i w:val="0"/>
                <w:sz w:val="16"/>
              </w:rPr>
              <w:t>This happens when evidence gets treated like something to collect later.</w:t>
            </w:r>
          </w:p>
        </w:tc>
      </w:tr>
      <w:tr>
        <w:tc>
          <w:tcPr>
            <w:tcW w:type="dxa" w:w="1728"/>
          </w:tcPr>
          <w:p>
            <w:pPr>
              <w:spacing w:before="60" w:after="60" w:line="264" w:lineRule="auto"/>
            </w:pPr>
            <w:r/>
            <w:r>
              <w:rPr>
                <w:b w:val="0"/>
                <w:i w:val="0"/>
                <w:sz w:val="16"/>
              </w:rPr>
              <w:t>NEW V8 (former V28)</w:t>
            </w:r>
          </w:p>
        </w:tc>
        <w:tc>
          <w:tcPr>
            <w:tcW w:type="dxa" w:w="4032"/>
          </w:tcPr>
          <w:p>
            <w:pPr>
              <w:spacing w:before="60" w:after="60" w:line="264" w:lineRule="auto"/>
            </w:pPr>
            <w:r/>
            <w:r>
              <w:rPr>
                <w:b w:val="0"/>
                <w:i w:val="0"/>
                <w:sz w:val="16"/>
              </w:rPr>
              <w:t>People wait because collecting evidence can feel self-promotional while you are employed.</w:t>
            </w:r>
          </w:p>
        </w:tc>
        <w:tc>
          <w:tcPr>
            <w:tcW w:type="dxa" w:w="3888"/>
          </w:tcPr>
          <w:p>
            <w:pPr>
              <w:spacing w:before="60" w:after="60" w:line="264" w:lineRule="auto"/>
            </w:pPr>
            <w:r/>
            <w:r>
              <w:rPr>
                <w:b w:val="0"/>
                <w:i w:val="0"/>
                <w:sz w:val="16"/>
              </w:rPr>
              <w:t>Collecting evidence while you are employed can feel self-promotional, which makes it easy to put off.</w:t>
            </w:r>
          </w:p>
        </w:tc>
      </w:tr>
      <w:tr>
        <w:tc>
          <w:tcPr>
            <w:tcW w:type="dxa" w:w="1728"/>
          </w:tcPr>
          <w:p>
            <w:pPr>
              <w:spacing w:before="60" w:after="60" w:line="264" w:lineRule="auto"/>
            </w:pPr>
            <w:r/>
            <w:r>
              <w:rPr>
                <w:b w:val="0"/>
                <w:i w:val="0"/>
                <w:sz w:val="16"/>
              </w:rPr>
              <w:t>NEW V9 (former V27)</w:t>
            </w:r>
          </w:p>
        </w:tc>
        <w:tc>
          <w:tcPr>
            <w:tcW w:type="dxa" w:w="4032"/>
          </w:tcPr>
          <w:p>
            <w:pPr>
              <w:spacing w:before="60" w:after="60" w:line="264" w:lineRule="auto"/>
            </w:pPr>
            <w:r/>
            <w:r>
              <w:rPr>
                <w:b w:val="0"/>
                <w:i w:val="0"/>
                <w:sz w:val="16"/>
              </w:rPr>
              <w:t>When people talk about changing industries, they usually ask one question:</w:t>
            </w:r>
          </w:p>
        </w:tc>
        <w:tc>
          <w:tcPr>
            <w:tcW w:type="dxa" w:w="3888"/>
          </w:tcPr>
          <w:p>
            <w:pPr>
              <w:spacing w:before="60" w:after="60" w:line="264" w:lineRule="auto"/>
            </w:pPr>
            <w:r/>
            <w:r>
              <w:rPr>
                <w:b w:val="0"/>
                <w:i w:val="0"/>
                <w:sz w:val="16"/>
              </w:rPr>
              <w:t>When you think about changing industries, the obvious first question is:</w:t>
            </w:r>
          </w:p>
        </w:tc>
      </w:tr>
      <w:tr>
        <w:tc>
          <w:tcPr>
            <w:tcW w:type="dxa" w:w="1728"/>
          </w:tcPr>
          <w:p>
            <w:pPr>
              <w:spacing w:before="60" w:after="60" w:line="264" w:lineRule="auto"/>
            </w:pPr>
            <w:r/>
            <w:r>
              <w:rPr>
                <w:b w:val="0"/>
                <w:i w:val="0"/>
                <w:sz w:val="16"/>
              </w:rPr>
              <w:t>NEW V9 (former V27)</w:t>
            </w:r>
          </w:p>
        </w:tc>
        <w:tc>
          <w:tcPr>
            <w:tcW w:type="dxa" w:w="4032"/>
          </w:tcPr>
          <w:p>
            <w:pPr>
              <w:spacing w:before="60" w:after="60" w:line="264" w:lineRule="auto"/>
            </w:pPr>
            <w:r/>
            <w:r>
              <w:rPr>
                <w:b w:val="0"/>
                <w:i w:val="0"/>
                <w:sz w:val="16"/>
              </w:rPr>
              <w:t>And then there is the part people sometimes want to skip.</w:t>
            </w:r>
          </w:p>
        </w:tc>
        <w:tc>
          <w:tcPr>
            <w:tcW w:type="dxa" w:w="3888"/>
          </w:tcPr>
          <w:p>
            <w:pPr>
              <w:spacing w:before="60" w:after="60" w:line="264" w:lineRule="auto"/>
            </w:pPr>
            <w:r/>
            <w:r>
              <w:rPr>
                <w:b w:val="0"/>
                <w:i w:val="0"/>
                <w:sz w:val="16"/>
              </w:rPr>
              <w:t>And then there is the harder part of the audit.</w:t>
            </w:r>
          </w:p>
        </w:tc>
      </w:tr>
    </w:tbl>
    <w:p>
      <w:pPr>
        <w:spacing w:after="120"/>
      </w:pPr>
    </w:p>
    <w:p>
      <w:pPr>
        <w:spacing w:before="120" w:after="160"/>
      </w:pPr>
      <w:r>
        <w:rPr>
          <w:b w:val="0"/>
          <w:i w:val="0"/>
          <w:sz w:val="21"/>
        </w:rPr>
        <w:t>The NEW V6 correction restores the wording already approved in the separately locked V22 package, which replaced that exact sentence on the same day for exactly this reason. The two layers now agree.</w:t>
      </w:r>
    </w:p>
    <w:p>
      <w:pPr>
        <w:spacing w:before="200" w:after="200"/>
        <w:ind w:left="216"/>
        <w:pBdr>
          <w:left w:val="single" w:sz="18" w:color="9B2C10" w:space="8"/>
        </w:pBdr>
        <w:keepNext w:val="1"/>
        <w:keepLines w:val="1"/>
      </w:pPr>
      <w:r>
        <w:rPr>
          <w:b/>
          <w:color w:val="9B2C10"/>
          <w:sz w:val="21"/>
        </w:rPr>
        <w:t>The source-language check now reports nothing across all six scripts. It still runs, and it still fires: it was tested against injected phrasing rather than assumed to work.</w:t>
      </w:r>
    </w:p>
    <w:p>
      <w:pPr>
        <w:spacing w:before="320" w:after="120"/>
        <w:keepNext w:val="1"/>
        <w:keepLines w:val="1"/>
      </w:pPr>
      <w:r>
        <w:rPr>
          <w:b/>
          <w:i w:val="0"/>
          <w:color w:val="112345"/>
          <w:sz w:val="26"/>
        </w:rPr>
        <w:t>WHAT THE CORRECTION DID AND DID NOT TOUCH</w:t>
      </w:r>
    </w:p>
    <w:p>
      <w:pPr>
        <w:spacing w:after="80" w:line="278" w:lineRule="auto"/>
        <w:ind w:left="547" w:hanging="230"/>
      </w:pPr>
      <w:r>
        <w:rPr>
          <w:sz w:val="20"/>
        </w:rPr>
        <w:t>•   Each of the five sentences appears exactly once in its own spoken stream and once in its Thought-Block copy, and in no Short, no visual asset and no other script. That was measured before anything was edited.</w:t>
      </w:r>
    </w:p>
    <w:p>
      <w:pPr>
        <w:spacing w:after="80" w:line="278" w:lineRule="auto"/>
        <w:ind w:left="547" w:hanging="230"/>
      </w:pPr>
      <w:r>
        <w:rPr>
          <w:sz w:val="20"/>
        </w:rPr>
        <w:t>•   The Thought-Block copies for NEW V6, NEW V8 and NEW V9 were corrected in place, so every block label and [NOT SPOKEN] marker is untouched and each copy still matches its script exactly and in order.</w:t>
      </w:r>
    </w:p>
    <w:p>
      <w:pPr>
        <w:spacing w:after="80" w:line="278" w:lineRule="auto"/>
        <w:ind w:left="547" w:hanging="230"/>
      </w:pPr>
      <w:r>
        <w:rPr>
          <w:sz w:val="20"/>
        </w:rPr>
        <w:t>•   No visual asset was rebuilt: none of the five sentences appears on a card.</w:t>
      </w:r>
    </w:p>
    <w:p>
      <w:pPr>
        <w:spacing w:after="80" w:line="278" w:lineRule="auto"/>
        <w:ind w:left="547" w:hanging="230"/>
      </w:pPr>
      <w:r>
        <w:rPr>
          <w:sz w:val="20"/>
        </w:rPr>
        <w:t>•   No Short changed, and the three-per-video bank is unchanged.</w:t>
      </w:r>
    </w:p>
    <w:p>
      <w:pPr>
        <w:spacing w:after="80" w:line="278" w:lineRule="auto"/>
        <w:ind w:left="547" w:hanging="230"/>
      </w:pPr>
      <w:r>
        <w:rPr>
          <w:sz w:val="20"/>
        </w:rPr>
        <w:t>•   Only the NEW V6, NEW V8 and NEW V9 package archives were rebuilt. NEW V4, NEW V5 and NEW V7 were re-checked in place and their archives are byte-identical.</w:t>
      </w:r>
    </w:p>
    <w:p>
      <w:pPr>
        <w:spacing w:before="320" w:after="120"/>
        <w:keepNext w:val="1"/>
        <w:keepLines w:val="1"/>
      </w:pPr>
      <w:r>
        <w:rPr>
          <w:b/>
          <w:i w:val="0"/>
          <w:color w:val="112345"/>
          <w:sz w:val="26"/>
        </w:rPr>
        <w:t>NEW V6 PUBLIC EMPLOYER ANONYMIZATION</w:t>
      </w:r>
    </w:p>
    <w:p>
      <w:pPr>
        <w:spacing w:before="0" w:after="160"/>
      </w:pPr>
      <w:r>
        <w:rPr>
          <w:b w:val="0"/>
          <w:i w:val="0"/>
          <w:sz w:val="21"/>
        </w:rPr>
        <w:t>The research stays fully traceable internally and the public teaching layer no longer names an employer. The video teaches how to read a job description; it is not a company review. One spoken sentence was replaced and seven card states across four families now carry a generic label.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752"/>
            <w:shd w:val="clear" w:color="auto" w:fill="F3EFE6"/>
          </w:tcPr>
          <w:p>
            <w:pPr>
              <w:spacing w:before="60" w:after="60" w:line="264" w:lineRule="auto"/>
            </w:pPr>
            <w:r/>
            <w:r>
              <w:rPr>
                <w:b/>
                <w:i w:val="0"/>
                <w:color w:val="112345"/>
                <w:sz w:val="17"/>
              </w:rPr>
              <w:t>EMPLOYER, INTERNAL</w:t>
            </w:r>
          </w:p>
        </w:tc>
        <w:tc>
          <w:tcPr>
            <w:tcW w:type="dxa" w:w="4896"/>
            <w:shd w:val="clear" w:color="auto" w:fill="F3EFE6"/>
          </w:tcPr>
          <w:p>
            <w:pPr>
              <w:spacing w:before="60" w:after="60" w:line="264" w:lineRule="auto"/>
            </w:pPr>
            <w:r/>
            <w:r>
              <w:rPr>
                <w:b/>
                <w:i w:val="0"/>
                <w:color w:val="112345"/>
                <w:sz w:val="17"/>
              </w:rPr>
              <w:t>PUBLIC LABEL</w:t>
            </w:r>
          </w:p>
        </w:tc>
      </w:tr>
      <w:tr>
        <w:tc>
          <w:tcPr>
            <w:tcW w:type="dxa" w:w="4752"/>
          </w:tcPr>
          <w:p>
            <w:pPr>
              <w:spacing w:before="60" w:after="60" w:line="264" w:lineRule="auto"/>
            </w:pPr>
            <w:r/>
            <w:r>
              <w:rPr>
                <w:b w:val="0"/>
                <w:i w:val="0"/>
                <w:sz w:val="17"/>
              </w:rPr>
              <w:t>Health Care Service Corporation</w:t>
            </w:r>
          </w:p>
        </w:tc>
        <w:tc>
          <w:tcPr>
            <w:tcW w:type="dxa" w:w="4896"/>
          </w:tcPr>
          <w:p>
            <w:pPr>
              <w:spacing w:before="60" w:after="60" w:line="264" w:lineRule="auto"/>
            </w:pPr>
            <w:r/>
            <w:r>
              <w:rPr>
                <w:b w:val="0"/>
                <w:i w:val="0"/>
                <w:sz w:val="17"/>
              </w:rPr>
              <w:t>Large Health Insurer</w:t>
            </w:r>
          </w:p>
        </w:tc>
      </w:tr>
      <w:tr>
        <w:tc>
          <w:tcPr>
            <w:tcW w:type="dxa" w:w="4752"/>
          </w:tcPr>
          <w:p>
            <w:pPr>
              <w:spacing w:before="60" w:after="60" w:line="264" w:lineRule="auto"/>
            </w:pPr>
            <w:r/>
            <w:r>
              <w:rPr>
                <w:b w:val="0"/>
                <w:i w:val="0"/>
                <w:sz w:val="17"/>
              </w:rPr>
              <w:t>Zeta Global</w:t>
            </w:r>
          </w:p>
        </w:tc>
        <w:tc>
          <w:tcPr>
            <w:tcW w:type="dxa" w:w="4896"/>
          </w:tcPr>
          <w:p>
            <w:pPr>
              <w:spacing w:before="60" w:after="60" w:line="264" w:lineRule="auto"/>
            </w:pPr>
            <w:r/>
            <w:r>
              <w:rPr>
                <w:b w:val="0"/>
                <w:i w:val="0"/>
                <w:sz w:val="17"/>
              </w:rPr>
              <w:t>Marketing Technology Company</w:t>
            </w:r>
          </w:p>
        </w:tc>
      </w:tr>
      <w:tr>
        <w:tc>
          <w:tcPr>
            <w:tcW w:type="dxa" w:w="4752"/>
          </w:tcPr>
          <w:p>
            <w:pPr>
              <w:spacing w:before="60" w:after="60" w:line="264" w:lineRule="auto"/>
            </w:pPr>
            <w:r/>
            <w:r>
              <w:rPr>
                <w:b w:val="0"/>
                <w:i w:val="0"/>
                <w:sz w:val="17"/>
              </w:rPr>
              <w:t>Patriot Growth Insurance Services</w:t>
            </w:r>
          </w:p>
        </w:tc>
        <w:tc>
          <w:tcPr>
            <w:tcW w:type="dxa" w:w="4896"/>
          </w:tcPr>
          <w:p>
            <w:pPr>
              <w:spacing w:before="60" w:after="60" w:line="264" w:lineRule="auto"/>
            </w:pPr>
            <w:r/>
            <w:r>
              <w:rPr>
                <w:b w:val="0"/>
                <w:i w:val="0"/>
                <w:sz w:val="17"/>
              </w:rPr>
              <w:t>Insurance Brokerage</w:t>
            </w:r>
          </w:p>
        </w:tc>
      </w:tr>
      <w:tr>
        <w:tc>
          <w:tcPr>
            <w:tcW w:type="dxa" w:w="4752"/>
          </w:tcPr>
          <w:p>
            <w:pPr>
              <w:spacing w:before="60" w:after="60" w:line="264" w:lineRule="auto"/>
            </w:pPr>
            <w:r/>
            <w:r>
              <w:rPr>
                <w:b w:val="0"/>
                <w:i w:val="0"/>
                <w:sz w:val="17"/>
              </w:rPr>
              <w:t>xAI</w:t>
            </w:r>
          </w:p>
        </w:tc>
        <w:tc>
          <w:tcPr>
            <w:tcW w:type="dxa" w:w="4896"/>
          </w:tcPr>
          <w:p>
            <w:pPr>
              <w:spacing w:before="60" w:after="60" w:line="264" w:lineRule="auto"/>
            </w:pPr>
            <w:r/>
            <w:r>
              <w:rPr>
                <w:b w:val="0"/>
                <w:i w:val="0"/>
                <w:sz w:val="17"/>
              </w:rPr>
              <w:t>AI Company</w:t>
            </w:r>
          </w:p>
        </w:tc>
      </w:tr>
      <w:tr>
        <w:tc>
          <w:tcPr>
            <w:tcW w:type="dxa" w:w="4752"/>
          </w:tcPr>
          <w:p>
            <w:pPr>
              <w:spacing w:before="60" w:after="60" w:line="264" w:lineRule="auto"/>
            </w:pPr>
            <w:r/>
            <w:r>
              <w:rPr>
                <w:b w:val="0"/>
                <w:i w:val="0"/>
                <w:sz w:val="17"/>
              </w:rPr>
              <w:t>GiveDirectly</w:t>
            </w:r>
          </w:p>
        </w:tc>
        <w:tc>
          <w:tcPr>
            <w:tcW w:type="dxa" w:w="4896"/>
          </w:tcPr>
          <w:p>
            <w:pPr>
              <w:spacing w:before="60" w:after="60" w:line="264" w:lineRule="auto"/>
            </w:pPr>
            <w:r/>
            <w:r>
              <w:rPr>
                <w:b w:val="0"/>
                <w:i w:val="0"/>
                <w:sz w:val="17"/>
              </w:rPr>
              <w:t>A global nonprofit, spoken</w:t>
            </w:r>
          </w:p>
        </w:tc>
      </w:tr>
    </w:tbl>
    <w:p>
      <w:pPr>
        <w:spacing w:after="120"/>
      </w:pPr>
    </w:p>
    <w:p>
      <w:pPr>
        <w:spacing w:before="120" w:after="160"/>
      </w:pPr>
      <w:r>
        <w:rPr>
          <w:b w:val="0"/>
          <w:i w:val="0"/>
          <w:sz w:val="21"/>
        </w:rPr>
        <w:t>Each anonymized card was proved to differ by the label and nothing else: restoring the employer name returns the card to the exact bytes the locked V22 package shipped.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744"/>
            <w:shd w:val="clear" w:color="auto" w:fill="F3EFE6"/>
          </w:tcPr>
          <w:p>
            <w:pPr>
              <w:spacing w:before="60" w:after="60" w:line="264" w:lineRule="auto"/>
            </w:pPr>
            <w:r/>
            <w:r>
              <w:rPr>
                <w:b/>
                <w:i w:val="0"/>
                <w:color w:val="112345"/>
                <w:sz w:val="17"/>
              </w:rPr>
              <w:t>ANONYMIZED FAMILY</w:t>
            </w:r>
          </w:p>
        </w:tc>
        <w:tc>
          <w:tcPr>
            <w:tcW w:type="dxa" w:w="5904"/>
            <w:shd w:val="clear" w:color="auto" w:fill="F3EFE6"/>
          </w:tcPr>
          <w:p>
            <w:pPr>
              <w:spacing w:before="60" w:after="60" w:line="264" w:lineRule="auto"/>
            </w:pPr>
            <w:r/>
            <w:r>
              <w:rPr>
                <w:b/>
                <w:i w:val="0"/>
                <w:color w:val="112345"/>
                <w:sz w:val="17"/>
              </w:rPr>
              <w:t>VERIFIED</w:t>
            </w:r>
          </w:p>
        </w:tc>
      </w:tr>
      <w:tr>
        <w:tc>
          <w:tcPr>
            <w:tcW w:type="dxa" w:w="3744"/>
          </w:tcPr>
          <w:p>
            <w:pPr>
              <w:spacing w:before="60" w:after="60" w:line="264" w:lineRule="auto"/>
            </w:pPr>
            <w:r/>
            <w:r>
              <w:rPr>
                <w:b w:val="0"/>
                <w:i w:val="0"/>
                <w:sz w:val="15"/>
              </w:rPr>
              <w:t>NEW_V6_FS_01_TITLE_ONLY</w:t>
            </w:r>
          </w:p>
        </w:tc>
        <w:tc>
          <w:tcPr>
            <w:tcW w:type="dxa" w:w="5904"/>
          </w:tcPr>
          <w:p>
            <w:pPr>
              <w:spacing w:before="60" w:after="60" w:line="264" w:lineRule="auto"/>
            </w:pPr>
            <w:r/>
            <w:r>
              <w:rPr>
                <w:b w:val="0"/>
                <w:i w:val="0"/>
                <w:sz w:val="15"/>
              </w:rPr>
              <w:t>restoring the employer name returns all 1 states to the former V22 bytes exactly</w:t>
            </w:r>
          </w:p>
        </w:tc>
      </w:tr>
      <w:tr>
        <w:tc>
          <w:tcPr>
            <w:tcW w:type="dxa" w:w="3744"/>
          </w:tcPr>
          <w:p>
            <w:pPr>
              <w:spacing w:before="60" w:after="60" w:line="264" w:lineRule="auto"/>
            </w:pPr>
            <w:r/>
            <w:r>
              <w:rPr>
                <w:b w:val="0"/>
                <w:i w:val="0"/>
                <w:sz w:val="15"/>
              </w:rPr>
              <w:t>NEW_V6_FS_09_PREDEFINED_DECISIONS</w:t>
            </w:r>
          </w:p>
        </w:tc>
        <w:tc>
          <w:tcPr>
            <w:tcW w:type="dxa" w:w="5904"/>
          </w:tcPr>
          <w:p>
            <w:pPr>
              <w:spacing w:before="60" w:after="60" w:line="264" w:lineRule="auto"/>
            </w:pPr>
            <w:r/>
            <w:r>
              <w:rPr>
                <w:b w:val="0"/>
                <w:i w:val="0"/>
                <w:sz w:val="15"/>
              </w:rPr>
              <w:t>restoring the employer name returns all 2 states to the former V22 bytes exactly</w:t>
            </w:r>
          </w:p>
        </w:tc>
      </w:tr>
      <w:tr>
        <w:tc>
          <w:tcPr>
            <w:tcW w:type="dxa" w:w="3744"/>
          </w:tcPr>
          <w:p>
            <w:pPr>
              <w:spacing w:before="60" w:after="60" w:line="264" w:lineRule="auto"/>
            </w:pPr>
            <w:r/>
            <w:r>
              <w:rPr>
                <w:b w:val="0"/>
                <w:i w:val="0"/>
                <w:sz w:val="15"/>
              </w:rPr>
              <w:t>NEW_V6_FS_10_DIRECTOR_COMPARE</w:t>
            </w:r>
          </w:p>
        </w:tc>
        <w:tc>
          <w:tcPr>
            <w:tcW w:type="dxa" w:w="5904"/>
          </w:tcPr>
          <w:p>
            <w:pPr>
              <w:spacing w:before="60" w:after="60" w:line="264" w:lineRule="auto"/>
            </w:pPr>
            <w:r/>
            <w:r>
              <w:rPr>
                <w:b w:val="0"/>
                <w:i w:val="0"/>
                <w:sz w:val="15"/>
              </w:rPr>
              <w:t>restoring the employer name returns all 2 states to the former V22 bytes exactly</w:t>
            </w:r>
          </w:p>
        </w:tc>
      </w:tr>
      <w:tr>
        <w:tc>
          <w:tcPr>
            <w:tcW w:type="dxa" w:w="3744"/>
          </w:tcPr>
          <w:p>
            <w:pPr>
              <w:spacing w:before="60" w:after="60" w:line="264" w:lineRule="auto"/>
            </w:pPr>
            <w:r/>
            <w:r>
              <w:rPr>
                <w:b w:val="0"/>
                <w:i w:val="0"/>
                <w:sz w:val="15"/>
              </w:rPr>
              <w:t>NEW_V6_FS_13_ACRONYM_WALL</w:t>
            </w:r>
          </w:p>
        </w:tc>
        <w:tc>
          <w:tcPr>
            <w:tcW w:type="dxa" w:w="5904"/>
          </w:tcPr>
          <w:p>
            <w:pPr>
              <w:spacing w:before="60" w:after="60" w:line="264" w:lineRule="auto"/>
            </w:pPr>
            <w:r/>
            <w:r>
              <w:rPr>
                <w:b w:val="0"/>
                <w:i w:val="0"/>
                <w:sz w:val="15"/>
              </w:rPr>
              <w:t>restoring the employer name returns all 2 states to the former V22 bytes exactly</w:t>
            </w:r>
          </w:p>
        </w:tc>
      </w:tr>
    </w:tbl>
    <w:p>
      <w:pPr>
        <w:spacing w:after="120"/>
      </w:pPr>
    </w:p>
    <w:p>
      <w:pPr>
        <w:spacing w:after="80" w:line="278" w:lineRule="auto"/>
        <w:ind w:left="547" w:hanging="230"/>
      </w:pPr>
      <w:r>
        <w:rPr>
          <w:sz w:val="20"/>
        </w:rPr>
        <w:t>•   The evidence layer keeps every real employer identity: source manifest, provenance and evidence notes are unchanged.</w:t>
      </w:r>
    </w:p>
    <w:p>
      <w:pPr>
        <w:spacing w:after="80" w:line="278" w:lineRule="auto"/>
        <w:ind w:left="547" w:hanging="230"/>
      </w:pPr>
      <w:r>
        <w:rPr>
          <w:sz w:val="20"/>
        </w:rPr>
        <w:t>•   Job titles, published ranges, quoted requirement language, authority verbs and the September 12, 2026 capture date all remain. Anonymizing identity removed no evidence.</w:t>
      </w:r>
    </w:p>
    <w:p>
      <w:pPr>
        <w:spacing w:after="80" w:line="278" w:lineRule="auto"/>
        <w:ind w:left="547" w:hanging="230"/>
      </w:pPr>
      <w:r>
        <w:rPr>
          <w:sz w:val="20"/>
        </w:rPr>
        <w:t>•   The 15-posting, 11-employer denominator is unchanged, and the ceiling claim stays bounded to this sample.</w:t>
      </w:r>
    </w:p>
    <w:p>
      <w:pPr>
        <w:spacing w:after="80" w:line="278" w:lineRule="auto"/>
        <w:ind w:left="547" w:hanging="230"/>
      </w:pPr>
      <w:r>
        <w:rPr>
          <w:sz w:val="20"/>
        </w:rPr>
        <w:t>•   One card family was renamed so the employer no longer appears in a filename, a map or the asset index.</w:t>
      </w:r>
    </w:p>
    <w:p>
      <w:pPr>
        <w:spacing w:after="80" w:line="278" w:lineRule="auto"/>
        <w:ind w:left="547" w:hanging="230"/>
      </w:pPr>
      <w:r>
        <w:rPr>
          <w:sz w:val="20"/>
        </w:rPr>
        <w:t>•   No Short changed: no employer name appears in any Short, spoken or visual, which was verified rather than assumed.</w:t>
      </w:r>
    </w:p>
    <w:p>
      <w:pPr>
        <w:spacing w:before="320" w:after="120"/>
        <w:keepNext w:val="1"/>
        <w:keepLines w:val="1"/>
      </w:pPr>
      <w:r>
        <w:rPr>
          <w:b/>
          <w:i w:val="0"/>
          <w:color w:val="112345"/>
          <w:sz w:val="26"/>
        </w:rPr>
        <w:t>REVISED YOUTUBE DESCRIPTIONS</w:t>
      </w:r>
    </w:p>
    <w:p>
      <w:pPr>
        <w:spacing w:before="0" w:after="160"/>
      </w:pPr>
      <w:r>
        <w:rPr>
          <w:b w:val="0"/>
          <w:i w:val="0"/>
          <w:sz w:val="21"/>
        </w:rPr>
        <w:t>The approved revised description package of September 14 supersedes the description copy this build previously authored. Each description is reproduced verbatim: wording, emojis, resource name and URL are not edited. The superseded copy was removed from the build rather than left beside the real one.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296"/>
            <w:shd w:val="clear" w:color="auto" w:fill="F3EFE6"/>
          </w:tcPr>
          <w:p>
            <w:pPr>
              <w:spacing w:before="60" w:after="60" w:line="264" w:lineRule="auto"/>
            </w:pPr>
            <w:r/>
            <w:r>
              <w:rPr>
                <w:b/>
                <w:i w:val="0"/>
                <w:color w:val="112345"/>
                <w:sz w:val="17"/>
              </w:rPr>
            </w:r>
          </w:p>
        </w:tc>
        <w:tc>
          <w:tcPr>
            <w:tcW w:type="dxa" w:w="3456"/>
            <w:shd w:val="clear" w:color="auto" w:fill="F3EFE6"/>
          </w:tcPr>
          <w:p>
            <w:pPr>
              <w:spacing w:before="60" w:after="60" w:line="264" w:lineRule="auto"/>
            </w:pPr>
            <w:r/>
            <w:r>
              <w:rPr>
                <w:b/>
                <w:i w:val="0"/>
                <w:color w:val="112345"/>
                <w:sz w:val="17"/>
              </w:rPr>
              <w:t>RESOURCE</w:t>
            </w:r>
          </w:p>
        </w:tc>
        <w:tc>
          <w:tcPr>
            <w:tcW w:type="dxa" w:w="4896"/>
            <w:shd w:val="clear" w:color="auto" w:fill="F3EFE6"/>
          </w:tcPr>
          <w:p>
            <w:pPr>
              <w:spacing w:before="60" w:after="60" w:line="264" w:lineRule="auto"/>
            </w:pPr>
            <w:r/>
            <w:r>
              <w:rPr>
                <w:b/>
                <w:i w:val="0"/>
                <w:color w:val="112345"/>
                <w:sz w:val="17"/>
              </w:rPr>
              <w:t>URL</w:t>
            </w:r>
          </w:p>
        </w:tc>
      </w:tr>
      <w:tr>
        <w:tc>
          <w:tcPr>
            <w:tcW w:type="dxa" w:w="1296"/>
          </w:tcPr>
          <w:p>
            <w:pPr>
              <w:spacing w:before="60" w:after="60" w:line="264" w:lineRule="auto"/>
            </w:pPr>
            <w:r/>
            <w:r>
              <w:rPr>
                <w:b w:val="0"/>
                <w:i w:val="0"/>
                <w:sz w:val="17"/>
              </w:rPr>
              <w:t>NEW V4</w:t>
            </w:r>
          </w:p>
        </w:tc>
        <w:tc>
          <w:tcPr>
            <w:tcW w:type="dxa" w:w="3456"/>
          </w:tcPr>
          <w:p>
            <w:pPr>
              <w:spacing w:before="60" w:after="60" w:line="264" w:lineRule="auto"/>
            </w:pPr>
            <w:r/>
            <w:r>
              <w:rPr>
                <w:b w:val="0"/>
                <w:i w:val="0"/>
                <w:sz w:val="17"/>
              </w:rPr>
              <w:t>None, intentionally</w:t>
            </w:r>
          </w:p>
        </w:tc>
        <w:tc>
          <w:tcPr>
            <w:tcW w:type="dxa" w:w="4896"/>
          </w:tcPr>
          <w:p>
            <w:pPr>
              <w:spacing w:before="60" w:after="60" w:line="264" w:lineRule="auto"/>
            </w:pPr>
            <w:r/>
            <w:r>
              <w:rPr>
                <w:b w:val="0"/>
                <w:i w:val="0"/>
                <w:sz w:val="17"/>
              </w:rPr>
            </w:r>
          </w:p>
        </w:tc>
      </w:tr>
      <w:tr>
        <w:tc>
          <w:tcPr>
            <w:tcW w:type="dxa" w:w="1296"/>
          </w:tcPr>
          <w:p>
            <w:pPr>
              <w:spacing w:before="60" w:after="60" w:line="264" w:lineRule="auto"/>
            </w:pPr>
            <w:r/>
            <w:r>
              <w:rPr>
                <w:b w:val="0"/>
                <w:i w:val="0"/>
                <w:sz w:val="17"/>
              </w:rPr>
              <w:t>NEW V5</w:t>
            </w:r>
          </w:p>
        </w:tc>
        <w:tc>
          <w:tcPr>
            <w:tcW w:type="dxa" w:w="3456"/>
          </w:tcPr>
          <w:p>
            <w:pPr>
              <w:spacing w:before="60" w:after="60" w:line="264" w:lineRule="auto"/>
            </w:pPr>
            <w:r/>
            <w:r>
              <w:rPr>
                <w:b w:val="0"/>
                <w:i w:val="0"/>
                <w:sz w:val="17"/>
              </w:rPr>
              <w:t>Career Decision Evidence Check</w:t>
            </w:r>
          </w:p>
        </w:tc>
        <w:tc>
          <w:tcPr>
            <w:tcW w:type="dxa" w:w="4896"/>
          </w:tcPr>
          <w:p>
            <w:pPr>
              <w:spacing w:before="60" w:after="60" w:line="264" w:lineRule="auto"/>
            </w:pPr>
            <w:r/>
            <w:r>
              <w:rPr>
                <w:b w:val="0"/>
                <w:i w:val="0"/>
                <w:sz w:val="17"/>
              </w:rPr>
              <w:t>https://temidayoafonja.com/career-decisions</w:t>
            </w:r>
          </w:p>
        </w:tc>
      </w:tr>
      <w:tr>
        <w:tc>
          <w:tcPr>
            <w:tcW w:type="dxa" w:w="1296"/>
          </w:tcPr>
          <w:p>
            <w:pPr>
              <w:spacing w:before="60" w:after="60" w:line="264" w:lineRule="auto"/>
            </w:pPr>
            <w:r/>
            <w:r>
              <w:rPr>
                <w:b w:val="0"/>
                <w:i w:val="0"/>
                <w:sz w:val="17"/>
              </w:rPr>
              <w:t>NEW V6</w:t>
            </w:r>
          </w:p>
        </w:tc>
        <w:tc>
          <w:tcPr>
            <w:tcW w:type="dxa" w:w="3456"/>
          </w:tcPr>
          <w:p>
            <w:pPr>
              <w:spacing w:before="60" w:after="60" w:line="264" w:lineRule="auto"/>
            </w:pPr>
            <w:r/>
            <w:r>
              <w:rPr>
                <w:b w:val="0"/>
                <w:i w:val="0"/>
                <w:sz w:val="17"/>
              </w:rPr>
              <w:t>Career Evidence Starter</w:t>
            </w:r>
          </w:p>
        </w:tc>
        <w:tc>
          <w:tcPr>
            <w:tcW w:type="dxa" w:w="4896"/>
          </w:tcPr>
          <w:p>
            <w:pPr>
              <w:spacing w:before="60" w:after="60" w:line="264" w:lineRule="auto"/>
            </w:pPr>
            <w:r/>
            <w:r>
              <w:rPr>
                <w:b w:val="0"/>
                <w:i w:val="0"/>
                <w:sz w:val="17"/>
              </w:rPr>
              <w:t>https://temidayoafonja.com/career-evidence-starter</w:t>
            </w:r>
          </w:p>
        </w:tc>
      </w:tr>
      <w:tr>
        <w:tc>
          <w:tcPr>
            <w:tcW w:type="dxa" w:w="1296"/>
          </w:tcPr>
          <w:p>
            <w:pPr>
              <w:spacing w:before="60" w:after="60" w:line="264" w:lineRule="auto"/>
            </w:pPr>
            <w:r/>
            <w:r>
              <w:rPr>
                <w:b w:val="0"/>
                <w:i w:val="0"/>
                <w:sz w:val="17"/>
              </w:rPr>
              <w:t>NEW V7</w:t>
            </w:r>
          </w:p>
        </w:tc>
        <w:tc>
          <w:tcPr>
            <w:tcW w:type="dxa" w:w="3456"/>
          </w:tcPr>
          <w:p>
            <w:pPr>
              <w:spacing w:before="60" w:after="60" w:line="264" w:lineRule="auto"/>
            </w:pPr>
            <w:r/>
            <w:r>
              <w:rPr>
                <w:b w:val="0"/>
                <w:i w:val="0"/>
                <w:sz w:val="17"/>
              </w:rPr>
              <w:t>Career Evidence Starter</w:t>
            </w:r>
          </w:p>
        </w:tc>
        <w:tc>
          <w:tcPr>
            <w:tcW w:type="dxa" w:w="4896"/>
          </w:tcPr>
          <w:p>
            <w:pPr>
              <w:spacing w:before="60" w:after="60" w:line="264" w:lineRule="auto"/>
            </w:pPr>
            <w:r/>
            <w:r>
              <w:rPr>
                <w:b w:val="0"/>
                <w:i w:val="0"/>
                <w:sz w:val="17"/>
              </w:rPr>
              <w:t>https://temidayoafonja.com/career-evidence-starter</w:t>
            </w:r>
          </w:p>
        </w:tc>
      </w:tr>
      <w:tr>
        <w:tc>
          <w:tcPr>
            <w:tcW w:type="dxa" w:w="1296"/>
          </w:tcPr>
          <w:p>
            <w:pPr>
              <w:spacing w:before="60" w:after="60" w:line="264" w:lineRule="auto"/>
            </w:pPr>
            <w:r/>
            <w:r>
              <w:rPr>
                <w:b w:val="0"/>
                <w:i w:val="0"/>
                <w:sz w:val="17"/>
              </w:rPr>
              <w:t>NEW V8</w:t>
            </w:r>
          </w:p>
        </w:tc>
        <w:tc>
          <w:tcPr>
            <w:tcW w:type="dxa" w:w="3456"/>
          </w:tcPr>
          <w:p>
            <w:pPr>
              <w:spacing w:before="60" w:after="60" w:line="264" w:lineRule="auto"/>
            </w:pPr>
            <w:r/>
            <w:r>
              <w:rPr>
                <w:b w:val="0"/>
                <w:i w:val="0"/>
                <w:sz w:val="17"/>
              </w:rPr>
              <w:t>Keep the Proof</w:t>
            </w:r>
          </w:p>
        </w:tc>
        <w:tc>
          <w:tcPr>
            <w:tcW w:type="dxa" w:w="4896"/>
          </w:tcPr>
          <w:p>
            <w:pPr>
              <w:spacing w:before="60" w:after="60" w:line="264" w:lineRule="auto"/>
            </w:pPr>
            <w:r/>
            <w:r>
              <w:rPr>
                <w:b w:val="0"/>
                <w:i w:val="0"/>
                <w:sz w:val="17"/>
              </w:rPr>
              <w:t>https://temidayoafonja.com/keep-the-proof</w:t>
            </w:r>
          </w:p>
        </w:tc>
      </w:tr>
      <w:tr>
        <w:tc>
          <w:tcPr>
            <w:tcW w:type="dxa" w:w="1296"/>
          </w:tcPr>
          <w:p>
            <w:pPr>
              <w:spacing w:before="60" w:after="60" w:line="264" w:lineRule="auto"/>
            </w:pPr>
            <w:r/>
            <w:r>
              <w:rPr>
                <w:b w:val="0"/>
                <w:i w:val="0"/>
                <w:sz w:val="17"/>
              </w:rPr>
              <w:t>NEW V9</w:t>
            </w:r>
          </w:p>
        </w:tc>
        <w:tc>
          <w:tcPr>
            <w:tcW w:type="dxa" w:w="3456"/>
          </w:tcPr>
          <w:p>
            <w:pPr>
              <w:spacing w:before="60" w:after="60" w:line="264" w:lineRule="auto"/>
            </w:pPr>
            <w:r/>
            <w:r>
              <w:rPr>
                <w:b w:val="0"/>
                <w:i w:val="0"/>
                <w:sz w:val="17"/>
              </w:rPr>
              <w:t>Career Decision Evidence Check</w:t>
            </w:r>
          </w:p>
        </w:tc>
        <w:tc>
          <w:tcPr>
            <w:tcW w:type="dxa" w:w="4896"/>
          </w:tcPr>
          <w:p>
            <w:pPr>
              <w:spacing w:before="60" w:after="60" w:line="264" w:lineRule="auto"/>
            </w:pPr>
            <w:r/>
            <w:r>
              <w:rPr>
                <w:b w:val="0"/>
                <w:i w:val="0"/>
                <w:sz w:val="17"/>
              </w:rPr>
              <w:t>https://temidayoafonja.com/career-decisions</w:t>
            </w:r>
          </w:p>
        </w:tc>
      </w:tr>
    </w:tbl>
    <w:p>
      <w:pPr>
        <w:spacing w:after="120"/>
      </w:pPr>
    </w:p>
    <w:p>
      <w:pPr>
        <w:spacing w:before="100" w:after="200"/>
      </w:pPr>
      <w:r>
        <w:rPr>
          <w:b w:val="0"/>
          <w:i w:val="0"/>
          <w:color w:val="5A6B82"/>
          <w:sz w:val="19"/>
        </w:rPr>
        <w:t>One relevant resource at most. The resource and Watch Next are kept apart: optional deeper help is not the next content path.</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SRT timing and thumbnail artwork are all decided after the final edit.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