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MANUAL EDITS — NOT PUBLISHABLE FROM THE REPOSITORY</w:t>
            </w:r>
          </w:p>
          <w:p>
            <w:r>
              <w:rPr>
                <w:b/>
                <w:color w:val="FFFFFF"/>
                <w:sz w:val="40"/>
              </w:rPr>
              <w:t>September 23 — Maven and Website Edit Checklist</w:t>
            </w:r>
          </w:p>
          <w:p>
            <w:r>
              <w:rPr>
                <w:i/>
                <w:color w:val="E3D9C4"/>
                <w:sz w:val="22"/>
              </w:rPr>
              <w:t>v1.1  ·  Prepared Friday, September 4, 2026 at 6:40 AM CT</w:t>
            </w:r>
          </w:p>
        </w:tc>
      </w:tr>
    </w:tbl>
    <w:p>
      <w:pPr>
        <w:spacing w:after="80"/>
      </w:pPr>
    </w:p>
    <w:p>
      <w:pPr>
        <w:spacing w:after="160"/>
      </w:pPr>
      <w:r>
        <w:rPr>
          <w:b/>
          <w:i w:val="0"/>
          <w:color w:val="B00000"/>
          <w:sz w:val="19"/>
        </w:rPr>
        <w:t>NOTHING IN THIS CHECKLIST HAPPENS AUTOMATICALLY. The repository has no route to publish to Maven or to the live site. Both maven.com and temidayoafonja.com are also blocked by this environment's network egress, so nothing below was read from the live pages: every “current” value is quoted from the brief. Confirm each one on screen before editing, and treat a mismatch as a finding rather than a typo.</w:t>
      </w:r>
    </w:p>
    <w:p>
      <w:pPr>
        <w:spacing w:before="100" w:after="100" w:line="40" w:lineRule="exact"/>
        <w:pBdr>
          <w:bottom w:val="single" w:sz="6" w:space="1" w:color="B8C5D9"/>
        </w:pBdr>
      </w:pPr>
    </w:p>
    <w:p>
      <w:pPr>
        <w:spacing w:before="320" w:after="160"/>
      </w:pPr>
      <w:r>
        <w:rPr>
          <w:b/>
          <w:color w:val="0F2347"/>
          <w:sz w:val="32"/>
        </w:rPr>
        <w:t>A. Maven — instructor title</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160"/>
            <w:shd w:val="clear" w:fill="0F2347"/>
          </w:tcPr>
          <w:p>
            <w:r/>
            <w:r>
              <w:rPr>
                <w:b/>
                <w:color w:val="FFFFFF"/>
                <w:sz w:val="19"/>
              </w:rPr>
              <w:t>Field</w:t>
            </w:r>
          </w:p>
        </w:tc>
        <w:tc>
          <w:tcPr>
            <w:tcW w:type="dxa" w:w="7488"/>
            <w:shd w:val="clear" w:fill="0F2347"/>
          </w:tcPr>
          <w:p>
            <w:r/>
            <w:r>
              <w:rPr>
                <w:b/>
                <w:color w:val="FFFFFF"/>
                <w:sz w:val="19"/>
              </w:rPr>
              <w:t>Value</w:t>
            </w:r>
          </w:p>
        </w:tc>
      </w:tr>
      <w:tr>
        <w:trPr>
          <w:cantSplit w:val="true"/>
        </w:trPr>
        <w:tc>
          <w:tcPr>
            <w:tcW w:type="dxa" w:w="2160"/>
          </w:tcPr>
          <w:p>
            <w:r/>
            <w:r>
              <w:rPr>
                <w:b/>
                <w:sz w:val="19"/>
              </w:rPr>
              <w:t>Replace</w:t>
            </w:r>
          </w:p>
        </w:tc>
        <w:tc>
          <w:tcPr>
            <w:tcW w:type="dxa" w:w="7488"/>
          </w:tcPr>
          <w:p>
            <w:r/>
            <w:r>
              <w:rPr>
                <w:sz w:val="19"/>
              </w:rPr>
              <w:t>Organizational Capability Architect | Author, The Capability Audit</w:t>
            </w:r>
          </w:p>
        </w:tc>
      </w:tr>
      <w:tr>
        <w:trPr>
          <w:cantSplit w:val="true"/>
        </w:trPr>
        <w:tc>
          <w:tcPr>
            <w:tcW w:type="dxa" w:w="2160"/>
          </w:tcPr>
          <w:p>
            <w:r/>
            <w:r>
              <w:rPr>
                <w:b/>
                <w:sz w:val="19"/>
              </w:rPr>
              <w:t>With</w:t>
            </w:r>
          </w:p>
        </w:tc>
        <w:tc>
          <w:tcPr>
            <w:tcW w:type="dxa" w:w="7488"/>
          </w:tcPr>
          <w:p>
            <w:r/>
            <w:r>
              <w:rPr>
                <w:sz w:val="19"/>
              </w:rPr>
              <w:t>Career Portability Advisor | Author, The Capability Audit</w:t>
            </w:r>
          </w:p>
        </w:tc>
      </w:tr>
      <w:tr>
        <w:trPr>
          <w:cantSplit w:val="true"/>
        </w:trPr>
        <w:tc>
          <w:tcPr>
            <w:tcW w:type="dxa" w:w="2160"/>
          </w:tcPr>
          <w:p>
            <w:r/>
            <w:r>
              <w:rPr>
                <w:b/>
                <w:sz w:val="19"/>
              </w:rPr>
              <w:t>Why</w:t>
            </w:r>
          </w:p>
        </w:tc>
        <w:tc>
          <w:tcPr>
            <w:tcW w:type="dxa" w:w="7488"/>
          </w:tcPr>
          <w:p>
            <w:r/>
            <w:r>
              <w:rPr>
                <w:sz w:val="19"/>
              </w:rPr>
              <w:t>The public positioning is Career Portability Advisor. The retired title is the last place it survives in anything participant-facing; it appears nowhere in the deck, the SOP or the workbook.</w:t>
            </w:r>
          </w:p>
        </w:tc>
      </w:tr>
    </w:tbl>
    <w:p>
      <w:pPr>
        <w:spacing w:after="80"/>
      </w:pPr>
    </w:p>
    <w:p>
      <w:pPr>
        <w:spacing w:before="100" w:after="100" w:line="40" w:lineRule="exact"/>
        <w:pBdr>
          <w:bottom w:val="single" w:sz="6" w:space="1" w:color="B8C5D9"/>
        </w:pBdr>
      </w:pPr>
    </w:p>
    <w:p>
      <w:pPr>
        <w:spacing w:before="320" w:after="160"/>
      </w:pPr>
      <w:r>
        <w:rPr>
          <w:b/>
          <w:color w:val="0F2347"/>
          <w:sz w:val="32"/>
        </w:rPr>
        <w:t>B. Maven — instructor bio</w:t>
      </w:r>
    </w:p>
    <w:p>
      <w:pPr>
        <w:spacing w:after="160"/>
      </w:pPr>
      <w:r>
        <w:rPr>
          <w:b w:val="0"/>
          <w:i w:val="0"/>
          <w:color w:val="000000"/>
          <w:sz w:val="19"/>
        </w:rPr>
        <w:t>Replace the current bio with this text exactly:</w:t>
      </w:r>
    </w:p>
    <w:p>
      <w:pPr>
        <w:spacing w:after="160"/>
      </w:pPr>
      <w:r>
        <w:rPr>
          <w:b w:val="0"/>
          <w:i w:val="0"/>
          <w:color w:val="000000"/>
          <w:sz w:val="19"/>
        </w:rPr>
        <w:t>Temidayo Afonja is a Career Portability Advisor, founder of The Density Group and author of The Capability Audit. Her 18-year career has moved through accounting and audit, cybersecurity, people strategy, employee experience and enterprise transformation across multiple industries and sectors.</w:t>
      </w:r>
    </w:p>
    <w:p>
      <w:pPr>
        <w:spacing w:after="160"/>
      </w:pPr>
      <w:r>
        <w:rPr>
          <w:b w:val="0"/>
          <w:i w:val="0"/>
          <w:color w:val="000000"/>
          <w:sz w:val="19"/>
        </w:rPr>
        <w:t>That journey shaped the question behind Capability Formation: what has your work built in you, and what remains useful when the context changes? She helps experienced professionals understand what they can carry across roles, functions, employers and industries, and make their next move without assuming they have to start from zero.</w:t>
      </w:r>
    </w:p>
    <w:p>
      <w:pPr>
        <w:spacing w:before="100" w:after="100" w:line="40" w:lineRule="exact"/>
        <w:pBdr>
          <w:bottom w:val="single" w:sz="6" w:space="1" w:color="B8C5D9"/>
        </w:pBdr>
      </w:pPr>
    </w:p>
    <w:p>
      <w:pPr>
        <w:spacing w:before="320" w:after="160"/>
      </w:pPr>
      <w:r>
        <w:rPr>
          <w:b/>
          <w:color w:val="0F2347"/>
          <w:sz w:val="32"/>
        </w:rPr>
        <w:t>C. Maven — learning outcome 3</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160"/>
            <w:shd w:val="clear" w:fill="0F2347"/>
          </w:tcPr>
          <w:p>
            <w:r/>
            <w:r>
              <w:rPr>
                <w:b/>
                <w:color w:val="FFFFFF"/>
                <w:sz w:val="19"/>
              </w:rPr>
              <w:t>Field</w:t>
            </w:r>
          </w:p>
        </w:tc>
        <w:tc>
          <w:tcPr>
            <w:tcW w:type="dxa" w:w="7488"/>
            <w:shd w:val="clear" w:fill="0F2347"/>
          </w:tcPr>
          <w:p>
            <w:r/>
            <w:r>
              <w:rPr>
                <w:b/>
                <w:color w:val="FFFFFF"/>
                <w:sz w:val="19"/>
              </w:rPr>
              <w:t>Value</w:t>
            </w:r>
          </w:p>
        </w:tc>
      </w:tr>
      <w:tr>
        <w:trPr>
          <w:cantSplit w:val="true"/>
        </w:trPr>
        <w:tc>
          <w:tcPr>
            <w:tcW w:type="dxa" w:w="2160"/>
          </w:tcPr>
          <w:p>
            <w:r/>
            <w:r>
              <w:rPr>
                <w:b/>
                <w:sz w:val="19"/>
              </w:rPr>
              <w:t>Replace</w:t>
            </w:r>
          </w:p>
        </w:tc>
        <w:tc>
          <w:tcPr>
            <w:tcW w:type="dxa" w:w="7488"/>
          </w:tcPr>
          <w:p>
            <w:r/>
            <w:r>
              <w:rPr>
                <w:sz w:val="19"/>
              </w:rPr>
              <w:t>Decide your next career move</w:t>
            </w:r>
          </w:p>
        </w:tc>
      </w:tr>
      <w:tr>
        <w:trPr>
          <w:cantSplit w:val="true"/>
        </w:trPr>
        <w:tc>
          <w:tcPr>
            <w:tcW w:type="dxa" w:w="2160"/>
          </w:tcPr>
          <w:p>
            <w:r/>
            <w:r>
              <w:rPr>
                <w:b/>
                <w:sz w:val="19"/>
              </w:rPr>
              <w:t>With</w:t>
            </w:r>
          </w:p>
        </w:tc>
        <w:tc>
          <w:tcPr>
            <w:tcW w:type="dxa" w:w="7488"/>
          </w:tcPr>
          <w:p>
            <w:r/>
            <w:r>
              <w:rPr>
                <w:sz w:val="19"/>
              </w:rPr>
              <w:t>Know which move is worth testing next</w:t>
            </w:r>
          </w:p>
        </w:tc>
      </w:tr>
      <w:tr>
        <w:trPr>
          <w:cantSplit w:val="true"/>
        </w:trPr>
        <w:tc>
          <w:tcPr>
            <w:tcW w:type="dxa" w:w="2160"/>
          </w:tcPr>
          <w:p>
            <w:r/>
            <w:r>
              <w:rPr>
                <w:b/>
                <w:sz w:val="19"/>
              </w:rPr>
              <w:t>Supporting copy</w:t>
            </w:r>
          </w:p>
        </w:tc>
        <w:tc>
          <w:tcPr>
            <w:tcW w:type="dxa" w:w="7488"/>
          </w:tcPr>
          <w:p>
            <w:r/>
            <w:r>
              <w:rPr>
                <w:sz w:val="19"/>
              </w:rPr>
              <w:t>Evaluate seven move categories and identify the direction your evidence supports testing next.</w:t>
            </w:r>
          </w:p>
        </w:tc>
      </w:tr>
      <w:tr>
        <w:trPr>
          <w:cantSplit w:val="true"/>
        </w:trPr>
        <w:tc>
          <w:tcPr>
            <w:tcW w:type="dxa" w:w="2160"/>
          </w:tcPr>
          <w:p>
            <w:r/>
            <w:r>
              <w:rPr>
                <w:b/>
                <w:sz w:val="19"/>
              </w:rPr>
              <w:t>Why</w:t>
            </w:r>
          </w:p>
        </w:tc>
        <w:tc>
          <w:tcPr>
            <w:tcW w:type="dxa" w:w="7488"/>
          </w:tcPr>
          <w:p>
            <w:r/>
            <w:r>
              <w:rPr>
                <w:sz w:val="19"/>
              </w:rPr>
              <w:t>The session does not make the stay-or-leave decision for the participant, and the listing must not promise that it does. This is the same boundary the deck and the SOP hold.</w:t>
            </w:r>
          </w:p>
        </w:tc>
      </w:tr>
    </w:tbl>
    <w:p>
      <w:pPr>
        <w:spacing w:after="80"/>
      </w:pPr>
    </w:p>
    <w:p>
      <w:pPr>
        <w:spacing w:before="100" w:after="100" w:line="40" w:lineRule="exact"/>
        <w:pBdr>
          <w:bottom w:val="single" w:sz="6" w:space="1" w:color="B8C5D9"/>
        </w:pBdr>
      </w:pPr>
    </w:p>
    <w:p>
      <w:pPr>
        <w:spacing w:before="320" w:after="160"/>
      </w:pPr>
      <w:r>
        <w:rPr>
          <w:b/>
          <w:color w:val="0F2347"/>
          <w:sz w:val="32"/>
        </w:rPr>
        <w:t>D. Maven — why this topic matters</w:t>
      </w:r>
    </w:p>
    <w:p>
      <w:pPr>
        <w:spacing w:after="160"/>
      </w:pPr>
      <w:r>
        <w:rPr>
          <w:b w:val="0"/>
          <w:i w:val="0"/>
          <w:color w:val="000000"/>
          <w:sz w:val="19"/>
        </w:rPr>
        <w:t>Bring the copy closer to experienced professionals who may still be performing well through reorganizations, AI change or career uncertainty. Do not describe the audience as early-career.</w:t>
      </w:r>
    </w:p>
    <w:p>
      <w:pPr>
        <w:spacing w:after="160"/>
      </w:pPr>
      <w:r>
        <w:rPr>
          <w:b w:val="0"/>
          <w:i/>
          <w:color w:val="555555"/>
          <w:sz w:val="18"/>
        </w:rPr>
        <w:t>Suggested direction, to adapt rather than paste:</w:t>
      </w:r>
    </w:p>
    <w:p>
      <w:pPr>
        <w:spacing w:after="160"/>
      </w:pPr>
      <w:r>
        <w:rPr>
          <w:b w:val="0"/>
          <w:i w:val="0"/>
          <w:color w:val="000000"/>
          <w:sz w:val="19"/>
        </w:rPr>
        <w:t>Reorganizations, AI and industry change are moving faster than most careers can be re-read. Strong performance is not the same signal as continued growth, and the gap between them is hard to see from inside a role you are still doing well. This session gives experienced professionals a structured way to read where they actually stand, using evidence from their own recent work.</w:t>
      </w:r>
    </w:p>
    <w:p>
      <w:pPr>
        <w:spacing w:before="100" w:after="100" w:line="40" w:lineRule="exact"/>
        <w:pBdr>
          <w:bottom w:val="single" w:sz="6" w:space="1" w:color="B8C5D9"/>
        </w:pBdr>
      </w:pPr>
    </w:p>
    <w:p>
      <w:pPr>
        <w:spacing w:before="320" w:after="160"/>
      </w:pPr>
      <w:r>
        <w:rPr>
          <w:b/>
          <w:color w:val="0F2347"/>
          <w:sz w:val="32"/>
        </w:rPr>
        <w:t>E. Maven — verify, do not assume</w:t>
      </w:r>
    </w:p>
    <w:p>
      <w:pPr>
        <w:pStyle w:val="ListBullet"/>
        <w:spacing w:after="60"/>
      </w:pPr>
      <w:r>
        <w:rPr>
          <w:color w:val="000000"/>
          <w:sz w:val="19"/>
        </w:rPr>
        <w:t>Event title reads “Stay or Leave?” with “Live Career Growth Assessment”. The deck now matches this; if the live page differs, the deck is wrong and must be corrected rather than the page.</w:t>
      </w:r>
    </w:p>
    <w:p>
      <w:pPr>
        <w:pStyle w:val="ListBullet"/>
        <w:spacing w:after="60"/>
      </w:pPr>
      <w:r>
        <w:rPr>
          <w:color w:val="000000"/>
          <w:sz w:val="19"/>
        </w:rPr>
        <w:t>Date Wednesday, September 23, 2026. Time 6:00 PM CT. Duration 60 minutes. Price free.</w:t>
      </w:r>
    </w:p>
    <w:p>
      <w:pPr>
        <w:pStyle w:val="ListBullet"/>
        <w:spacing w:after="60"/>
      </w:pPr>
      <w:r>
        <w:rPr>
          <w:color w:val="000000"/>
          <w:sz w:val="19"/>
        </w:rPr>
        <w:t>Registration URL is exactly https://maven.com/p/8b3c40/stay-or-leave-live-career-growth-assessment.</w:t>
      </w:r>
    </w:p>
    <w:p>
      <w:pPr>
        <w:pStyle w:val="ListBullet"/>
        <w:spacing w:after="60"/>
      </w:pPr>
      <w:r>
        <w:rPr>
          <w:color w:val="000000"/>
          <w:sz w:val="19"/>
        </w:rPr>
        <w:t>Registration is open with no artificial marketing cap, and the cap that does exist is the real capacity of the connected Zoom plan. Record that number in the SOP before promotion continues.</w:t>
      </w:r>
    </w:p>
    <w:p>
      <w:pPr>
        <w:spacing w:before="100" w:after="100" w:line="40" w:lineRule="exact"/>
        <w:pBdr>
          <w:bottom w:val="single" w:sz="6" w:space="1" w:color="B8C5D9"/>
        </w:pBdr>
      </w:pPr>
    </w:p>
    <w:p>
      <w:pPr>
        <w:spacing w:before="320" w:after="160"/>
      </w:pPr>
      <w:r>
        <w:rPr>
          <w:b/>
          <w:color w:val="0F2347"/>
          <w:sz w:val="32"/>
        </w:rPr>
        <w:t>F. Website — changes needing a separate deployment</w:t>
      </w:r>
    </w:p>
    <w:p>
      <w:pPr>
        <w:spacing w:after="160"/>
      </w:pPr>
      <w:r>
        <w:rPr>
          <w:b/>
          <w:i w:val="0"/>
          <w:color w:val="000000"/>
          <w:sz w:val="19"/>
        </w:rPr>
        <w:t>These are code or CMS changes. None of them ship with the deck, the SOP or the QA report, and none were verifiable from here.</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3168"/>
            <w:shd w:val="clear" w:fill="0F2347"/>
          </w:tcPr>
          <w:p>
            <w:r/>
            <w:r>
              <w:rPr>
                <w:b/>
                <w:color w:val="FFFFFF"/>
                <w:sz w:val="19"/>
              </w:rPr>
              <w:t>Item</w:t>
            </w:r>
          </w:p>
        </w:tc>
        <w:tc>
          <w:tcPr>
            <w:tcW w:type="dxa" w:w="6480"/>
            <w:shd w:val="clear" w:fill="0F2347"/>
          </w:tcPr>
          <w:p>
            <w:r/>
            <w:r>
              <w:rPr>
                <w:b/>
                <w:color w:val="FFFFFF"/>
                <w:sz w:val="19"/>
              </w:rPr>
              <w:t>Change</w:t>
            </w:r>
          </w:p>
        </w:tc>
      </w:tr>
      <w:tr>
        <w:trPr>
          <w:cantSplit w:val="true"/>
        </w:trPr>
        <w:tc>
          <w:tcPr>
            <w:tcW w:type="dxa" w:w="3168"/>
          </w:tcPr>
          <w:p>
            <w:r/>
            <w:r>
              <w:rPr>
                <w:b/>
                <w:sz w:val="19"/>
              </w:rPr>
              <w:t>For Professionals page — outcome language</w:t>
            </w:r>
          </w:p>
        </w:tc>
        <w:tc>
          <w:tcPr>
            <w:tcW w:type="dxa" w:w="6480"/>
          </w:tcPr>
          <w:p>
            <w:r/>
            <w:r>
              <w:rPr>
                <w:sz w:val="19"/>
              </w:rPr>
              <w:t>Change any equivalent of “decide your next move” to “identify which move is worth testing next”, or “identify the direction your evidence supports testing next.” Same boundary as the Maven listing.</w:t>
            </w:r>
          </w:p>
        </w:tc>
      </w:tr>
      <w:tr>
        <w:trPr>
          <w:cantSplit w:val="true"/>
        </w:trPr>
        <w:tc>
          <w:tcPr>
            <w:tcW w:type="dxa" w:w="3168"/>
          </w:tcPr>
          <w:p>
            <w:r/>
            <w:r>
              <w:rPr>
                <w:b/>
                <w:sz w:val="19"/>
              </w:rPr>
              <w:t>Private Read CTA routing — BLOCKING</w:t>
            </w:r>
          </w:p>
        </w:tc>
        <w:tc>
          <w:tcPr>
            <w:tcW w:type="dxa" w:w="6480"/>
          </w:tcPr>
          <w:p>
            <w:r/>
            <w:r>
              <w:rPr>
                <w:sz w:val="19"/>
              </w:rPr>
              <w:t>The Private Read inquiry link from the Field Kit page must reach an individual-professional inquiry path, NOT the enterprise Advisory page. Until that is true, the Private Read stays off the September 23 continuation slide, which is what deck v2.0.5 now does.</w:t>
            </w:r>
          </w:p>
        </w:tc>
      </w:tr>
      <w:tr>
        <w:trPr>
          <w:cantSplit w:val="true"/>
        </w:trPr>
        <w:tc>
          <w:tcPr>
            <w:tcW w:type="dxa" w:w="3168"/>
          </w:tcPr>
          <w:p>
            <w:r/>
            <w:r>
              <w:rPr>
                <w:b/>
                <w:sz w:val="19"/>
              </w:rPr>
              <w:t>Private Read pricing</w:t>
            </w:r>
          </w:p>
        </w:tc>
        <w:tc>
          <w:tcPr>
            <w:tcW w:type="dxa" w:w="6480"/>
          </w:tcPr>
          <w:p>
            <w:r/>
            <w:r>
              <w:rPr>
                <w:sz w:val="19"/>
              </w:rPr>
              <w:t>Show $500 only if fulfillment is operational. It is not, as of this pass, so the offer should not be presented as purchasable.</w:t>
            </w:r>
          </w:p>
        </w:tc>
      </w:tr>
      <w:tr>
        <w:trPr>
          <w:cantSplit w:val="true"/>
        </w:trPr>
        <w:tc>
          <w:tcPr>
            <w:tcW w:type="dxa" w:w="3168"/>
          </w:tcPr>
          <w:p>
            <w:r/>
            <w:r>
              <w:rPr>
                <w:b/>
                <w:sz w:val="19"/>
              </w:rPr>
              <w:t>Field Kit route</w:t>
            </w:r>
          </w:p>
        </w:tc>
        <w:tc>
          <w:tcPr>
            <w:tcW w:type="dxa" w:w="6480"/>
          </w:tcPr>
          <w:p>
            <w:r/>
            <w:r>
              <w:rPr>
                <w:sz w:val="19"/>
              </w:rPr>
              <w:t>temidayoafonja.com/fieldkit is now the participant-facing route on the deck face, the QR target and the prebuilt chat message. Confirm the page is live, resolves without a redirect chain, and shows the current price.</w:t>
            </w:r>
          </w:p>
        </w:tc>
      </w:tr>
      <w:tr>
        <w:trPr>
          <w:cantSplit w:val="true"/>
        </w:trPr>
        <w:tc>
          <w:tcPr>
            <w:tcW w:type="dxa" w:w="3168"/>
          </w:tcPr>
          <w:p>
            <w:r/>
            <w:r>
              <w:rPr>
                <w:b/>
                <w:sz w:val="19"/>
              </w:rPr>
              <w:t>Preserve unchanged</w:t>
            </w:r>
          </w:p>
        </w:tc>
        <w:tc>
          <w:tcPr>
            <w:tcW w:type="dxa" w:w="6480"/>
          </w:tcPr>
          <w:p>
            <w:r/>
            <w:r>
              <w:rPr>
                <w:sz w:val="19"/>
              </w:rPr>
              <w:t>September 23 free · 60 minutes · current live time · Field Kit $150.</w:t>
            </w:r>
          </w:p>
        </w:tc>
      </w:tr>
      <w:tr>
        <w:trPr>
          <w:cantSplit w:val="true"/>
        </w:trPr>
        <w:tc>
          <w:tcPr>
            <w:tcW w:type="dxa" w:w="3168"/>
          </w:tcPr>
          <w:p>
            <w:r/>
            <w:r>
              <w:rPr>
                <w:b/>
                <w:sz w:val="19"/>
              </w:rPr>
              <w:t>Verify every individual-professional CTA</w:t>
            </w:r>
          </w:p>
        </w:tc>
        <w:tc>
          <w:tcPr>
            <w:tcW w:type="dxa" w:w="6480"/>
          </w:tcPr>
          <w:p>
            <w:r/>
            <w:r>
              <w:rPr>
                <w:sz w:val="19"/>
              </w:rPr>
              <w:t>Each one should reach an individual path. The enterprise Advisory page is a different audience and a different offer.</w:t>
            </w:r>
          </w:p>
        </w:tc>
      </w:tr>
    </w:tbl>
    <w:p>
      <w:pPr>
        <w:spacing w:after="80"/>
      </w:pPr>
    </w:p>
    <w:p>
      <w:pPr>
        <w:spacing w:before="100" w:after="100" w:line="40" w:lineRule="exact"/>
        <w:pBdr>
          <w:bottom w:val="single" w:sz="6" w:space="1" w:color="B8C5D9"/>
        </w:pBdr>
      </w:pPr>
    </w:p>
    <w:p>
      <w:pPr>
        <w:spacing w:before="320" w:after="160"/>
      </w:pPr>
      <w:r>
        <w:rPr>
          <w:b/>
          <w:color w:val="0F2347"/>
          <w:sz w:val="32"/>
        </w:rPr>
        <w:t>G. What this checklist does not claim</w:t>
      </w:r>
    </w:p>
    <w:p>
      <w:pPr>
        <w:pStyle w:val="ListBullet"/>
        <w:spacing w:after="60"/>
      </w:pPr>
      <w:r>
        <w:rPr>
          <w:color w:val="B00000"/>
          <w:sz w:val="19"/>
        </w:rPr>
        <w:t>No live page was read. maven.com and temidayoafonja.com are both blocked by this environment's egress proxy, so the “current” values in sections A and C are quoted from the brief and have not been confirmed against the pages themselves.</w:t>
      </w:r>
    </w:p>
    <w:p>
      <w:pPr>
        <w:pStyle w:val="ListBullet"/>
        <w:spacing w:after="60"/>
      </w:pPr>
      <w:r>
        <w:rPr>
          <w:color w:val="B00000"/>
          <w:sz w:val="19"/>
        </w:rPr>
        <w:t>Nothing here has been published. Every item is a manual edit.</w:t>
      </w:r>
    </w:p>
    <w:p>
      <w:pPr>
        <w:pStyle w:val="ListBullet"/>
        <w:spacing w:after="60"/>
      </w:pPr>
      <w:r>
        <w:rPr>
          <w:color w:val="B00000"/>
          <w:sz w:val="19"/>
        </w:rPr>
        <w:t>The Private Read routing question in section F is recorded as unresolved. It was not possible to check where that link points, which is exactly why deck v2.0.5 removes the route rather than shipping it unverified.</w:t>
      </w:r>
    </w:p>
    <w:p>
      <w:pPr>
        <w:spacing w:before="100" w:after="100" w:line="40" w:lineRule="exact"/>
        <w:pBdr>
          <w:bottom w:val="single" w:sz="6" w:space="1" w:color="B8C5D9"/>
        </w:pBdr>
      </w:pPr>
    </w:p>
    <w:p>
      <w:pPr>
        <w:spacing w:after="0"/>
      </w:pPr>
      <w:r>
        <w:rPr>
          <w:b w:val="0"/>
          <w:i/>
          <w:color w:val="555555"/>
          <w:sz w:val="16"/>
        </w:rPr>
        <w:t>MANUAL MAVEN AND WEBSITE EDIT CHECKLIST v1.1  ·  INTERNAL ONLY  ·  Prepared Friday, September 4, 2026 at 6:40 AM 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