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 — 60-Minute Edition</w:t>
            </w:r>
          </w:p>
          <w:p>
            <w:r>
              <w:rPr>
                <w:i/>
                <w:color w:val="E3D9C4"/>
                <w:sz w:val="22"/>
              </w:rPr>
              <w:t>Stay or Leave? — Live Career Growth Assessment  ·  v2.0.9 CANDIDATE  ·  Revised Saturday, September 19, 2026 at 8:30 AM CT</w:t>
            </w:r>
          </w:p>
        </w:tc>
      </w:tr>
    </w:tbl>
    <w:p>
      <w:pPr>
        <w:spacing w:after="80"/>
      </w:pPr>
    </w:p>
    <w:p>
      <w:pPr>
        <w:spacing w:after="160"/>
      </w:pPr>
      <w:r>
        <w:rPr>
          <w:b/>
          <w:i w:val="0"/>
          <w:color w:val="B00000"/>
          <w:sz w:val="21"/>
        </w:rPr>
        <w:t>PRODUCTION REVISION STAMP — Revised Saturday, September 19, 2026 at 8:30 AM CT</w:t>
      </w:r>
    </w:p>
    <w:p>
      <w:pPr>
        <w:spacing w:after="160"/>
      </w:pPr>
      <w:r>
        <w:rPr>
          <w:b/>
          <w:i w:val="0"/>
          <w:color w:val="000000"/>
          <w:sz w:val="19"/>
        </w:rPr>
        <w:t>Capability_Formation_Free_Flagship_SOP_Sept23_2026_60MIN_v2.0.9_CANDIDATE</w:t>
      </w:r>
    </w:p>
    <w:p>
      <w:pPr>
        <w:spacing w:after="160"/>
      </w:pPr>
      <w:r>
        <w:rPr>
          <w:b/>
          <w:color w:val="B00000"/>
          <w:sz w:val="20"/>
        </w:rPr>
        <w:t xml:space="preserve">CANDIDATE —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Stay or Leave? — Live Career Growth Assessment</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Participant-facing: FREE GUIDED ASSESSMENT · 60 MINUTES. “Free Flagship” stays internal, in this family and in filenames only.</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23,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9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0:00–2:00</w:t>
            </w:r>
          </w:p>
        </w:tc>
        <w:tc>
          <w:tcPr>
            <w:tcW w:type="dxa" w:w="2232"/>
          </w:tcPr>
          <w:p>
            <w:pPr>
              <w:spacing w:after="20"/>
            </w:pPr>
            <w:r/>
            <w:r>
              <w:rPr>
                <w:sz w:val="16"/>
              </w:rPr>
              <w:t>Welcome, purpose, recording disclosure and boundaries</w:t>
            </w:r>
          </w:p>
        </w:tc>
        <w:tc>
          <w:tcPr>
            <w:tcW w:type="dxa" w:w="648"/>
          </w:tcPr>
          <w:p>
            <w:pPr>
              <w:spacing w:after="20"/>
            </w:pPr>
            <w:r/>
            <w:r>
              <w:rPr>
                <w:sz w:val="16"/>
              </w:rPr>
              <w:t>1–3</w:t>
            </w:r>
          </w:p>
        </w:tc>
        <w:tc>
          <w:tcPr>
            <w:tcW w:type="dxa" w:w="518"/>
          </w:tcPr>
          <w:p>
            <w:pPr>
              <w:spacing w:after="20"/>
            </w:pPr>
            <w:r/>
            <w:r>
              <w:rPr>
                <w:sz w:val="16"/>
              </w:rPr>
              <w:t>1</w:t>
            </w:r>
          </w:p>
        </w:tc>
        <w:tc>
          <w:tcPr>
            <w:tcW w:type="dxa" w:w="4392"/>
          </w:tcPr>
          <w:p>
            <w:pPr>
              <w:spacing w:after="20"/>
            </w:pPr>
            <w:r/>
            <w:r>
              <w:rPr>
                <w:sz w:val="16"/>
              </w:rPr>
              <w:t>Welcome, name method and duration. Biography capped at two sentences. Deliver the recording and privacy disclosure.</w:t>
            </w:r>
          </w:p>
        </w:tc>
        <w:tc>
          <w:tcPr>
            <w:tcW w:type="dxa" w:w="4104"/>
          </w:tcPr>
          <w:p>
            <w:pPr>
              <w:spacing w:after="20"/>
            </w:pPr>
            <w:r/>
            <w:r>
              <w:rPr>
                <w:sz w:val="16"/>
              </w:rPr>
              <w:t>Open the workbook at page 1.</w:t>
            </w:r>
          </w:p>
        </w:tc>
        <w:tc>
          <w:tcPr>
            <w:tcW w:type="dxa" w:w="1354"/>
          </w:tcPr>
          <w:p>
            <w:pPr>
              <w:spacing w:after="20"/>
            </w:pPr>
            <w:r/>
            <w:r>
              <w:rPr>
                <w:b/>
                <w:sz w:val="16"/>
              </w:rPr>
              <w:t>RECORDING ON — start on slide 1</w:t>
            </w:r>
          </w:p>
        </w:tc>
      </w:tr>
      <w:tr>
        <w:trPr>
          <w:cantSplit w:val="true"/>
        </w:trPr>
        <w:tc>
          <w:tcPr>
            <w:tcW w:type="dxa" w:w="1152"/>
          </w:tcPr>
          <w:p>
            <w:pPr>
              <w:spacing w:after="20"/>
            </w:pPr>
            <w:r/>
            <w:r>
              <w:rPr>
                <w:b/>
                <w:sz w:val="16"/>
              </w:rPr>
              <w:t>2:00–5:00</w:t>
            </w:r>
          </w:p>
        </w:tc>
        <w:tc>
          <w:tcPr>
            <w:tcW w:type="dxa" w:w="2232"/>
          </w:tcPr>
          <w:p>
            <w:pPr>
              <w:spacing w:after="20"/>
            </w:pPr>
            <w:r/>
            <w:r>
              <w:rPr>
                <w:sz w:val="16"/>
              </w:rPr>
              <w:t>Density and Optionality</w:t>
            </w:r>
          </w:p>
        </w:tc>
        <w:tc>
          <w:tcPr>
            <w:tcW w:type="dxa" w:w="648"/>
          </w:tcPr>
          <w:p>
            <w:pPr>
              <w:spacing w:after="20"/>
            </w:pPr>
            <w:r/>
            <w:r>
              <w:rPr>
                <w:sz w:val="16"/>
              </w:rPr>
              <w:t>4–5</w:t>
            </w:r>
          </w:p>
        </w:tc>
        <w:tc>
          <w:tcPr>
            <w:tcW w:type="dxa" w:w="518"/>
          </w:tcPr>
          <w:p>
            <w:pPr>
              <w:spacing w:after="20"/>
            </w:pPr>
            <w:r/>
            <w:r>
              <w:rPr>
                <w:sz w:val="16"/>
              </w:rPr>
              <w:t>1</w:t>
            </w:r>
          </w:p>
        </w:tc>
        <w:tc>
          <w:tcPr>
            <w:tcW w:type="dxa" w:w="4392"/>
          </w:tcPr>
          <w:p>
            <w:pPr>
              <w:spacing w:after="20"/>
            </w:pPr>
            <w:r/>
            <w:r>
              <w:rPr>
                <w:sz w:val="16"/>
              </w:rPr>
              <w:t>Define each axis and give the one correction that matters. No questions taken.</w:t>
            </w:r>
          </w:p>
        </w:tc>
        <w:tc>
          <w:tcPr>
            <w:tcW w:type="dxa" w:w="4104"/>
          </w:tcPr>
          <w:p>
            <w:pPr>
              <w:spacing w:after="20"/>
            </w:pPr>
            <w:r/>
            <w:r>
              <w:rPr>
                <w:sz w:val="16"/>
              </w:rPr>
              <w:t>Listen. Nothing written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5:00–12:00</w:t>
            </w:r>
          </w:p>
        </w:tc>
        <w:tc>
          <w:tcPr>
            <w:tcW w:type="dxa" w:w="2232"/>
          </w:tcPr>
          <w:p>
            <w:pPr>
              <w:spacing w:after="20"/>
            </w:pPr>
            <w:r/>
            <w:r>
              <w:rPr>
                <w:sz w:val="16"/>
              </w:rPr>
              <w:t>Initial read of all 12 statements and totals</w:t>
            </w:r>
          </w:p>
        </w:tc>
        <w:tc>
          <w:tcPr>
            <w:tcW w:type="dxa" w:w="648"/>
          </w:tcPr>
          <w:p>
            <w:pPr>
              <w:spacing w:after="20"/>
            </w:pPr>
            <w:r/>
            <w:r>
              <w:rPr>
                <w:sz w:val="16"/>
              </w:rPr>
              <w:t>6–11</w:t>
            </w:r>
          </w:p>
        </w:tc>
        <w:tc>
          <w:tcPr>
            <w:tcW w:type="dxa" w:w="518"/>
          </w:tcPr>
          <w:p>
            <w:pPr>
              <w:spacing w:after="20"/>
            </w:pPr>
            <w:r/>
            <w:r>
              <w:rPr>
                <w:sz w:val="16"/>
              </w:rPr>
              <w:t>2–3</w:t>
            </w:r>
          </w:p>
        </w:tc>
        <w:tc>
          <w:tcPr>
            <w:tcW w:type="dxa" w:w="4392"/>
          </w:tcPr>
          <w:p>
            <w:pPr>
              <w:spacing w:after="20"/>
            </w:pPr>
            <w:r/>
            <w:r>
              <w:rPr>
                <w:sz w:val="16"/>
              </w:rPr>
              <w:t>Read each statement once, then stay silent. Announce each block. Add both totals.</w:t>
            </w:r>
          </w:p>
        </w:tc>
        <w:tc>
          <w:tcPr>
            <w:tcW w:type="dxa" w:w="4104"/>
          </w:tcPr>
          <w:p>
            <w:pPr>
              <w:spacing w:after="20"/>
            </w:pPr>
            <w:r/>
            <w:r>
              <w:rPr>
                <w:sz w:val="16"/>
              </w:rPr>
              <w:t>Score 1–12 privately. Add both totals. No evidence lines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12:00–14:00</w:t>
            </w:r>
          </w:p>
        </w:tc>
        <w:tc>
          <w:tcPr>
            <w:tcW w:type="dxa" w:w="2232"/>
          </w:tcPr>
          <w:p>
            <w:pPr>
              <w:spacing w:after="20"/>
            </w:pPr>
            <w:r/>
            <w:r>
              <w:rPr>
                <w:sz w:val="16"/>
              </w:rPr>
              <w:t>First provisional position</w:t>
            </w:r>
          </w:p>
        </w:tc>
        <w:tc>
          <w:tcPr>
            <w:tcW w:type="dxa" w:w="648"/>
          </w:tcPr>
          <w:p>
            <w:pPr>
              <w:spacing w:after="20"/>
            </w:pPr>
            <w:r/>
            <w:r>
              <w:rPr>
                <w:sz w:val="16"/>
              </w:rPr>
              <w:t>12–13</w:t>
            </w:r>
          </w:p>
        </w:tc>
        <w:tc>
          <w:tcPr>
            <w:tcW w:type="dxa" w:w="518"/>
          </w:tcPr>
          <w:p>
            <w:pPr>
              <w:spacing w:after="20"/>
            </w:pPr>
            <w:r/>
            <w:r>
              <w:rPr>
                <w:sz w:val="16"/>
              </w:rPr>
              <w:t>3</w:t>
            </w:r>
          </w:p>
        </w:tc>
        <w:tc>
          <w:tcPr>
            <w:tcW w:type="dxa" w:w="4392"/>
          </w:tcPr>
          <w:p>
            <w:pPr>
              <w:spacing w:after="20"/>
            </w:pPr>
            <w:r/>
            <w:r>
              <w:rPr>
                <w:sz w:val="16"/>
              </w:rPr>
              <w:t>Name the four states. Say the 17–21 boundary override and state-is-not-identity out loud.</w:t>
            </w:r>
          </w:p>
        </w:tc>
        <w:tc>
          <w:tcPr>
            <w:tcW w:type="dxa" w:w="4104"/>
          </w:tcPr>
          <w:p>
            <w:pPr>
              <w:spacing w:after="20"/>
            </w:pPr>
            <w:r/>
            <w:r>
              <w:rPr>
                <w:sz w:val="16"/>
              </w:rPr>
              <w:t>Cross the two totals. Mark a square or boundary. Rate confidence 1–5.</w:t>
            </w:r>
          </w:p>
        </w:tc>
        <w:tc>
          <w:tcPr>
            <w:tcW w:type="dxa" w:w="1354"/>
          </w:tcPr>
          <w:p>
            <w:pPr>
              <w:spacing w:after="20"/>
            </w:pPr>
            <w:r/>
            <w:r>
              <w:rPr>
                <w:b/>
                <w:sz w:val="16"/>
              </w:rPr>
              <w:t>RECORDING ON</w:t>
            </w:r>
          </w:p>
        </w:tc>
      </w:tr>
      <w:tr>
        <w:trPr>
          <w:cantSplit w:val="true"/>
        </w:trPr>
        <w:tc>
          <w:tcPr>
            <w:tcW w:type="dxa" w:w="1152"/>
          </w:tcPr>
          <w:p>
            <w:pPr>
              <w:spacing w:after="20"/>
            </w:pPr>
            <w:r/>
            <w:r>
              <w:rPr>
                <w:b/>
                <w:sz w:val="16"/>
              </w:rPr>
              <w:t>14:00–19:00</w:t>
            </w:r>
          </w:p>
        </w:tc>
        <w:tc>
          <w:tcPr>
            <w:tcW w:type="dxa" w:w="2232"/>
          </w:tcPr>
          <w:p>
            <w:pPr>
              <w:spacing w:after="20"/>
            </w:pPr>
            <w:r/>
            <w:r>
              <w:rPr>
                <w:sz w:val="16"/>
              </w:rPr>
              <w:t>Evidence protocol and the three misreadings</w:t>
            </w:r>
          </w:p>
        </w:tc>
        <w:tc>
          <w:tcPr>
            <w:tcW w:type="dxa" w:w="648"/>
          </w:tcPr>
          <w:p>
            <w:pPr>
              <w:spacing w:after="20"/>
            </w:pPr>
            <w:r/>
            <w:r>
              <w:rPr>
                <w:sz w:val="16"/>
              </w:rPr>
              <w:t>14–15</w:t>
            </w:r>
          </w:p>
        </w:tc>
        <w:tc>
          <w:tcPr>
            <w:tcW w:type="dxa" w:w="518"/>
          </w:tcPr>
          <w:p>
            <w:pPr>
              <w:spacing w:after="20"/>
            </w:pPr>
            <w:r/>
            <w:r>
              <w:rPr>
                <w:sz w:val="16"/>
              </w:rPr>
              <w:t>4</w:t>
            </w:r>
          </w:p>
        </w:tc>
        <w:tc>
          <w:tcPr>
            <w:tcW w:type="dxa" w:w="4392"/>
          </w:tcPr>
          <w:p>
            <w:pPr>
              <w:spacing w:after="20"/>
            </w:pPr>
            <w:r/>
            <w:r>
              <w:rPr>
                <w:sz w:val="16"/>
              </w:rPr>
              <w:t>Teach the protocol, then all three misreadings on one slide, sixty seconds each.</w:t>
            </w:r>
          </w:p>
        </w:tc>
        <w:tc>
          <w:tcPr>
            <w:tcW w:type="dxa" w:w="4104"/>
          </w:tcPr>
          <w:p>
            <w:pPr>
              <w:spacing w:after="20"/>
            </w:pPr>
            <w:r/>
            <w:r>
              <w:rPr>
                <w:sz w:val="16"/>
              </w:rPr>
              <w:t>Follow along. Run the three checks against the first numbers.</w:t>
            </w:r>
          </w:p>
        </w:tc>
        <w:tc>
          <w:tcPr>
            <w:tcW w:type="dxa" w:w="1354"/>
          </w:tcPr>
          <w:p>
            <w:pPr>
              <w:spacing w:after="20"/>
            </w:pPr>
            <w:r/>
            <w:r>
              <w:rPr>
                <w:b/>
                <w:sz w:val="16"/>
              </w:rPr>
              <w:t>RECORDING ON</w:t>
            </w:r>
          </w:p>
        </w:tc>
      </w:tr>
      <w:tr>
        <w:trPr>
          <w:cantSplit w:val="true"/>
        </w:trPr>
        <w:tc>
          <w:tcPr>
            <w:tcW w:type="dxa" w:w="1152"/>
          </w:tcPr>
          <w:p>
            <w:pPr>
              <w:spacing w:after="20"/>
            </w:pPr>
            <w:r/>
            <w:r>
              <w:rPr>
                <w:b/>
                <w:sz w:val="16"/>
              </w:rPr>
              <w:t>19:00–31:00</w:t>
            </w:r>
          </w:p>
        </w:tc>
        <w:tc>
          <w:tcPr>
            <w:tcW w:type="dxa" w:w="2232"/>
          </w:tcPr>
          <w:p>
            <w:pPr>
              <w:spacing w:after="20"/>
            </w:pPr>
            <w:r/>
            <w:r>
              <w:rPr>
                <w:sz w:val="16"/>
              </w:rPr>
              <w:t>Evidence-backed rescore of all 12 statements — PROTECTED</w:t>
            </w:r>
          </w:p>
        </w:tc>
        <w:tc>
          <w:tcPr>
            <w:tcW w:type="dxa" w:w="648"/>
          </w:tcPr>
          <w:p>
            <w:pPr>
              <w:spacing w:after="20"/>
            </w:pPr>
            <w:r/>
            <w:r>
              <w:rPr>
                <w:sz w:val="16"/>
              </w:rPr>
              <w:t>16</w:t>
            </w:r>
          </w:p>
        </w:tc>
        <w:tc>
          <w:tcPr>
            <w:tcW w:type="dxa" w:w="518"/>
          </w:tcPr>
          <w:p>
            <w:pPr>
              <w:spacing w:after="20"/>
            </w:pPr>
            <w:r/>
            <w:r>
              <w:rPr>
                <w:sz w:val="16"/>
              </w:rPr>
              <w:t>5–6</w:t>
            </w:r>
          </w:p>
        </w:tc>
        <w:tc>
          <w:tcPr>
            <w:tcW w:type="dxa" w:w="4392"/>
          </w:tcPr>
          <w:p>
            <w:pPr>
              <w:spacing w:after="20"/>
            </w:pPr>
            <w:r/>
            <w:r>
              <w:rPr>
                <w:sz w:val="16"/>
              </w:rPr>
              <w:t>Hold this slide. Stay silent. Two-minute warning at 29:00, thirty seconds at 30:30.</w:t>
            </w:r>
          </w:p>
        </w:tc>
        <w:tc>
          <w:tcPr>
            <w:tcW w:type="dxa" w:w="4104"/>
          </w:tcPr>
          <w:p>
            <w:pPr>
              <w:spacing w:after="20"/>
            </w:pPr>
            <w:r/>
            <w:r>
              <w:rPr>
                <w:sz w:val="16"/>
              </w:rPr>
              <w:t>Rescore all twelve with a short evidence phrase under each.</w:t>
            </w:r>
          </w:p>
        </w:tc>
        <w:tc>
          <w:tcPr>
            <w:tcW w:type="dxa" w:w="1354"/>
          </w:tcPr>
          <w:p>
            <w:pPr>
              <w:spacing w:after="20"/>
            </w:pPr>
            <w:r/>
            <w:r>
              <w:rPr>
                <w:b/>
                <w:sz w:val="16"/>
              </w:rPr>
              <w:t>RECORDING ON</w:t>
            </w:r>
          </w:p>
        </w:tc>
      </w:tr>
      <w:tr>
        <w:trPr>
          <w:cantSplit w:val="true"/>
        </w:trPr>
        <w:tc>
          <w:tcPr>
            <w:tcW w:type="dxa" w:w="1152"/>
          </w:tcPr>
          <w:p>
            <w:pPr>
              <w:spacing w:after="20"/>
            </w:pPr>
            <w:r/>
            <w:r>
              <w:rPr>
                <w:b/>
                <w:sz w:val="16"/>
              </w:rPr>
              <w:t>31:00–35:00</w:t>
            </w:r>
          </w:p>
        </w:tc>
        <w:tc>
          <w:tcPr>
            <w:tcW w:type="dxa" w:w="2232"/>
          </w:tcPr>
          <w:p>
            <w:pPr>
              <w:spacing w:after="20"/>
            </w:pPr>
            <w:r/>
            <w:r>
              <w:rPr>
                <w:sz w:val="16"/>
              </w:rPr>
              <w:t>Corrected totals and corrected position</w:t>
            </w:r>
          </w:p>
        </w:tc>
        <w:tc>
          <w:tcPr>
            <w:tcW w:type="dxa" w:w="648"/>
          </w:tcPr>
          <w:p>
            <w:pPr>
              <w:spacing w:after="20"/>
            </w:pPr>
            <w:r/>
            <w:r>
              <w:rPr>
                <w:sz w:val="16"/>
              </w:rPr>
              <w:t>17–19</w:t>
            </w:r>
          </w:p>
        </w:tc>
        <w:tc>
          <w:tcPr>
            <w:tcW w:type="dxa" w:w="518"/>
          </w:tcPr>
          <w:p>
            <w:pPr>
              <w:spacing w:after="20"/>
            </w:pPr>
            <w:r/>
            <w:r>
              <w:rPr>
                <w:sz w:val="16"/>
              </w:rPr>
              <w:t>5–7</w:t>
            </w:r>
          </w:p>
        </w:tc>
        <w:tc>
          <w:tcPr>
            <w:tcW w:type="dxa" w:w="4392"/>
          </w:tcPr>
          <w:p>
            <w:pPr>
              <w:spacing w:after="20"/>
            </w:pPr>
            <w:r/>
            <w:r>
              <w:rPr>
                <w:sz w:val="16"/>
              </w:rPr>
              <w:t>Insist on the re-total. Teach the three sensitivity tiers. Restate the boundary override.</w:t>
            </w:r>
          </w:p>
        </w:tc>
        <w:tc>
          <w:tcPr>
            <w:tcW w:type="dxa" w:w="4104"/>
          </w:tcPr>
          <w:p>
            <w:pPr>
              <w:spacing w:after="20"/>
            </w:pPr>
            <w:r/>
            <w:r>
              <w:rPr>
                <w:sz w:val="16"/>
              </w:rPr>
              <w:t>Re-total both axes. Run sensitivity if 1–2 marked. Place, or mark boundary/incomplete. Rate confidence 1–5.</w:t>
            </w:r>
          </w:p>
        </w:tc>
        <w:tc>
          <w:tcPr>
            <w:tcW w:type="dxa" w:w="1354"/>
          </w:tcPr>
          <w:p>
            <w:pPr>
              <w:spacing w:after="20"/>
            </w:pPr>
            <w:r/>
            <w:r>
              <w:rPr>
                <w:b/>
                <w:sz w:val="16"/>
              </w:rPr>
              <w:t>RECORDING ON</w:t>
            </w:r>
          </w:p>
        </w:tc>
      </w:tr>
    </w:tbl>
    <w:p>
      <w:pPr>
        <w:spacing w:after="0"/>
      </w:pPr>
      <w:r>
        <w:br w:type="page"/>
      </w:r>
    </w:p>
    <w:p>
      <w:pPr>
        <w:spacing w:before="200" w:after="100"/>
      </w:pPr>
      <w:r>
        <w:rPr>
          <w:b/>
          <w:color w:val="0F2347"/>
          <w:sz w:val="32"/>
        </w:rPr>
        <w:t>Master reconciliation table —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35:00–38:00</w:t>
            </w:r>
          </w:p>
        </w:tc>
        <w:tc>
          <w:tcPr>
            <w:tcW w:type="dxa" w:w="2232"/>
          </w:tcPr>
          <w:p>
            <w:pPr>
              <w:spacing w:after="20"/>
            </w:pPr>
            <w:r/>
            <w:r>
              <w:rPr>
                <w:sz w:val="16"/>
              </w:rPr>
              <w:t>Four states and their immediate costs</w:t>
            </w:r>
          </w:p>
        </w:tc>
        <w:tc>
          <w:tcPr>
            <w:tcW w:type="dxa" w:w="648"/>
          </w:tcPr>
          <w:p>
            <w:pPr>
              <w:spacing w:after="20"/>
            </w:pPr>
            <w:r/>
            <w:r>
              <w:rPr>
                <w:sz w:val="16"/>
              </w:rPr>
              <w:t>20</w:t>
            </w:r>
          </w:p>
        </w:tc>
        <w:tc>
          <w:tcPr>
            <w:tcW w:type="dxa" w:w="518"/>
          </w:tcPr>
          <w:p>
            <w:pPr>
              <w:spacing w:after="20"/>
            </w:pPr>
            <w:r/>
            <w:r>
              <w:rPr>
                <w:sz w:val="16"/>
              </w:rPr>
              <w:t>—</w:t>
            </w:r>
          </w:p>
        </w:tc>
        <w:tc>
          <w:tcPr>
            <w:tcW w:type="dxa" w:w="4392"/>
          </w:tcPr>
          <w:p>
            <w:pPr>
              <w:spacing w:after="20"/>
            </w:pPr>
            <w:r/>
            <w:r>
              <w:rPr>
                <w:sz w:val="16"/>
              </w:rPr>
              <w:t>Forty-five seconds per state. Do not deepen any one square.</w:t>
            </w:r>
          </w:p>
        </w:tc>
        <w:tc>
          <w:tcPr>
            <w:tcW w:type="dxa" w:w="4104"/>
          </w:tcPr>
          <w:p>
            <w:pPr>
              <w:spacing w:after="20"/>
            </w:pPr>
            <w:r/>
            <w:r>
              <w:rPr>
                <w:sz w:val="16"/>
              </w:rPr>
              <w:t>Listen. Read your own square's cost.</w:t>
            </w:r>
          </w:p>
        </w:tc>
        <w:tc>
          <w:tcPr>
            <w:tcW w:type="dxa" w:w="1354"/>
          </w:tcPr>
          <w:p>
            <w:pPr>
              <w:spacing w:after="20"/>
            </w:pPr>
            <w:r/>
            <w:r>
              <w:rPr>
                <w:b/>
                <w:sz w:val="16"/>
              </w:rPr>
              <w:t>RECORDING ON</w:t>
            </w:r>
          </w:p>
        </w:tc>
      </w:tr>
      <w:tr>
        <w:trPr>
          <w:cantSplit w:val="true"/>
        </w:trPr>
        <w:tc>
          <w:tcPr>
            <w:tcW w:type="dxa" w:w="1152"/>
          </w:tcPr>
          <w:p>
            <w:pPr>
              <w:spacing w:after="20"/>
            </w:pPr>
            <w:r/>
            <w:r>
              <w:rPr>
                <w:b/>
                <w:sz w:val="16"/>
              </w:rPr>
              <w:t>38:00–41:00</w:t>
            </w:r>
          </w:p>
        </w:tc>
        <w:tc>
          <w:tcPr>
            <w:tcW w:type="dxa" w:w="2232"/>
          </w:tcPr>
          <w:p>
            <w:pPr>
              <w:spacing w:after="20"/>
            </w:pPr>
            <w:r/>
            <w:r>
              <w:rPr>
                <w:sz w:val="16"/>
              </w:rPr>
              <w:t>Seven categories of move</w:t>
            </w:r>
          </w:p>
        </w:tc>
        <w:tc>
          <w:tcPr>
            <w:tcW w:type="dxa" w:w="648"/>
          </w:tcPr>
          <w:p>
            <w:pPr>
              <w:spacing w:after="20"/>
            </w:pPr>
            <w:r/>
            <w:r>
              <w:rPr>
                <w:sz w:val="16"/>
              </w:rPr>
              <w:t>21</w:t>
            </w:r>
          </w:p>
        </w:tc>
        <w:tc>
          <w:tcPr>
            <w:tcW w:type="dxa" w:w="518"/>
          </w:tcPr>
          <w:p>
            <w:pPr>
              <w:spacing w:after="20"/>
            </w:pPr>
            <w:r/>
            <w:r>
              <w:rPr>
                <w:sz w:val="16"/>
              </w:rPr>
              <w:t>8</w:t>
            </w:r>
          </w:p>
        </w:tc>
        <w:tc>
          <w:tcPr>
            <w:tcW w:type="dxa" w:w="4392"/>
          </w:tcPr>
          <w:p>
            <w:pPr>
              <w:spacing w:after="20"/>
            </w:pPr>
            <w:r/>
            <w:r>
              <w:rPr>
                <w:sz w:val="16"/>
              </w:rPr>
              <w:t>Read each category and its one-line reading. Say the no-square-prescribes rule.</w:t>
            </w:r>
          </w:p>
        </w:tc>
        <w:tc>
          <w:tcPr>
            <w:tcW w:type="dxa" w:w="4104"/>
          </w:tcPr>
          <w:p>
            <w:pPr>
              <w:spacing w:after="20"/>
            </w:pPr>
            <w:r/>
            <w:r>
              <w:rPr>
                <w:sz w:val="16"/>
              </w:rPr>
              <w:t>Identify the category the evidence supports testing.</w:t>
            </w:r>
          </w:p>
        </w:tc>
        <w:tc>
          <w:tcPr>
            <w:tcW w:type="dxa" w:w="1354"/>
          </w:tcPr>
          <w:p>
            <w:pPr>
              <w:spacing w:after="20"/>
            </w:pPr>
            <w:r/>
            <w:r>
              <w:rPr>
                <w:b/>
                <w:sz w:val="16"/>
              </w:rPr>
              <w:t>RECORDING ON</w:t>
            </w:r>
          </w:p>
        </w:tc>
      </w:tr>
      <w:tr>
        <w:trPr>
          <w:cantSplit w:val="true"/>
        </w:trPr>
        <w:tc>
          <w:tcPr>
            <w:tcW w:type="dxa" w:w="1152"/>
          </w:tcPr>
          <w:p>
            <w:pPr>
              <w:spacing w:after="20"/>
            </w:pPr>
            <w:r/>
            <w:r>
              <w:rPr>
                <w:b/>
                <w:sz w:val="16"/>
              </w:rPr>
              <w:t>41:00–45:00</w:t>
            </w:r>
          </w:p>
        </w:tc>
        <w:tc>
          <w:tcPr>
            <w:tcW w:type="dxa" w:w="2232"/>
          </w:tcPr>
          <w:p>
            <w:pPr>
              <w:spacing w:after="20"/>
            </w:pPr>
            <w:r/>
            <w:r>
              <w:rPr>
                <w:sz w:val="16"/>
              </w:rPr>
              <w:t>Complete the Next-Move Note</w:t>
            </w:r>
          </w:p>
        </w:tc>
        <w:tc>
          <w:tcPr>
            <w:tcW w:type="dxa" w:w="648"/>
          </w:tcPr>
          <w:p>
            <w:pPr>
              <w:spacing w:after="20"/>
            </w:pPr>
            <w:r/>
            <w:r>
              <w:rPr>
                <w:sz w:val="16"/>
              </w:rPr>
              <w:t>22</w:t>
            </w:r>
          </w:p>
        </w:tc>
        <w:tc>
          <w:tcPr>
            <w:tcW w:type="dxa" w:w="518"/>
          </w:tcPr>
          <w:p>
            <w:pPr>
              <w:spacing w:after="20"/>
            </w:pPr>
            <w:r/>
            <w:r>
              <w:rPr>
                <w:sz w:val="16"/>
              </w:rPr>
              <w:t>8</w:t>
            </w:r>
          </w:p>
        </w:tc>
        <w:tc>
          <w:tcPr>
            <w:tcW w:type="dxa" w:w="4392"/>
          </w:tcPr>
          <w:p>
            <w:pPr>
              <w:spacing w:after="20"/>
            </w:pPr>
            <w:r/>
            <w:r>
              <w:rPr>
                <w:sz w:val="16"/>
              </w:rPr>
              <w:t>Read the three prompts once, then stop talking. Sixty-second warning at 44:00.</w:t>
            </w:r>
          </w:p>
        </w:tc>
        <w:tc>
          <w:tcPr>
            <w:tcW w:type="dxa" w:w="4104"/>
          </w:tcPr>
          <w:p>
            <w:pPr>
              <w:spacing w:after="20"/>
            </w:pPr>
            <w:r/>
            <w:r>
              <w:rPr>
                <w:sz w:val="16"/>
              </w:rPr>
              <w:t>Write the three lines.</w:t>
            </w:r>
          </w:p>
        </w:tc>
        <w:tc>
          <w:tcPr>
            <w:tcW w:type="dxa" w:w="1354"/>
          </w:tcPr>
          <w:p>
            <w:pPr>
              <w:spacing w:after="20"/>
            </w:pPr>
            <w:r/>
            <w:r>
              <w:rPr>
                <w:b/>
                <w:sz w:val="16"/>
              </w:rPr>
              <w:t>RECORDING ON</w:t>
            </w:r>
          </w:p>
        </w:tc>
      </w:tr>
      <w:tr>
        <w:trPr>
          <w:cantSplit w:val="true"/>
        </w:trPr>
        <w:tc>
          <w:tcPr>
            <w:tcW w:type="dxa" w:w="1152"/>
          </w:tcPr>
          <w:p>
            <w:pPr>
              <w:spacing w:after="20"/>
            </w:pPr>
            <w:r/>
            <w:r>
              <w:rPr>
                <w:b/>
                <w:sz w:val="16"/>
              </w:rPr>
              <w:t>45:00–48:00</w:t>
            </w:r>
          </w:p>
        </w:tc>
        <w:tc>
          <w:tcPr>
            <w:tcW w:type="dxa" w:w="2232"/>
          </w:tcPr>
          <w:p>
            <w:pPr>
              <w:spacing w:after="20"/>
            </w:pPr>
            <w:r/>
            <w:r>
              <w:rPr>
                <w:sz w:val="16"/>
              </w:rPr>
              <w:t>Continuation routes and evergreen close</w:t>
            </w:r>
          </w:p>
        </w:tc>
        <w:tc>
          <w:tcPr>
            <w:tcW w:type="dxa" w:w="648"/>
          </w:tcPr>
          <w:p>
            <w:pPr>
              <w:spacing w:after="20"/>
            </w:pPr>
            <w:r/>
            <w:r>
              <w:rPr>
                <w:sz w:val="16"/>
              </w:rPr>
              <w:t>23–25</w:t>
            </w:r>
          </w:p>
        </w:tc>
        <w:tc>
          <w:tcPr>
            <w:tcW w:type="dxa" w:w="518"/>
          </w:tcPr>
          <w:p>
            <w:pPr>
              <w:spacing w:after="20"/>
            </w:pPr>
            <w:r/>
            <w:r>
              <w:rPr>
                <w:sz w:val="16"/>
              </w:rPr>
              <w:t>8</w:t>
            </w:r>
          </w:p>
        </w:tc>
        <w:tc>
          <w:tcPr>
            <w:tcW w:type="dxa" w:w="4392"/>
          </w:tcPr>
          <w:p>
            <w:pPr>
              <w:spacing w:after="20"/>
            </w:pPr>
            <w:r/>
            <w:r>
              <w:rPr>
                <w:sz w:val="16"/>
              </w:rPr>
              <w:t>Two routes, the Field Kit in sixty seconds, then the close. No pricing spoken.</w:t>
            </w:r>
          </w:p>
        </w:tc>
        <w:tc>
          <w:tcPr>
            <w:tcW w:type="dxa" w:w="4104"/>
          </w:tcPr>
          <w:p>
            <w:pPr>
              <w:spacing w:after="20"/>
            </w:pPr>
            <w:r/>
            <w:r>
              <w:rPr>
                <w:sz w:val="16"/>
              </w:rPr>
              <w:t>Choose a route, or none. Write a rescore date ninety days out.</w:t>
            </w:r>
          </w:p>
        </w:tc>
        <w:tc>
          <w:tcPr>
            <w:tcW w:type="dxa" w:w="1354"/>
          </w:tcPr>
          <w:p>
            <w:pPr>
              <w:spacing w:after="20"/>
            </w:pPr>
            <w:r/>
            <w:r>
              <w:rPr>
                <w:b/>
                <w:sz w:val="16"/>
              </w:rPr>
              <w:t>RECORDING ON</w:t>
            </w:r>
          </w:p>
        </w:tc>
      </w:tr>
      <w:tr>
        <w:trPr>
          <w:cantSplit w:val="true"/>
        </w:trPr>
        <w:tc>
          <w:tcPr>
            <w:tcW w:type="dxa" w:w="1152"/>
          </w:tcPr>
          <w:p>
            <w:pPr>
              <w:spacing w:after="20"/>
            </w:pPr>
            <w:r/>
            <w:r>
              <w:rPr>
                <w:b/>
                <w:sz w:val="16"/>
              </w:rPr>
              <w:t>48:00–50:00</w:t>
            </w:r>
          </w:p>
        </w:tc>
        <w:tc>
          <w:tcPr>
            <w:tcW w:type="dxa" w:w="2232"/>
          </w:tcPr>
          <w:p>
            <w:pPr>
              <w:spacing w:after="20"/>
            </w:pPr>
            <w:r/>
            <w:r>
              <w:rPr>
                <w:sz w:val="16"/>
              </w:rPr>
              <w:t>Facilitation buffer and recording stop</w:t>
            </w:r>
          </w:p>
        </w:tc>
        <w:tc>
          <w:tcPr>
            <w:tcW w:type="dxa" w:w="648"/>
          </w:tcPr>
          <w:p>
            <w:pPr>
              <w:spacing w:after="20"/>
            </w:pPr>
            <w:r/>
            <w:r>
              <w:rPr>
                <w:sz w:val="16"/>
              </w:rPr>
              <w:t>25</w:t>
            </w:r>
          </w:p>
        </w:tc>
        <w:tc>
          <w:tcPr>
            <w:tcW w:type="dxa" w:w="518"/>
          </w:tcPr>
          <w:p>
            <w:pPr>
              <w:spacing w:after="20"/>
            </w:pPr>
            <w:r/>
            <w:r>
              <w:rPr>
                <w:sz w:val="16"/>
              </w:rPr>
              <w:t>8</w:t>
            </w:r>
          </w:p>
        </w:tc>
        <w:tc>
          <w:tcPr>
            <w:tcW w:type="dxa" w:w="4392"/>
          </w:tcPr>
          <w:p>
            <w:pPr>
              <w:spacing w:after="20"/>
            </w:pPr>
            <w:r/>
            <w:r>
              <w:rPr>
                <w:sz w:val="16"/>
              </w:rPr>
              <w:t>Hold the close slide. Absorb any overrun. At 50:00 STOP THE RECORDING — do not pause it — and confirm on screen.</w:t>
            </w:r>
          </w:p>
        </w:tc>
        <w:tc>
          <w:tcPr>
            <w:tcW w:type="dxa" w:w="4104"/>
          </w:tcPr>
          <w:p>
            <w:pPr>
              <w:spacing w:after="20"/>
            </w:pPr>
            <w:r/>
            <w:r>
              <w:rPr>
                <w:sz w:val="16"/>
              </w:rPr>
              <w:t>Finish writing.</w:t>
            </w:r>
          </w:p>
        </w:tc>
        <w:tc>
          <w:tcPr>
            <w:tcW w:type="dxa" w:w="1354"/>
          </w:tcPr>
          <w:p>
            <w:pPr>
              <w:spacing w:after="20"/>
            </w:pPr>
            <w:r/>
            <w:r>
              <w:rPr>
                <w:b/>
                <w:sz w:val="16"/>
              </w:rPr>
              <w:t>RECORDING ON → STOPS AT 50:00</w:t>
            </w:r>
          </w:p>
        </w:tc>
      </w:tr>
      <w:tr>
        <w:trPr>
          <w:cantSplit w:val="true"/>
        </w:trPr>
        <w:tc>
          <w:tcPr>
            <w:tcW w:type="dxa" w:w="1152"/>
          </w:tcPr>
          <w:p>
            <w:pPr>
              <w:spacing w:after="20"/>
            </w:pPr>
            <w:r/>
            <w:r>
              <w:rPr>
                <w:b/>
                <w:sz w:val="16"/>
              </w:rPr>
              <w:t>50:00–60:00</w:t>
            </w:r>
          </w:p>
        </w:tc>
        <w:tc>
          <w:tcPr>
            <w:tcW w:type="dxa" w:w="2232"/>
          </w:tcPr>
          <w:p>
            <w:pPr>
              <w:spacing w:after="20"/>
            </w:pPr>
            <w:r/>
            <w:r>
              <w:rPr>
                <w:sz w:val="16"/>
              </w:rPr>
              <w:t>Live-only Q&amp;A, not recorded</w:t>
            </w:r>
          </w:p>
        </w:tc>
        <w:tc>
          <w:tcPr>
            <w:tcW w:type="dxa" w:w="648"/>
          </w:tcPr>
          <w:p>
            <w:pPr>
              <w:spacing w:after="20"/>
            </w:pPr>
            <w:r/>
            <w:r>
              <w:rPr>
                <w:sz w:val="16"/>
              </w:rPr>
              <w:t>26</w:t>
            </w:r>
          </w:p>
        </w:tc>
        <w:tc>
          <w:tcPr>
            <w:tcW w:type="dxa" w:w="518"/>
          </w:tcPr>
          <w:p>
            <w:pPr>
              <w:spacing w:after="20"/>
            </w:pPr>
            <w:r/>
            <w:r>
              <w:rPr>
                <w:sz w:val="16"/>
              </w:rPr>
              <w:t>—</w:t>
            </w:r>
          </w:p>
        </w:tc>
        <w:tc>
          <w:tcPr>
            <w:tcW w:type="dxa" w:w="4392"/>
          </w:tcPr>
          <w:p>
            <w:pPr>
              <w:spacing w:after="20"/>
            </w:pPr>
            <w:r/>
            <w:r>
              <w:rPr>
                <w:sz w:val="16"/>
              </w:rPr>
              <w:t>Confirm aloud that recording has stopped. Method questions only. Hard stop at 60:00.</w:t>
            </w:r>
          </w:p>
        </w:tc>
        <w:tc>
          <w:tcPr>
            <w:tcW w:type="dxa" w:w="4104"/>
          </w:tcPr>
          <w:p>
            <w:pPr>
              <w:spacing w:after="20"/>
            </w:pPr>
            <w:r/>
            <w:r>
              <w:rPr>
                <w:sz w:val="16"/>
              </w:rPr>
              <w:t>Ask method questions. No scores, states or employers disclosed.</w:t>
            </w:r>
          </w:p>
        </w:tc>
        <w:tc>
          <w:tcPr>
            <w:tcW w:type="dxa" w:w="1354"/>
          </w:tcPr>
          <w:p>
            <w:pPr>
              <w:spacing w:after="20"/>
            </w:pPr>
            <w: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19:00–31:00 evidence-backed rescore is PROTECTED. Never recover lost time by shortening it. Recover from 45:00–48:00 first, then the 48:00–50:00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 it sits on slide 3 at minute 1:20.</w:t>
      </w:r>
    </w:p>
    <w:p>
      <w:pPr>
        <w:pStyle w:val="ListBullet"/>
        <w:spacing w:after="60"/>
      </w:pPr>
      <w:r>
        <w:rPr>
          <w:color w:val="000000"/>
          <w:sz w:val="19"/>
        </w:rPr>
        <w:t>At minute 50, STOP the recording BEFORE inviting participant questions. STOP IT; DO NOT PAUSE IT. Look at the screen and verify it has actually stopped before the first question is taken.</w:t>
      </w:r>
    </w:p>
    <w:p>
      <w:pPr>
        <w:pStyle w:val="ListBullet"/>
        <w:spacing w:after="60"/>
      </w:pPr>
      <w:r>
        <w:rPr>
          <w:color w:val="000000"/>
          <w:sz w:val="19"/>
        </w:rPr>
        <w:t>PRE-SESSION ONLY: if the integration auto-records when the host enters early, PAUSE for the holding period, start or resume on slide 1 at 6:00 PM CT, and STOP at 6:50. Pausing belongs to that window and nowhere else.</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23,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DIAGNOSTIC POLL INSIDE THE RECORDED ASSESSMENT. Nothing that asks anyone to reveal a score, a state, an employer, a circumstance or a decision. No show of hands, no room-level state distribution, no anonymous count of squares. The optional “What moved” interaction is in the appendix and is OUT of the timed core. One optional anonymous arrival poll is permitted, and it runs BEFORE the recording starts: see below.</w:t>
      </w:r>
    </w:p>
    <w:p>
      <w:pPr>
        <w:pStyle w:val="ListBullet"/>
        <w:spacing w:after="60"/>
      </w:pPr>
      <w:r>
        <w:rPr>
          <w:color w:val="000000"/>
          <w:sz w:val="19"/>
        </w:rPr>
        <w:t>OPTIONAL ANONYMOUS ARRIVAL POLL, PRE-RECORDING ONLY. While the dated holding slide is up and the recording is OFF, one anonymous poll may ask “What brought you here?” with these options: my work feels static; I am considering an internal move; I am considering a career pivot; my role has changed around me; I want to know what would still count somewhere else. Close it before the recording starts. Do not read individual answers aloud and do not report a distribution into the recorded core. If the platform does not make it easy, skip it. Nothing depends on it.</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i w:val="0"/>
          <w:color w:val="B00000"/>
          <w:sz w:val="19"/>
        </w:rPr>
        <w:t>If a question is really a request for a personal decision, name the boundary once and stop. If it asks whether experience will transfer to a named role, function, industry or employer, say plainly that this session did not read that destination: generic portability is not destination-specific portability. Do NOT sell the Career Move Review from the stage while its route is unverified, and do not mention the retired Private Capability Position Read at all.</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Pr>
                <w:b/>
                <w:color w:val="FFFFFF"/>
                <w:sz w:val="19"/>
              </w:rPr>
              <w:t>Offer</w:t>
            </w:r>
          </w:p>
        </w:tc>
        <w:tc>
          <w:tcPr>
            <w:tcW w:type="dxa" w:w="6480"/>
            <w:shd w:val="clear" w:fill="0F2347"/>
          </w:tcPr>
          <w:p>
            <w:r>
              <w:rPr>
                <w:b/>
                <w:color w:val="FFFFFF"/>
                <w:sz w:val="19"/>
              </w:rPr>
              <w:t>Position</w:t>
            </w:r>
          </w:p>
        </w:tc>
      </w:tr>
      <w:tr>
        <w:tc>
          <w:tcPr>
            <w:tcW w:type="dxa" w:w="3168"/>
          </w:tcPr>
          <w:p>
            <w:r>
              <w:rPr>
                <w:b/>
                <w:sz w:val="19"/>
              </w:rPr>
              <w:t>September 23 guided assessment</w:t>
            </w:r>
          </w:p>
        </w:tc>
        <w:tc>
          <w:tcPr>
            <w:tcW w:type="dxa" w:w="6480"/>
          </w:tcPr>
          <w:p>
            <w:r>
              <w:rPr>
                <w:sz w:val="19"/>
              </w:rPr>
              <w:t>$0. Free for this launch.</w:t>
            </w:r>
          </w:p>
        </w:tc>
      </w:tr>
      <w:tr>
        <w:tc>
          <w:tcPr>
            <w:tcW w:type="dxa" w:w="3168"/>
          </w:tcPr>
          <w:p>
            <w:r>
              <w:rPr>
                <w:b/>
                <w:sz w:val="19"/>
              </w:rPr>
              <w:t>Career Evidence Starter</w:t>
            </w:r>
          </w:p>
        </w:tc>
        <w:tc>
          <w:tcPr>
            <w:tcW w:type="dxa" w:w="6480"/>
          </w:tcPr>
          <w:p>
            <w:r>
              <w:rPr>
                <w:sz w:val="19"/>
              </w:rPr>
              <w:t>Free. The entry artifact. Not pitched from the stage.</w:t>
            </w:r>
          </w:p>
        </w:tc>
      </w:tr>
      <w:tr>
        <w:tc>
          <w:tcPr>
            <w:tcW w:type="dxa" w:w="3168"/>
          </w:tcPr>
          <w:p>
            <w:r>
              <w:rPr>
                <w:b/>
                <w:sz w:val="19"/>
              </w:rPr>
              <w:t>Keep the Proof</w:t>
            </w:r>
          </w:p>
        </w:tc>
        <w:tc>
          <w:tcPr>
            <w:tcW w:type="dxa" w:w="6480"/>
          </w:tcPr>
          <w:p>
            <w:r>
              <w:rPr>
                <w:sz w:val="19"/>
              </w:rPr>
              <w:t>$49. For someone who has done the work but has no reliable record of it. A different problem from this session's, so it is NOT in the recorded continuation sequence. It belongs in follow-up, matched to that need.</w:t>
            </w:r>
          </w:p>
        </w:tc>
      </w:tr>
      <w:tr>
        <w:tc>
          <w:tcPr>
            <w:tcW w:type="dxa" w:w="3168"/>
          </w:tcPr>
          <w:p>
            <w:r>
              <w:rPr>
                <w:b/>
                <w:sz w:val="19"/>
              </w:rPr>
              <w:t>Capability Formation Field Kit</w:t>
            </w:r>
          </w:p>
        </w:tc>
        <w:tc>
          <w:tcPr>
            <w:tcW w:type="dxa" w:w="6480"/>
          </w:tcPr>
          <w:p>
            <w:r>
              <w:rPr>
                <w:sz w:val="19"/>
              </w:rPr>
              <w:t>Exactly $150. Private, self-guided, repeatable. Not discounted, not bundled, never free. The only paid route named in the recorded sequence, and its price is spoken live rather than printed on the slide.</w:t>
            </w:r>
          </w:p>
        </w:tc>
      </w:tr>
      <w:tr>
        <w:tc>
          <w:tcPr>
            <w:tcW w:type="dxa" w:w="3168"/>
          </w:tcPr>
          <w:p>
            <w:r>
              <w:rPr>
                <w:b/>
                <w:sz w:val="19"/>
              </w:rPr>
              <w:t>Career Move Review — ROUTE NOT VERIFIED</w:t>
            </w:r>
          </w:p>
        </w:tc>
        <w:tc>
          <w:tcPr>
            <w:tcW w:type="dxa" w:w="6480"/>
          </w:tcPr>
          <w:p>
            <w:r>
              <w:rPr>
                <w:sz w:val="19"/>
              </w:rPr>
              <w:t>$500, one public price, qualification before payment. The current advisory offer for someone with a named destination. NOT on the continuation slide and NOT sold from the stage until a verified individual route exists. Never route it to the enterprise Advisory page and never reuse a retired Private Read link.</w:t>
            </w:r>
          </w:p>
        </w:tc>
      </w:tr>
      <w:tr>
        <w:tc>
          <w:tcPr>
            <w:tcW w:type="dxa" w:w="3168"/>
          </w:tcPr>
          <w:p>
            <w:r>
              <w:rPr>
                <w:b/>
                <w:sz w:val="19"/>
              </w:rPr>
              <w:t>Private Capability Position Read — RETIRED</w:t>
            </w:r>
          </w:p>
        </w:tc>
        <w:tc>
          <w:tcPr>
            <w:tcW w:type="dxa" w:w="6480"/>
          </w:tcPr>
          <w:p>
            <w:r>
              <w:rPr>
                <w:sz w:val="19"/>
              </w:rPr>
              <w:t>Withdrawn. Not priced, not pitched, not booked, and it does not return under that name. Career Move Review replaces it.</w:t>
            </w:r>
          </w:p>
        </w:tc>
      </w:tr>
      <w:tr>
        <w:tc>
          <w:tcPr>
            <w:tcW w:type="dxa" w:w="3168"/>
          </w:tcPr>
          <w:p>
            <w:r>
              <w:rPr>
                <w:b/>
                <w:sz w:val="19"/>
              </w:rPr>
              <w:t>Former paid group workshop</w:t>
            </w:r>
          </w:p>
        </w:tc>
        <w:tc>
          <w:tcPr>
            <w:tcW w:type="dxa" w:w="6480"/>
          </w:tcPr>
          <w:p>
            <w:r>
              <w:rPr>
                <w:sz w:val="19"/>
              </w:rPr>
              <w:t>RETIRED from active public sale. May remain archived as an internal asset. Must NOT be presented as the current public next step.</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 the two commercial continuation slides —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Career Move Review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23,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 no artificial marketing cap. Registration must remain within verified live-platform capacity, or an overflow or replay plan must be approved before promotion continues.</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 — CHECK BEFORE PROMOTION</w:t>
            </w:r>
          </w:p>
        </w:tc>
        <w:tc>
          <w:tcPr>
            <w:tcW w:type="dxa" w:w="6480"/>
          </w:tcPr>
          <w:p>
            <w:r/>
            <w:r>
              <w:rPr>
                <w:sz w:val="19"/>
              </w:rPr>
              <w:t>Zoom capacity is NOT unlimited and must not be described as such. Before promotion continues, record here the seat limit of the Zoom plan connected to this event and whatever Maven caps or requires, and verify both against registration. The family documents a 100-participant live capacity;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PRESENTER_VERSION_Stay_or_Leave_..._60MIN_v2.0.6_CANDIDATE.pptx.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Verify the current Field Kit route and price immediately before delivery. Confirm the Career Move Review is still absent from the participant-facing continuation sequence: it stays off until its fulfillment route is verified operational.</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19:00–31:00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45:00–48:00 first, then the buffer, then compress the four-states block. Never the rescore.</w:t>
      </w:r>
    </w:p>
    <w:p>
      <w:pPr>
        <w:spacing w:before="160" w:after="60"/>
      </w:pPr>
      <w:r>
        <w:rPr>
          <w:b/>
          <w:color w:val="0F2347"/>
          <w:sz w:val="25"/>
        </w:rPr>
        <w:t>Rehearsal 2 —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 not pause — at 50:00, verified on screen before the first question. Rehearse the auto-record case: pause, then start on slide 1.</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PRESENTER_VERSION_Stay_or_Leave_Live_Career_Growth_Assessment_60MIN_v2.0.6_CANDIDATE.pptx — 33 slides, 26 active, 7 hidden.</w:t>
      </w:r>
    </w:p>
    <w:p>
      <w:pPr>
        <w:pStyle w:val="ListBullet"/>
        <w:spacing w:after="60"/>
      </w:pPr>
      <w:r>
        <w:rPr>
          <w:color w:val="000000"/>
          <w:sz w:val="19"/>
        </w:rPr>
        <w:t>Workbook: Capability_Position_Read_Workbook_60MIN_v2.0.1_CANDIDATE.pdf —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Capability_Formation_Free_Flagship_SOP_Sept23_2026_60MIN_v2.0.9_CANDIDATE.docx.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The first is live and outside this document's scope; the second does not exist yet. Changing anything in the first is a separate decision: this SOP points at those assets, it neither governs nor republishes them.</w:t>
      </w:r>
    </w:p>
    <w:p>
      <w:pPr>
        <w:spacing w:before="160" w:after="60"/>
      </w:pPr>
      <w:r>
        <w:rPr>
          <w:b/>
          <w:color w:val="0F2347"/>
          <w:sz w:val="25"/>
        </w:rPr>
        <w:t>Live elsewhere — out of scope here, not unbuilt</w:t>
      </w:r>
    </w:p>
    <w:p>
      <w:pPr>
        <w:pStyle w:val="ListBullet"/>
        <w:spacing w:after="60"/>
      </w:pPr>
      <w:r>
        <w:rPr>
          <w:color w:val="000000"/>
          <w:sz w:val="19"/>
        </w:rPr>
        <w:t>Maven event page and platform configuration for September 23, live at maven.com/p/8b3c40/stay-or-leave-live-career-growth-assessment.</w:t>
      </w:r>
    </w:p>
    <w:p>
      <w:pPr>
        <w:pStyle w:val="ListBullet"/>
        <w:spacing w:after="60"/>
      </w:pPr>
      <w:r>
        <w:rPr>
          <w:color w:val="000000"/>
          <w:sz w:val="19"/>
        </w:rPr>
        <w:t>Attendee communications configured for the September 9 session, with its registration list maintained in Maven.</w:t>
      </w:r>
    </w:p>
    <w:p>
      <w:pPr>
        <w:pStyle w:val="ListBullet"/>
        <w:spacing w:after="60"/>
      </w:pPr>
      <w:r>
        <w:rPr>
          <w:color w:val="000000"/>
          <w:sz w:val="19"/>
        </w:rPr>
        <w:t>Field Kit, reached through temidayoafonja.com/fieldkit, which is the deck face route, the QR target and the chat message. It is the evergreen destination because a recorded replay outlives any storefront URL.</w:t>
      </w:r>
    </w:p>
    <w:p>
      <w:pPr>
        <w:pStyle w:val="ListBullet"/>
        <w:spacing w:after="60"/>
      </w:pPr>
      <w:r>
        <w:rPr>
          <w:color w:val="000000"/>
          <w:sz w:val="19"/>
        </w:rPr>
        <w:t>Current website copy. The live site is the source of truth for pricing.</w:t>
      </w:r>
    </w:p>
    <w:p>
      <w:pPr>
        <w:pStyle w:val="ListBullet"/>
        <w:spacing w:after="60"/>
      </w:pPr>
      <w:r>
        <w:rPr>
          <w:color w:val="000000"/>
          <w:sz w:val="19"/>
        </w:rPr>
        <w:t>September 23 LinkedIn promotional sequence, already built in the current editorial publishing plan.</w:t>
      </w:r>
    </w:p>
    <w:p>
      <w:pPr>
        <w:spacing w:before="160" w:after="60"/>
      </w:pPr>
      <w:r>
        <w:rPr>
          <w:b/>
          <w:color w:val="0F2347"/>
          <w:sz w:val="25"/>
        </w:rPr>
        <w:t>Genuinely unbuilt</w:t>
      </w:r>
    </w:p>
    <w:p>
      <w:pPr>
        <w:pStyle w:val="ListBullet"/>
        <w:spacing w:after="60"/>
      </w:pPr>
      <w:r>
        <w:rPr>
          <w:color w:val="000000"/>
          <w:sz w:val="19"/>
        </w:rPr>
        <w:t>Career Move Review fulfillment route. The offer and price are decided; no route for it exists in the repository or on the live site, so it is off the continuation slide in deck v2.0.6 and out of Q&amp;A until a verified individual route can be named here. The Private Capability Position Read is RETIRED.</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Newsletter copy for the September 23 session.</w:t>
      </w:r>
    </w:p>
    <w:p>
      <w:pPr>
        <w:spacing w:before="20" w:after="20" w:line="40" w:lineRule="exact"/>
        <w:pBdr>
          <w:bottom w:val="single" w:sz="6" w:space="1" w:color="B8C5D9"/>
        </w:pBdr>
      </w:pPr>
    </w:p>
    <w:p>
      <w:pPr>
        <w:spacing w:after="0"/>
      </w:pPr>
      <w:r>
        <w:rPr>
          <w:b w:val="0"/>
          <w:i/>
          <w:color w:val="555555"/>
          <w:sz w:val="16"/>
        </w:rPr>
        <w:t>FREE FLAGSHIP SOP v2.0.9 CANDIDATE  ·  INTERNAL ONLY  ·  Revised Saturday, September 19, 2026 at 8:30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30, 2026 at 1:07 PM CT. CANDIDATE — not FINAL until the timed rehearsal passes.</dc:description>
  <cp:lastModifiedBy/>
  <cp:revision>1</cp:revision>
  <dcterms:created xsi:type="dcterms:W3CDTF">2013-12-23T23:15:00Z</dcterms:created>
  <dcterms:modified xsi:type="dcterms:W3CDTF">2013-12-23T23:15:00Z</dcterms:modified>
  <cp:category/>
</cp:coreProperties>
</file>