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MANUAL EDITS — NOT PUBLISHABLE FROM THE REPOSITORY</w:t>
            </w:r>
          </w:p>
          <w:p>
            <w:r>
              <w:rPr>
                <w:b/>
                <w:color w:val="FFFFFF"/>
                <w:sz w:val="40"/>
              </w:rPr>
              <w:t>September 23 — Maven and Website Edit Checklist</w:t>
            </w:r>
          </w:p>
          <w:p>
            <w:r>
              <w:rPr>
                <w:i/>
                <w:color w:val="E3D9C4"/>
                <w:sz w:val="22"/>
              </w:rPr>
              <w:t>v1.2  ·  Prepared Saturday, September 19, 2026 at 8:30 AM CT</w:t>
            </w:r>
          </w:p>
        </w:tc>
      </w:tr>
    </w:tbl>
    <w:p>
      <w:pPr>
        <w:spacing w:after="80"/>
      </w:pPr>
    </w:p>
    <w:p>
      <w:pPr>
        <w:spacing w:after="160"/>
      </w:pPr>
      <w:r>
        <w:rPr>
          <w:b/>
          <w:i w:val="0"/>
          <w:color w:val="B00000"/>
          <w:sz w:val="19"/>
        </w:rPr>
        <w:t>NOTHING IN THIS CHECKLIST HAPPENS AUTOMATICALLY. The repository has no route to publish to Maven or to the live site. Both maven.com and temidayoafonja.com are also blocked by this environment's network egress, so nothing below was read from the live pages: every “current” value is quoted from the brief. Confirm each one on screen before editing, and treat a mismatch as a finding rather than a typo.</w:t>
      </w:r>
    </w:p>
    <w:p>
      <w:pPr>
        <w:spacing w:before="100" w:after="100" w:line="40" w:lineRule="exact"/>
        <w:pBdr>
          <w:bottom w:val="single" w:sz="6" w:space="1" w:color="B8C5D9"/>
        </w:pBdr>
      </w:pPr>
    </w:p>
    <w:p>
      <w:pPr>
        <w:spacing w:before="320" w:after="160"/>
      </w:pPr>
      <w:r>
        <w:rPr>
          <w:b/>
          <w:color w:val="0F2347"/>
          <w:sz w:val="32"/>
        </w:rPr>
        <w:t>A. Maven — instructor title</w:t>
      </w:r>
    </w:p>
    <w:p>
      <w:pPr>
        <w:spacing w:after="160"/>
      </w:pPr>
      <w:r>
        <w:rPr>
          <w:b w:val="0"/>
          <w:i w:val="0"/>
          <w:color w:val="000000"/>
          <w:sz w:val="19"/>
        </w:rPr>
        <w:t>ALREADY CURRENT — DO NOT OVERWRITE. The live instructor title already reads Career Portability Advisor. This section is kept so the change stays on the record, not so it is applied twice. Read the live page first: if it already reads Career Portability Advisor, do nothing here.</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160"/>
            <w:shd w:val="clear" w:fill="0F2347"/>
          </w:tcPr>
          <w:p>
            <w:r/>
            <w:r>
              <w:rPr>
                <w:b/>
                <w:color w:val="FFFFFF"/>
                <w:sz w:val="19"/>
              </w:rPr>
              <w:t>Field</w:t>
            </w:r>
          </w:p>
        </w:tc>
        <w:tc>
          <w:tcPr>
            <w:tcW w:type="dxa" w:w="7488"/>
            <w:shd w:val="clear" w:fill="0F2347"/>
          </w:tcPr>
          <w:p>
            <w:r/>
            <w:r>
              <w:rPr>
                <w:b/>
                <w:color w:val="FFFFFF"/>
                <w:sz w:val="19"/>
              </w:rPr>
              <w:t>Value</w:t>
            </w:r>
          </w:p>
        </w:tc>
      </w:tr>
      <w:tr>
        <w:trPr>
          <w:cantSplit w:val="true"/>
        </w:trPr>
        <w:tc>
          <w:tcPr>
            <w:tcW w:type="dxa" w:w="2160"/>
          </w:tcPr>
          <w:p>
            <w:r/>
            <w:r>
              <w:rPr>
                <w:b/>
                <w:sz w:val="19"/>
              </w:rPr>
              <w:t>Replace</w:t>
            </w:r>
          </w:p>
        </w:tc>
        <w:tc>
          <w:tcPr>
            <w:tcW w:type="dxa" w:w="7488"/>
          </w:tcPr>
          <w:p>
            <w:r/>
            <w:r>
              <w:rPr>
                <w:sz w:val="19"/>
              </w:rPr>
              <w:t>Organizational Capability Architect | Author, The Capability Audit</w:t>
            </w:r>
          </w:p>
        </w:tc>
      </w:tr>
      <w:tr>
        <w:trPr>
          <w:cantSplit w:val="true"/>
        </w:trPr>
        <w:tc>
          <w:tcPr>
            <w:tcW w:type="dxa" w:w="2160"/>
          </w:tcPr>
          <w:p>
            <w:r/>
            <w:r>
              <w:rPr>
                <w:b/>
                <w:sz w:val="19"/>
              </w:rPr>
              <w:t>With</w:t>
            </w:r>
          </w:p>
        </w:tc>
        <w:tc>
          <w:tcPr>
            <w:tcW w:type="dxa" w:w="7488"/>
          </w:tcPr>
          <w:p>
            <w:r/>
            <w:r>
              <w:rPr>
                <w:sz w:val="19"/>
              </w:rPr>
              <w:t>Career Portability Advisor | Author, The Capability Audit</w:t>
            </w:r>
          </w:p>
        </w:tc>
      </w:tr>
      <w:tr>
        <w:trPr>
          <w:cantSplit w:val="true"/>
        </w:trPr>
        <w:tc>
          <w:tcPr>
            <w:tcW w:type="dxa" w:w="2160"/>
          </w:tcPr>
          <w:p>
            <w:r/>
            <w:r>
              <w:rPr>
                <w:b/>
                <w:sz w:val="19"/>
              </w:rPr>
              <w:t>Why</w:t>
            </w:r>
          </w:p>
        </w:tc>
        <w:tc>
          <w:tcPr>
            <w:tcW w:type="dxa" w:w="7488"/>
          </w:tcPr>
          <w:p>
            <w:r/>
            <w:r>
              <w:rPr>
                <w:sz w:val="19"/>
              </w:rPr>
              <w:t>The public positioning is Career Portability Advisor. The retired title is the last place it survives in anything participant-facing; it appears nowhere in the deck, the SOP or the workbook.</w:t>
            </w:r>
          </w:p>
        </w:tc>
      </w:tr>
    </w:tbl>
    <w:p>
      <w:pPr>
        <w:spacing w:after="80"/>
      </w:pPr>
    </w:p>
    <w:p>
      <w:pPr>
        <w:spacing w:before="100" w:after="100" w:line="40" w:lineRule="exact"/>
        <w:pBdr>
          <w:bottom w:val="single" w:sz="6" w:space="1" w:color="B8C5D9"/>
        </w:pBdr>
      </w:pPr>
    </w:p>
    <w:p>
      <w:pPr>
        <w:spacing w:before="320" w:after="160"/>
      </w:pPr>
      <w:r>
        <w:rPr>
          <w:b/>
          <w:color w:val="0F2347"/>
          <w:sz w:val="32"/>
        </w:rPr>
        <w:t>B. Maven — instructor bio</w:t>
      </w:r>
    </w:p>
    <w:p>
      <w:pPr>
        <w:spacing w:after="160"/>
      </w:pPr>
      <w:r>
        <w:rPr>
          <w:b w:val="0"/>
          <w:i w:val="0"/>
          <w:color w:val="000000"/>
          <w:sz w:val="19"/>
        </w:rPr>
        <w:t>ALREADY CURRENT — DO NOT OVERWRITE. The live bio already uses Career Portability language. Do not paste the version below over it. Read the live bio first, and use the text below only to check that nothing important is missing from it.</w:t>
      </w:r>
    </w:p>
    <w:p>
      <w:pPr>
        <w:spacing w:after="160"/>
      </w:pPr>
      <w:r>
        <w:rPr>
          <w:b w:val="0"/>
          <w:i w:val="0"/>
          <w:color w:val="000000"/>
          <w:sz w:val="19"/>
        </w:rPr>
        <w:t>Temidayo Afonja is a Career Portability Advisor, founder of The Density Group and author of The Capability Audit. Her 18-year career has moved through accounting and audit, cybersecurity, people strategy, employee experience and enterprise transformation across multiple industries and sectors.</w:t>
      </w:r>
    </w:p>
    <w:p>
      <w:pPr>
        <w:spacing w:after="160"/>
      </w:pPr>
      <w:r>
        <w:rPr>
          <w:b w:val="0"/>
          <w:i w:val="0"/>
          <w:color w:val="000000"/>
          <w:sz w:val="19"/>
        </w:rPr>
        <w:t>That journey shaped the question behind Capability Formation: what has your work built in you, and what remains useful when the context changes? She helps experienced professionals understand what they can carry across roles, functions, employers and industries, and make their next move without assuming they have to start from zero.</w:t>
      </w:r>
    </w:p>
    <w:p>
      <w:pPr>
        <w:spacing w:before="100" w:after="100" w:line="40" w:lineRule="exact"/>
        <w:pBdr>
          <w:bottom w:val="single" w:sz="6" w:space="1" w:color="B8C5D9"/>
        </w:pBdr>
      </w:pPr>
    </w:p>
    <w:p>
      <w:pPr>
        <w:spacing w:before="320" w:after="160"/>
      </w:pPr>
      <w:r>
        <w:rPr>
          <w:b/>
          <w:color w:val="0F2347"/>
          <w:sz w:val="32"/>
        </w:rPr>
        <w:t>C. Maven — learning outcome 3</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160"/>
            <w:shd w:val="clear" w:fill="0F2347"/>
          </w:tcPr>
          <w:p>
            <w:r>
              <w:rPr>
                <w:b/>
                <w:color w:val="FFFFFF"/>
                <w:sz w:val="19"/>
              </w:rPr>
              <w:t>Field</w:t>
            </w:r>
          </w:p>
        </w:tc>
        <w:tc>
          <w:tcPr>
            <w:tcW w:type="dxa" w:w="7488"/>
            <w:shd w:val="clear" w:fill="0F2347"/>
          </w:tcPr>
          <w:p>
            <w:r>
              <w:rPr>
                <w:b/>
                <w:color w:val="FFFFFF"/>
                <w:sz w:val="19"/>
              </w:rPr>
              <w:t>Value</w:t>
            </w:r>
          </w:p>
        </w:tc>
      </w:tr>
      <w:tr>
        <w:trPr>
          <w:cantSplit w:val="true"/>
        </w:trPr>
        <w:tc>
          <w:tcPr>
            <w:tcW w:type="dxa" w:w="2160"/>
          </w:tcPr>
          <w:p>
            <w:r>
              <w:rPr>
                <w:b/>
                <w:sz w:val="19"/>
              </w:rPr>
              <w:t>Outcome 3 — replace</w:t>
            </w:r>
          </w:p>
        </w:tc>
        <w:tc>
          <w:tcPr>
            <w:tcW w:type="dxa" w:w="7488"/>
          </w:tcPr>
          <w:p>
            <w:r>
              <w:rPr>
                <w:sz w:val="19"/>
              </w:rPr>
              <w:t>Decide your next career move</w:t>
            </w:r>
          </w:p>
        </w:tc>
      </w:tr>
      <w:tr>
        <w:trPr>
          <w:cantSplit w:val="true"/>
        </w:trPr>
        <w:tc>
          <w:tcPr>
            <w:tcW w:type="dxa" w:w="2160"/>
          </w:tcPr>
          <w:p>
            <w:r>
              <w:rPr>
                <w:b/>
                <w:sz w:val="19"/>
              </w:rPr>
              <w:t>Outcome 3 — with</w:t>
            </w:r>
          </w:p>
        </w:tc>
        <w:tc>
          <w:tcPr>
            <w:tcW w:type="dxa" w:w="7488"/>
          </w:tcPr>
          <w:p>
            <w:r>
              <w:rPr>
                <w:sz w:val="19"/>
              </w:rPr>
              <w:t>Identify which move is worth testing next</w:t>
            </w:r>
          </w:p>
        </w:tc>
      </w:tr>
      <w:tr>
        <w:trPr>
          <w:cantSplit w:val="true"/>
        </w:trPr>
        <w:tc>
          <w:tcPr>
            <w:tcW w:type="dxa" w:w="2160"/>
          </w:tcPr>
          <w:p>
            <w:r>
              <w:rPr>
                <w:b/>
                <w:sz w:val="19"/>
              </w:rPr>
              <w:t>Outcome 3 — supporting copy</w:t>
            </w:r>
          </w:p>
        </w:tc>
        <w:tc>
          <w:tcPr>
            <w:tcW w:type="dxa" w:w="7488"/>
          </w:tcPr>
          <w:p>
            <w:r>
              <w:rPr>
                <w:sz w:val="19"/>
              </w:rPr>
              <w:t>Evaluate seven move categories and leave with a Next-Move Note naming the direction your evidence supports testing next.</w:t>
            </w:r>
          </w:p>
        </w:tc>
      </w:tr>
      <w:tr>
        <w:trPr>
          <w:cantSplit w:val="true"/>
        </w:trPr>
        <w:tc>
          <w:tcPr>
            <w:tcW w:type="dxa" w:w="2160"/>
          </w:tcPr>
          <w:p>
            <w:r>
              <w:rPr>
                <w:b/>
                <w:sz w:val="19"/>
              </w:rPr>
              <w:t>Outcome 1 — review</w:t>
            </w:r>
          </w:p>
        </w:tc>
        <w:tc>
          <w:tcPr>
            <w:tcW w:type="dxa" w:w="7488"/>
          </w:tcPr>
          <w:p>
            <w:r>
              <w:rPr>
                <w:sz w:val="19"/>
              </w:rPr>
              <w:t>See whether your current work is still building you. Supporting copy: use evidence from your last 90 days of actual work to distinguish continued formation from familiar performance.</w:t>
            </w:r>
          </w:p>
        </w:tc>
      </w:tr>
      <w:tr>
        <w:trPr>
          <w:cantSplit w:val="true"/>
        </w:trPr>
        <w:tc>
          <w:tcPr>
            <w:tcW w:type="dxa" w:w="2160"/>
          </w:tcPr>
          <w:p>
            <w:r>
              <w:rPr>
                <w:b/>
                <w:sz w:val="19"/>
              </w:rPr>
              <w:t>Outcome 2 — review</w:t>
            </w:r>
          </w:p>
        </w:tc>
        <w:tc>
          <w:tcPr>
            <w:tcW w:type="dxa" w:w="7488"/>
          </w:tcPr>
          <w:p>
            <w:r>
              <w:rPr>
                <w:sz w:val="19"/>
              </w:rPr>
              <w:t>See what may still count when the context changes. Supporting copy: examine what may travel beyond your current role or employer, where the evidence is strong, and what may still need testing or relearning. Do not promise destination-specific portability when no destination has been named.</w:t>
            </w:r>
          </w:p>
        </w:tc>
      </w:tr>
      <w:tr>
        <w:trPr>
          <w:cantSplit w:val="true"/>
        </w:trPr>
        <w:tc>
          <w:tcPr>
            <w:tcW w:type="dxa" w:w="2160"/>
          </w:tcPr>
          <w:p>
            <w:r>
              <w:rPr>
                <w:b/>
                <w:sz w:val="19"/>
              </w:rPr>
              <w:t>Why</w:t>
            </w:r>
          </w:p>
        </w:tc>
        <w:tc>
          <w:tcPr>
            <w:tcW w:type="dxa" w:w="7488"/>
          </w:tcPr>
          <w:p>
            <w:r>
              <w:rPr>
                <w:sz w:val="19"/>
              </w:rPr>
              <w:t>The session does not make the stay-or-leave decision for the participant and the listing must not promise that it does. This is the same boundary the deck and the SOP hold.</w:t>
            </w:r>
          </w:p>
        </w:tc>
      </w:tr>
    </w:tbl>
    <w:p>
      <w:pPr>
        <w:spacing w:after="80"/>
      </w:pPr>
    </w:p>
    <w:p>
      <w:pPr>
        <w:spacing w:before="100" w:after="100" w:line="40" w:lineRule="exact"/>
        <w:pBdr>
          <w:bottom w:val="single" w:sz="6" w:space="1" w:color="B8C5D9"/>
        </w:pBdr>
      </w:pPr>
    </w:p>
    <w:p>
      <w:pPr>
        <w:spacing w:before="320" w:after="160"/>
      </w:pPr>
      <w:r>
        <w:rPr>
          <w:b/>
          <w:color w:val="0F2347"/>
          <w:sz w:val="32"/>
        </w:rPr>
        <w:t>D. Maven — why this topic matters</w:t>
      </w:r>
    </w:p>
    <w:p>
      <w:pPr>
        <w:spacing w:after="160"/>
      </w:pPr>
      <w:r>
        <w:rPr>
          <w:b w:val="0"/>
          <w:i w:val="0"/>
          <w:color w:val="000000"/>
          <w:sz w:val="19"/>
        </w:rPr>
        <w:t>Recognize the experienced professional before teaching anything. The reader may be performing well, trusted with important work and carrying real responsibility, and still be less certain about what the work is building for the future. Do not describe the audience as early-career and do not overclaim.</w:t>
      </w:r>
    </w:p>
    <w:p>
      <w:pPr>
        <w:spacing w:after="160"/>
      </w:pPr>
      <w:r>
        <w:rPr>
          <w:b w:val="0"/>
          <w:i/>
          <w:color w:val="555555"/>
          <w:sz w:val="18"/>
        </w:rPr>
        <w:t>Suggested direction, to adapt rather than paste:</w:t>
      </w:r>
    </w:p>
    <w:p>
      <w:pPr>
        <w:spacing w:after="160"/>
      </w:pPr>
      <w:r>
        <w:rPr>
          <w:b w:val="0"/>
          <w:i w:val="0"/>
          <w:color w:val="000000"/>
          <w:sz w:val="19"/>
        </w:rPr>
        <w:t>Suggested direction, to adapt rather than paste: experienced professionals can be performing well, trusted with important work and carrying real responsibility while becoming less certain about what the work is building for the future. The difficult question is not only whether the job is good or bad. It is whether the work is still expanding your judgment, what would remain useful if the context changed, and what your recent evidence supports testing next. This live assessment uses your own last 90 days of work to help you read that more clearly.</w:t>
      </w:r>
    </w:p>
    <w:p>
      <w:pPr>
        <w:spacing w:before="100" w:after="100" w:line="40" w:lineRule="exact"/>
        <w:pBdr>
          <w:bottom w:val="single" w:sz="6" w:space="1" w:color="B8C5D9"/>
        </w:pBdr>
      </w:pPr>
    </w:p>
    <w:p>
      <w:pPr>
        <w:spacing w:before="320" w:after="160"/>
      </w:pPr>
      <w:r>
        <w:rPr>
          <w:b/>
          <w:color w:val="0F2347"/>
          <w:sz w:val="32"/>
        </w:rPr>
        <w:t>E. Maven — verify, do not assume</w:t>
      </w:r>
    </w:p>
    <w:p>
      <w:pPr>
        <w:pStyle w:val="ListBullet"/>
        <w:spacing w:after="60"/>
      </w:pPr>
      <w:r>
        <w:rPr>
          <w:color w:val="000000"/>
          <w:sz w:val="19"/>
        </w:rPr>
        <w:t>Event title reads “Stay or Leave?” with “Live Career Growth Assessment”. The deck matches this. If the live page differs, the deck is wrong and must be corrected rather than the page.</w:t>
      </w:r>
    </w:p>
    <w:p>
      <w:pPr>
        <w:pStyle w:val="ListBullet"/>
        <w:spacing w:after="60"/>
      </w:pPr>
      <w:r>
        <w:rPr>
          <w:color w:val="000000"/>
          <w:sz w:val="19"/>
        </w:rPr>
        <w:t>Date Wednesday, September 23, 2026. Time 6:00 PM CT. Duration 60 minutes. Price free.</w:t>
      </w:r>
    </w:p>
    <w:p>
      <w:pPr>
        <w:pStyle w:val="ListBullet"/>
        <w:spacing w:after="60"/>
      </w:pPr>
      <w:r>
        <w:rPr>
          <w:color w:val="000000"/>
          <w:sz w:val="19"/>
        </w:rPr>
        <w:t>Registration URL is exactly https://maven.com/p/8b3c40/stay-or-leave-live-career-growth-assessment.</w:t>
      </w:r>
    </w:p>
    <w:p>
      <w:pPr>
        <w:pStyle w:val="ListBullet"/>
        <w:spacing w:after="60"/>
      </w:pPr>
      <w:r>
        <w:rPr>
          <w:color w:val="000000"/>
          <w:sz w:val="19"/>
        </w:rPr>
        <w:t>Registration is open with no artificial marketing cap, and the cap that does exist is the real capacity of the connected Zoom plan. Record that number in the SOP before promotion continues.</w:t>
      </w:r>
    </w:p>
    <w:p>
      <w:pPr>
        <w:spacing w:before="100" w:after="100" w:line="40" w:lineRule="exact"/>
        <w:pBdr>
          <w:bottom w:val="single" w:sz="6" w:space="1" w:color="B8C5D9"/>
        </w:pBdr>
      </w:pPr>
    </w:p>
    <w:p>
      <w:pPr>
        <w:spacing w:before="320" w:after="160"/>
      </w:pPr>
      <w:r>
        <w:rPr>
          <w:b/>
          <w:color w:val="0F2347"/>
          <w:sz w:val="32"/>
        </w:rPr>
        <w:t>F. Website — changes needing a separate deployment</w:t>
      </w:r>
    </w:p>
    <w:p>
      <w:pPr>
        <w:spacing w:after="160"/>
      </w:pPr>
      <w:r>
        <w:rPr>
          <w:b/>
          <w:i w:val="0"/>
          <w:color w:val="000000"/>
          <w:sz w:val="19"/>
        </w:rPr>
        <w:t>These are code or CMS changes. None of them ship with the deck, the SOP or the QA report, and none were verifiable from here.</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3168"/>
            <w:shd w:val="clear" w:fill="0F2347"/>
          </w:tcPr>
          <w:p>
            <w:r>
              <w:rPr>
                <w:b/>
                <w:color w:val="FFFFFF"/>
                <w:sz w:val="19"/>
              </w:rPr>
              <w:t>Item</w:t>
            </w:r>
          </w:p>
        </w:tc>
        <w:tc>
          <w:tcPr>
            <w:tcW w:type="dxa" w:w="6480"/>
            <w:shd w:val="clear" w:fill="0F2347"/>
          </w:tcPr>
          <w:p>
            <w:r>
              <w:rPr>
                <w:b/>
                <w:color w:val="FFFFFF"/>
                <w:sz w:val="19"/>
              </w:rPr>
              <w:t>Change</w:t>
            </w:r>
          </w:p>
        </w:tc>
      </w:tr>
      <w:tr>
        <w:trPr>
          <w:cantSplit w:val="true"/>
        </w:trPr>
        <w:tc>
          <w:tcPr>
            <w:tcW w:type="dxa" w:w="3168"/>
          </w:tcPr>
          <w:p>
            <w:r>
              <w:rPr>
                <w:b/>
                <w:sz w:val="19"/>
              </w:rPr>
              <w:t>Private Read removal — LARGEST ITEM</w:t>
            </w:r>
          </w:p>
        </w:tc>
        <w:tc>
          <w:tcPr>
            <w:tcW w:type="dxa" w:w="6480"/>
          </w:tcPr>
          <w:p>
            <w:r>
              <w:rPr>
                <w:sz w:val="19"/>
              </w:rPr>
              <w:t>The retired offer is still live. fieldkit.html carries a Private Capability Position Read section with an “Enquire about the Private Read” CTA pointing at work.html#get-in-touch. for-professionals.html carries a Private Capability Position Read block with a mailto CTA. content/site-source-of-truth.json still describes it as a current offer. All three need a decision and a deployment. Nothing in this package publishes them.</w:t>
            </w:r>
          </w:p>
        </w:tc>
      </w:tr>
      <w:tr>
        <w:trPr>
          <w:cantSplit w:val="true"/>
        </w:trPr>
        <w:tc>
          <w:tcPr>
            <w:tcW w:type="dxa" w:w="3168"/>
          </w:tcPr>
          <w:p>
            <w:r>
              <w:rPr>
                <w:b/>
                <w:sz w:val="19"/>
              </w:rPr>
              <w:t>Career Move Review — DOES NOT EXIST YET</w:t>
            </w:r>
          </w:p>
        </w:tc>
        <w:tc>
          <w:tcPr>
            <w:tcW w:type="dxa" w:w="6480"/>
          </w:tcPr>
          <w:p>
            <w:r>
              <w:rPr>
                <w:sz w:val="19"/>
              </w:rPr>
              <w:t>No page, no route, no copy, on any branch. Until a verified individual-professional route exists, it stays off the participant-facing continuation slide and is not sold from the stage. Do not route it to the enterprise Advisory page and do not reuse a retired Private Read link.</w:t>
            </w:r>
          </w:p>
        </w:tc>
      </w:tr>
      <w:tr>
        <w:trPr>
          <w:cantSplit w:val="true"/>
        </w:trPr>
        <w:tc>
          <w:tcPr>
            <w:tcW w:type="dxa" w:w="3168"/>
          </w:tcPr>
          <w:p>
            <w:r>
              <w:rPr>
                <w:b/>
                <w:sz w:val="19"/>
              </w:rPr>
              <w:t>For Professionals page — outcome language</w:t>
            </w:r>
          </w:p>
        </w:tc>
        <w:tc>
          <w:tcPr>
            <w:tcW w:type="dxa" w:w="6480"/>
          </w:tcPr>
          <w:p>
            <w:r>
              <w:rPr>
                <w:sz w:val="19"/>
              </w:rPr>
              <w:t>Change any equivalent of “decide your next move” to “identify which move is worth testing next”. Same boundary as the Maven listing.</w:t>
            </w:r>
          </w:p>
        </w:tc>
      </w:tr>
      <w:tr>
        <w:trPr>
          <w:cantSplit w:val="true"/>
        </w:trPr>
        <w:tc>
          <w:tcPr>
            <w:tcW w:type="dxa" w:w="3168"/>
          </w:tcPr>
          <w:p>
            <w:r>
              <w:rPr>
                <w:b/>
                <w:sz w:val="19"/>
              </w:rPr>
              <w:t>Field Kit route</w:t>
            </w:r>
          </w:p>
        </w:tc>
        <w:tc>
          <w:tcPr>
            <w:tcW w:type="dxa" w:w="6480"/>
          </w:tcPr>
          <w:p>
            <w:r>
              <w:rPr>
                <w:sz w:val="19"/>
              </w:rPr>
              <w:t>temidayoafonja.com/fieldkit is the participant-facing route on the deck face, the QR target and the prebuilt chat message. Confirm the page is live, resolves without a redirect chain, and shows the current $150 price.</w:t>
            </w:r>
          </w:p>
        </w:tc>
      </w:tr>
      <w:tr>
        <w:trPr>
          <w:cantSplit w:val="true"/>
        </w:trPr>
        <w:tc>
          <w:tcPr>
            <w:tcW w:type="dxa" w:w="3168"/>
          </w:tcPr>
          <w:p>
            <w:r>
              <w:rPr>
                <w:b/>
                <w:sz w:val="19"/>
              </w:rPr>
              <w:t>Keep the Proof and Career Evidence Starter</w:t>
            </w:r>
          </w:p>
        </w:tc>
        <w:tc>
          <w:tcPr>
            <w:tcW w:type="dxa" w:w="6480"/>
          </w:tcPr>
          <w:p>
            <w:r>
              <w:rPr>
                <w:sz w:val="19"/>
              </w:rPr>
              <w:t>Both are live and both are deliberately absent from the recorded continuation sequence. Keep the Proof at $49 belongs in follow-up, matched to the person who has done the work but has no record of it.</w:t>
            </w:r>
          </w:p>
        </w:tc>
      </w:tr>
      <w:tr>
        <w:trPr>
          <w:cantSplit w:val="true"/>
        </w:trPr>
        <w:tc>
          <w:tcPr>
            <w:tcW w:type="dxa" w:w="3168"/>
          </w:tcPr>
          <w:p>
            <w:r>
              <w:rPr>
                <w:b/>
                <w:sz w:val="19"/>
              </w:rPr>
              <w:t>Preserve unchanged</w:t>
            </w:r>
          </w:p>
        </w:tc>
        <w:tc>
          <w:tcPr>
            <w:tcW w:type="dxa" w:w="6480"/>
          </w:tcPr>
          <w:p>
            <w:r>
              <w:rPr>
                <w:sz w:val="19"/>
              </w:rPr>
              <w:t>September 23, free, 60 minutes, current live time, Field Kit $150.</w:t>
            </w:r>
          </w:p>
        </w:tc>
      </w:tr>
      <w:tr>
        <w:trPr>
          <w:cantSplit w:val="true"/>
        </w:trPr>
        <w:tc>
          <w:tcPr>
            <w:tcW w:type="dxa" w:w="3168"/>
          </w:tcPr>
          <w:p>
            <w:r>
              <w:rPr>
                <w:b/>
                <w:sz w:val="19"/>
              </w:rPr>
              <w:t>Verify every individual-professional CTA</w:t>
            </w:r>
          </w:p>
        </w:tc>
        <w:tc>
          <w:tcPr>
            <w:tcW w:type="dxa" w:w="6480"/>
          </w:tcPr>
          <w:p>
            <w:r>
              <w:rPr>
                <w:sz w:val="19"/>
              </w:rPr>
              <w:t>Each one should reach an individual path. The enterprise Advisory page is a different audience and a different offer.</w:t>
            </w:r>
          </w:p>
        </w:tc>
      </w:tr>
    </w:tbl>
    <w:p>
      <w:pPr>
        <w:spacing w:after="80"/>
      </w:pPr>
    </w:p>
    <w:p>
      <w:pPr>
        <w:spacing w:before="100" w:after="100" w:line="40" w:lineRule="exact"/>
        <w:pBdr>
          <w:bottom w:val="single" w:sz="6" w:space="1" w:color="B8C5D9"/>
        </w:pBdr>
      </w:pPr>
    </w:p>
    <w:p>
      <w:pPr>
        <w:spacing w:before="320" w:after="160"/>
      </w:pPr>
      <w:r>
        <w:rPr>
          <w:b/>
          <w:color w:val="0F2347"/>
          <w:sz w:val="32"/>
        </w:rPr>
        <w:t>G. What this checklist does not claim</w:t>
      </w:r>
    </w:p>
    <w:p>
      <w:pPr>
        <w:pStyle w:val="ListBullet"/>
        <w:spacing w:after="60"/>
      </w:pPr>
      <w:r>
        <w:rPr>
          <w:color w:val="B00000"/>
          <w:sz w:val="19"/>
        </w:rPr>
        <w:t>No live page was read. maven.com and temidayoafonja.com are both blocked by this environment's egress proxy, so the “current” values in sections A and C are quoted from the brief and have not been confirmed against the pages themselves.</w:t>
      </w:r>
    </w:p>
    <w:p>
      <w:pPr>
        <w:pStyle w:val="ListBullet"/>
        <w:spacing w:after="60"/>
      </w:pPr>
      <w:r>
        <w:rPr>
          <w:color w:val="B00000"/>
          <w:sz w:val="19"/>
        </w:rPr>
        <w:t>Nothing here has been published. Every item is a manual edit.</w:t>
      </w:r>
    </w:p>
    <w:p>
      <w:pPr>
        <w:pStyle w:val="ListBullet"/>
        <w:spacing w:after="60"/>
      </w:pPr>
      <w:r>
        <w:rPr>
          <w:color w:val="B00000"/>
          <w:sz w:val="19"/>
        </w:rPr>
        <w:t>The Private Capability Position Read is retired as an offer but is still live on the website. Removing it is the largest item in section F and it cannot be done from this package. Career Move Review has no route at all yet, which is why deck v2.0.6 keeps it off the participant-facing continuation slide.</w:t>
      </w:r>
    </w:p>
    <w:p>
      <w:pPr>
        <w:spacing w:before="100" w:after="100" w:line="40" w:lineRule="exact"/>
        <w:pBdr>
          <w:bottom w:val="single" w:sz="6" w:space="1" w:color="B8C5D9"/>
        </w:pBdr>
      </w:pPr>
    </w:p>
    <w:p>
      <w:pPr>
        <w:spacing w:after="0"/>
      </w:pPr>
      <w:r>
        <w:rPr>
          <w:b w:val="0"/>
          <w:i/>
          <w:color w:val="555555"/>
          <w:sz w:val="16"/>
        </w:rPr>
        <w:t>MANUAL MAVEN AND WEBSITE EDIT CHECKLIST v1.2  ·  INTERNAL ONLY  ·  Prepared Saturday, September 19, 2026 at 8:30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