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line="283" w:lineRule="auto"/>
      </w:pPr>
      <w:r>
        <w:rPr>
          <w:b/>
          <w:i w:val="0"/>
          <w:color w:val="9B2C10"/>
          <w:sz w:val="44"/>
        </w:rPr>
        <w:t>EDITOR ONLY</w:t>
      </w:r>
    </w:p>
    <w:p>
      <w:pPr>
        <w:spacing w:before="0" w:after="32" w:line="283" w:lineRule="auto"/>
      </w:pPr>
      <w:r>
        <w:rPr>
          <w:b/>
          <w:i w:val="0"/>
          <w:caps/>
          <w:color w:val="8A6D1E"/>
          <w:sz w:val="24"/>
        </w:rPr>
        <w:t>VIDEO 1</w:t>
      </w:r>
    </w:p>
    <w:p>
      <w:pPr>
        <w:spacing w:before="0" w:after="96" w:line="264" w:lineRule="auto"/>
      </w:pPr>
      <w:r>
        <w:rPr>
          <w:b/>
          <w:i w:val="0"/>
          <w:color w:val="0F2346"/>
          <w:sz w:val="40"/>
        </w:rPr>
        <w:t>How to Change Jobs Without Starting Your Career Over</w:t>
      </w:r>
    </w:p>
    <w:p>
      <w:pPr>
        <w:spacing w:before="0" w:after="256" w:line="283" w:lineRule="auto"/>
        <w:shd w:val="clear" w:fill="F3F0E8"/>
      </w:pPr>
      <w:r>
        <w:rPr>
          <w:b w:val="0"/>
          <w:i/>
          <w:color w:val="5A6B82"/>
          <w:sz w:val="22"/>
        </w:rPr>
        <w:t>This document is for the editor. It is NOT Temidayo's teleprompter and must not be placed on the recording screen.</w:t>
      </w:r>
    </w:p>
    <w:p>
      <w:pPr>
        <w:spacing w:before="224" w:after="128" w:line="283" w:lineRule="auto"/>
        <w:keepLines w:val="1"/>
        <w:keepNext w:val="1"/>
      </w:pPr>
      <w:r>
        <w:rPr>
          <w:b/>
          <w:i w:val="0"/>
          <w:color w:val="0F2346"/>
          <w:sz w:val="28"/>
        </w:rPr>
        <w:t>Locked metadata</w:t>
      </w:r>
    </w:p>
    <w:p>
      <w:pPr>
        <w:spacing w:before="0" w:after="80" w:line="283" w:lineRule="auto"/>
        <w:keepLines w:val="1"/>
      </w:pPr>
      <w:r>
        <w:rPr>
          <w:b w:val="0"/>
          <w:i w:val="0"/>
          <w:sz w:val="22"/>
        </w:rPr>
        <w:t>Public title:          How to Change Jobs Without Starting Your Career Over</w:t>
      </w:r>
    </w:p>
    <w:p>
      <w:pPr>
        <w:spacing w:before="0" w:after="80" w:line="283" w:lineRule="auto"/>
        <w:keepLines w:val="1"/>
      </w:pPr>
      <w:r>
        <w:rPr>
          <w:b w:val="0"/>
          <w:i w:val="0"/>
          <w:sz w:val="22"/>
        </w:rPr>
        <w:t>On-screen deck title:  How I Changed Jobs Without Starting My Career Over</w:t>
      </w:r>
    </w:p>
    <w:p>
      <w:pPr>
        <w:spacing w:before="0" w:after="80" w:line="283" w:lineRule="auto"/>
        <w:keepLines w:val="1"/>
      </w:pPr>
      <w:r>
        <w:rPr>
          <w:b w:val="0"/>
          <w:i w:val="0"/>
          <w:sz w:val="22"/>
        </w:rPr>
        <w:t>Thumbnail:             DON’T START FROM ZERO</w:t>
      </w:r>
    </w:p>
    <w:p>
      <w:pPr>
        <w:spacing w:before="0" w:after="80" w:line="283" w:lineRule="auto"/>
        <w:keepLines w:val="1"/>
      </w:pPr>
      <w:r>
        <w:rPr>
          <w:b w:val="0"/>
          <w:i w:val="0"/>
          <w:sz w:val="22"/>
        </w:rPr>
        <w:t>Primary CTA:           Free Career Evidence Starter</w:t>
      </w:r>
    </w:p>
    <w:p>
      <w:pPr>
        <w:spacing w:before="0" w:after="80" w:line="283" w:lineRule="auto"/>
        <w:keepLines w:val="1"/>
      </w:pPr>
      <w:r>
        <w:rPr>
          <w:b w:val="0"/>
          <w:i w:val="0"/>
          <w:sz w:val="22"/>
        </w:rPr>
        <w:t>CTA URL:               https://temidayoafonja.com/career-evidence-starter</w:t>
      </w:r>
    </w:p>
    <w:p>
      <w:pPr>
        <w:spacing w:before="0" w:after="80" w:line="283" w:lineRule="auto"/>
        <w:keepLines w:val="1"/>
      </w:pPr>
      <w:r>
        <w:rPr>
          <w:b w:val="0"/>
          <w:i w:val="0"/>
          <w:sz w:val="22"/>
        </w:rPr>
        <w:t>Watch next:            Is Your Job Making You Less Marketable?</w:t>
      </w:r>
    </w:p>
    <w:p>
      <w:pPr>
        <w:spacing w:before="0" w:after="80" w:line="283" w:lineRule="auto"/>
        <w:keepLines w:val="1"/>
      </w:pPr>
      <w:r>
        <w:rPr>
          <w:b w:val="0"/>
          <w:i w:val="0"/>
          <w:sz w:val="22"/>
        </w:rPr>
        <w:t>Core distinction:      A new context does not make an experienced professional new to everything. The task is to identify what travels, support it with evidence and name what must still be learned.</w:t>
      </w:r>
    </w:p>
    <w:p>
      <w:pPr>
        <w:spacing w:before="128" w:after="160" w:line="283" w:lineRule="auto"/>
        <w:shd w:val="clear" w:fill="F3F0E8"/>
        <w:keepLines w:val="1"/>
      </w:pPr>
      <w:r>
        <w:rPr>
          <w:b/>
          <w:i w:val="0"/>
          <w:color w:val="9B2C10"/>
          <w:sz w:val="22"/>
        </w:rPr>
        <w:t>The public title and the on-screen deck title differ INTENTIONALLY. Do not change the title slide to match the public metadata title.</w:t>
      </w:r>
    </w:p>
    <w:p>
      <w:pPr>
        <w:spacing w:before="64" w:after="160" w:line="283" w:lineRule="auto"/>
        <w:shd w:val="clear" w:fill="F3F0E8"/>
        <w:keepLines w:val="1"/>
      </w:pPr>
      <w:r>
        <w:rPr>
          <w:b/>
          <w:i w:val="0"/>
          <w:color w:val="0F2346"/>
          <w:sz w:val="22"/>
        </w:rPr>
        <w:t>STATUS. This is a replacement recording package. The currently published Video 1, its published description, the slides, the reveal deck and the thumbnail all remain untouched until the replacement has been recorded, edited, reviewed and uploaded.</w:t>
      </w:r>
    </w:p>
    <w:p>
      <w:pPr>
        <w:spacing w:before="224" w:after="128" w:line="283" w:lineRule="auto"/>
        <w:keepLines w:val="1"/>
        <w:keepNext w:val="1"/>
      </w:pPr>
      <w:r>
        <w:rPr>
          <w:b/>
          <w:i w:val="0"/>
          <w:color w:val="0F2346"/>
          <w:sz w:val="28"/>
        </w:rPr>
        <w:t>First 30 seconds — H.I.T.</w:t>
      </w:r>
    </w:p>
    <w:p>
      <w:pPr>
        <w:spacing w:before="0" w:after="128" w:line="283" w:lineRule="auto"/>
      </w:pPr>
      <w:r>
        <w:rPr>
          <w:b w:val="0"/>
          <w:i w:val="0"/>
          <w:sz w:val="22"/>
        </w:rPr>
        <w:t>H = Hook. I = Interest. T = Trust. The opening must work as one audiovisual unit: immediate conversational tension, meaningful visual interest, a relevant concrete reason to trust Temidayo, and a clear viewer payoff by roughly 20 to 30 seconds. No generic channel welcome before the promise. No forced statistic. No résumé recital.</w:t>
      </w:r>
    </w:p>
    <w:p>
      <w:pPr>
        <w:spacing w:before="0" w:after="128" w:line="283" w:lineRule="auto"/>
      </w:pPr>
      <w:r>
        <w:rPr>
          <w:b w:val="0"/>
          <w:i/>
          <w:color w:val="5A6B82"/>
          <w:sz w:val="22"/>
        </w:rPr>
        <w:t>The visual carries the chronology. Temidayo's voice carries the meaning.</w:t>
      </w:r>
    </w:p>
    <w:p>
      <w:pPr>
        <w:spacing w:before="0" w:after="224" w:line="283" w:lineRule="auto"/>
      </w:pPr>
      <w:r>
        <w:rPr>
          <w:b w:val="0"/>
          <w:i/>
          <w:color w:val="5A6B82"/>
          <w:sz w:val="22"/>
        </w:rPr>
        <w:t>This supersedes the older Video 1 instruction that kept Temidayo visually static or full-screen for roughly the first 45 seconds. The existing slides themselves are unchanged.</w:t>
      </w:r>
    </w:p>
    <w:p>
      <w:pPr>
        <w:spacing w:before="160" w:after="80" w:line="283" w:lineRule="auto"/>
        <w:keepLines w:val="1"/>
        <w:keepNext w:val="1"/>
      </w:pPr>
      <w:r>
        <w:rPr>
          <w:b/>
          <w:i w:val="0"/>
          <w:color w:val="0F2346"/>
          <w:sz w:val="23"/>
        </w:rPr>
        <w:t>0:00–0:07</w:t>
      </w:r>
    </w:p>
    <w:p>
      <w:pPr>
        <w:spacing w:before="0" w:after="128" w:line="283" w:lineRule="auto"/>
        <w:shd w:val="clear" w:fill="F3F0E8"/>
      </w:pPr>
      <w:r>
        <w:rPr>
          <w:b w:val="0"/>
          <w:i/>
          <w:color w:val="5A6B82"/>
          <w:sz w:val="21"/>
        </w:rPr>
        <w:t>Spoken anchor:  “Changing jobs can make years of experience feel as though they belong to the place you’re leaving.”</w:t>
      </w:r>
    </w:p>
    <w:p>
      <w:pPr>
        <w:spacing w:before="0" w:after="96" w:line="283" w:lineRule="auto"/>
        <w:keepLines w:val="1"/>
      </w:pPr>
      <w:r>
        <w:rPr>
          <w:b/>
          <w:i w:val="0"/>
          <w:color w:val="8A6D1E"/>
          <w:sz w:val="22"/>
        </w:rPr>
        <w:t>H = HOOK</w:t>
      </w:r>
    </w:p>
    <w:p>
      <w:pPr>
        <w:spacing w:before="0" w:after="80" w:line="283" w:lineRule="auto"/>
        <w:keepLines w:val="1"/>
      </w:pPr>
      <w:r>
        <w:rPr>
          <w:b w:val="0"/>
          <w:i w:val="0"/>
          <w:sz w:val="22"/>
        </w:rPr>
        <w:t>Visual: begin on Temidayo, medium/tight, direct to camera.</w:t>
      </w:r>
    </w:p>
    <w:p>
      <w:pPr>
        <w:spacing w:before="0" w:after="80" w:line="283" w:lineRule="auto"/>
        <w:keepLines w:val="1"/>
      </w:pPr>
      <w:r>
        <w:rPr>
          <w:b w:val="0"/>
          <w:i w:val="0"/>
          <w:sz w:val="22"/>
        </w:rPr>
        <w:t>On-screen hook:  DOES YOUR EXPERIENCE STILL COUNT?</w:t>
      </w:r>
    </w:p>
    <w:p>
      <w:pPr>
        <w:spacing w:before="0" w:after="80" w:line="283" w:lineRule="auto"/>
        <w:keepLines w:val="1"/>
      </w:pPr>
      <w:r>
        <w:rPr>
          <w:b w:val="0"/>
          <w:i w:val="0"/>
          <w:sz w:val="22"/>
        </w:rPr>
        <w:t>No title card before this. No résumé animation, stock career footage or opening logo.</w:t>
      </w:r>
    </w:p>
    <w:p>
      <w:pPr>
        <w:spacing w:before="160" w:after="80" w:line="283" w:lineRule="auto"/>
        <w:keepLines w:val="1"/>
        <w:keepNext w:val="1"/>
      </w:pPr>
      <w:r>
        <w:rPr>
          <w:b/>
          <w:i w:val="0"/>
          <w:color w:val="0F2346"/>
          <w:sz w:val="23"/>
        </w:rPr>
        <w:t>0:07–0:12</w:t>
      </w:r>
    </w:p>
    <w:p>
      <w:pPr>
        <w:spacing w:before="0" w:after="128" w:line="283" w:lineRule="auto"/>
        <w:shd w:val="clear" w:fill="F3F0E8"/>
      </w:pPr>
      <w:r>
        <w:rPr>
          <w:b w:val="0"/>
          <w:i/>
          <w:color w:val="5A6B82"/>
          <w:sz w:val="21"/>
        </w:rPr>
        <w:t>Spoken anchor:  “But a new context does not make you new to everything.”</w:t>
      </w:r>
    </w:p>
    <w:p>
      <w:pPr>
        <w:spacing w:before="0" w:after="96" w:line="283" w:lineRule="auto"/>
        <w:keepLines w:val="1"/>
      </w:pPr>
      <w:r>
        <w:rPr>
          <w:b/>
          <w:i w:val="0"/>
          <w:color w:val="8A6D1E"/>
          <w:sz w:val="22"/>
        </w:rPr>
        <w:t>I = INTEREST</w:t>
      </w:r>
    </w:p>
    <w:p>
      <w:pPr>
        <w:spacing w:before="0" w:after="80" w:line="283" w:lineRule="auto"/>
        <w:keepLines w:val="1"/>
      </w:pPr>
      <w:r>
        <w:rPr>
          <w:b w:val="0"/>
          <w:i w:val="0"/>
          <w:sz w:val="22"/>
        </w:rPr>
        <w:t>Bring in:  NEW CONTEXT ≠ ZERO EXPERIENCE</w:t>
      </w:r>
    </w:p>
    <w:p>
      <w:pPr>
        <w:spacing w:before="0" w:after="80" w:line="283" w:lineRule="auto"/>
        <w:keepLines w:val="1"/>
      </w:pPr>
      <w:r>
        <w:rPr>
          <w:b w:val="0"/>
          <w:i w:val="0"/>
          <w:sz w:val="22"/>
        </w:rPr>
        <w:t>Keep the text restrained, large and mobile-readable.</w:t>
      </w:r>
    </w:p>
    <w:p>
      <w:pPr>
        <w:spacing w:before="0" w:after="80" w:line="283" w:lineRule="auto"/>
        <w:keepLines w:val="1"/>
      </w:pPr>
      <w:r>
        <w:rPr>
          <w:b w:val="0"/>
          <w:i w:val="0"/>
          <w:sz w:val="22"/>
        </w:rPr>
        <w:t>No beginner icon, zero graphic or literal reset animation.</w:t>
      </w:r>
    </w:p>
    <w:p>
      <w:pPr>
        <w:spacing w:before="160" w:after="80" w:line="283" w:lineRule="auto"/>
        <w:keepLines w:val="1"/>
        <w:keepNext w:val="1"/>
      </w:pPr>
      <w:r>
        <w:rPr>
          <w:b/>
          <w:i w:val="0"/>
          <w:color w:val="0F2346"/>
          <w:sz w:val="23"/>
        </w:rPr>
        <w:t>0:12–0:21</w:t>
      </w:r>
    </w:p>
    <w:p>
      <w:pPr>
        <w:spacing w:before="0" w:after="128" w:line="283" w:lineRule="auto"/>
        <w:shd w:val="clear" w:fill="F3F0E8"/>
      </w:pPr>
      <w:r>
        <w:rPr>
          <w:b w:val="0"/>
          <w:i/>
          <w:color w:val="5A6B82"/>
          <w:sz w:val="21"/>
        </w:rPr>
        <w:t>Spoken anchor:  “Over roughly eighteen years, my career has crossed very different functions and industries…”</w:t>
      </w:r>
    </w:p>
    <w:p>
      <w:pPr>
        <w:spacing w:before="0" w:after="96" w:line="283" w:lineRule="auto"/>
        <w:keepLines w:val="1"/>
      </w:pPr>
      <w:r>
        <w:rPr>
          <w:b/>
          <w:i w:val="0"/>
          <w:color w:val="8A6D1E"/>
          <w:sz w:val="22"/>
        </w:rPr>
        <w:t>T = TRUST  /  I = INTEREST</w:t>
      </w:r>
    </w:p>
    <w:p>
      <w:pPr>
        <w:spacing w:before="0" w:after="80" w:line="283" w:lineRule="auto"/>
        <w:keepLines w:val="1"/>
      </w:pPr>
      <w:r>
        <w:rPr>
          <w:b w:val="0"/>
          <w:i w:val="0"/>
          <w:sz w:val="22"/>
        </w:rPr>
        <w:t>Briefly show the existing career-path progression:</w:t>
      </w:r>
    </w:p>
    <w:p>
      <w:pPr>
        <w:spacing w:before="0" w:after="80" w:line="283" w:lineRule="auto"/>
        <w:keepLines w:val="1"/>
      </w:pPr>
      <w:r>
        <w:rPr>
          <w:b w:val="0"/>
          <w:i w:val="0"/>
          <w:sz w:val="22"/>
        </w:rPr>
        <w:t xml:space="preserve">     ACCOUNTING &amp; AUDIT  →  CYBERSECURITY  →  PEOPLE STRATEGY  →  CAPABILITY FORMATION</w:t>
      </w:r>
    </w:p>
    <w:p>
      <w:pPr>
        <w:spacing w:before="0" w:after="80" w:line="283" w:lineRule="auto"/>
        <w:keepLines w:val="1"/>
      </w:pPr>
      <w:r>
        <w:rPr>
          <w:b w:val="0"/>
          <w:i w:val="0"/>
          <w:sz w:val="22"/>
        </w:rPr>
        <w:t>IMPORTANT: Temidayo deliberately does not narrate the individual chapters aloud. The visual provides the chronology; her spoken words provide the meaning.</w:t>
      </w:r>
    </w:p>
    <w:p>
      <w:pPr>
        <w:spacing w:before="0" w:after="80" w:line="283" w:lineRule="auto"/>
        <w:keepLines w:val="1"/>
      </w:pPr>
      <w:r>
        <w:rPr>
          <w:b w:val="0"/>
          <w:i w:val="0"/>
          <w:sz w:val="22"/>
        </w:rPr>
        <w:t>Do not alter Slide 2. Use a restrained overlay, crop or adapted treatment based on the existing slide system. No employer logos.</w:t>
      </w:r>
    </w:p>
    <w:p>
      <w:pPr>
        <w:spacing w:before="160" w:after="80" w:line="283" w:lineRule="auto"/>
        <w:keepLines w:val="1"/>
        <w:keepNext w:val="1"/>
      </w:pPr>
      <w:r>
        <w:rPr>
          <w:b/>
          <w:i w:val="0"/>
          <w:color w:val="0F2346"/>
          <w:sz w:val="23"/>
        </w:rPr>
        <w:t>0:21–0:30</w:t>
      </w:r>
    </w:p>
    <w:p>
      <w:pPr>
        <w:spacing w:before="0" w:after="128" w:line="283" w:lineRule="auto"/>
        <w:shd w:val="clear" w:fill="F3F0E8"/>
      </w:pPr>
      <w:r>
        <w:rPr>
          <w:b w:val="0"/>
          <w:i/>
          <w:color w:val="5A6B82"/>
          <w:sz w:val="21"/>
        </w:rPr>
        <w:t>Spoken anchor:  “I’ll show you three things…”</w:t>
      </w:r>
    </w:p>
    <w:p>
      <w:pPr>
        <w:spacing w:before="0" w:after="96" w:line="283" w:lineRule="auto"/>
        <w:keepLines w:val="1"/>
      </w:pPr>
      <w:r>
        <w:rPr>
          <w:b/>
          <w:i w:val="0"/>
          <w:color w:val="8A6D1E"/>
          <w:sz w:val="22"/>
        </w:rPr>
        <w:t>PAYOFF</w:t>
      </w:r>
    </w:p>
    <w:p>
      <w:pPr>
        <w:spacing w:before="0" w:after="80" w:line="283" w:lineRule="auto"/>
        <w:keepLines w:val="1"/>
      </w:pPr>
      <w:r>
        <w:rPr>
          <w:b w:val="0"/>
          <w:i w:val="0"/>
          <w:sz w:val="22"/>
        </w:rPr>
        <w:t>Progressively preview:</w:t>
      </w:r>
    </w:p>
    <w:p>
      <w:pPr>
        <w:spacing w:before="0" w:after="80" w:line="283" w:lineRule="auto"/>
        <w:keepLines w:val="1"/>
      </w:pPr>
      <w:r>
        <w:rPr>
          <w:b w:val="0"/>
          <w:i w:val="0"/>
          <w:sz w:val="22"/>
        </w:rPr>
        <w:t xml:space="preserve">     LOOK UNDERNEATH THE TITLE</w:t>
      </w:r>
    </w:p>
    <w:p>
      <w:pPr>
        <w:spacing w:before="0" w:after="80" w:line="283" w:lineRule="auto"/>
        <w:keepLines w:val="1"/>
      </w:pPr>
      <w:r>
        <w:rPr>
          <w:b w:val="0"/>
          <w:i w:val="0"/>
          <w:sz w:val="22"/>
        </w:rPr>
        <w:t xml:space="preserve">     EXPLAIN WHAT CHANGED</w:t>
      </w:r>
    </w:p>
    <w:p>
      <w:pPr>
        <w:spacing w:before="0" w:after="80" w:line="283" w:lineRule="auto"/>
        <w:keepLines w:val="1"/>
      </w:pPr>
      <w:r>
        <w:rPr>
          <w:b w:val="0"/>
          <w:i w:val="0"/>
          <w:sz w:val="22"/>
        </w:rPr>
        <w:t xml:space="preserve">     KEEP THE EVIDENCE</w:t>
      </w:r>
    </w:p>
    <w:p>
      <w:pPr>
        <w:spacing w:before="0" w:after="80" w:line="283" w:lineRule="auto"/>
        <w:keepLines w:val="1"/>
      </w:pPr>
      <w:r>
        <w:rPr>
          <w:b w:val="0"/>
          <w:i w:val="0"/>
          <w:sz w:val="22"/>
        </w:rPr>
        <w:t>Return cleanly to Temidayo before moving into the existing title slide.</w:t>
      </w:r>
    </w:p>
    <w:p>
      <w:pPr>
        <w:spacing w:before="0" w:after="80" w:line="283" w:lineRule="auto"/>
        <w:keepLines w:val="1"/>
      </w:pPr>
      <w:r>
        <w:rPr>
          <w:b w:val="0"/>
          <w:i w:val="0"/>
          <w:sz w:val="22"/>
        </w:rPr>
        <w:t>This is a micro-preview only. Do not replace or redesign Slide 10.</w:t>
      </w:r>
    </w:p>
    <w:p>
      <w:pPr>
        <w:spacing w:before="224" w:after="128" w:line="283" w:lineRule="auto"/>
        <w:keepLines w:val="1"/>
        <w:keepNext w:val="1"/>
      </w:pPr>
      <w:r>
        <w:rPr>
          <w:b/>
          <w:i w:val="0"/>
          <w:color w:val="0F2346"/>
          <w:sz w:val="28"/>
        </w:rPr>
        <w:t>Editorial rhythm after the opening</w:t>
      </w:r>
    </w:p>
    <w:p>
      <w:pPr>
        <w:spacing w:before="0" w:after="96" w:line="283" w:lineRule="auto"/>
      </w:pPr>
      <w:r>
        <w:rPr>
          <w:b w:val="0"/>
          <w:i w:val="0"/>
          <w:sz w:val="22"/>
        </w:rPr>
        <w:t>The first roughly 30 seconds may be more visually active than the remainder. Do NOT read H.I.T. as permission for constant motion.</w:t>
      </w:r>
    </w:p>
    <w:p>
      <w:pPr>
        <w:spacing w:before="0" w:after="96" w:line="283" w:lineRule="auto"/>
      </w:pPr>
      <w:r>
        <w:rPr>
          <w:b w:val="0"/>
          <w:i w:val="0"/>
          <w:sz w:val="22"/>
        </w:rPr>
        <w:t>After the opening:</w:t>
      </w:r>
    </w:p>
    <w:p>
      <w:pPr>
        <w:spacing w:before="0" w:after="64" w:line="283" w:lineRule="auto"/>
        <w:keepLines w:val="1"/>
      </w:pPr>
      <w:r>
        <w:rPr>
          <w:b w:val="0"/>
          <w:i w:val="0"/>
          <w:sz w:val="22"/>
        </w:rPr>
        <w:t>—  preserve Temidayo's natural pace;</w:t>
      </w:r>
    </w:p>
    <w:p>
      <w:pPr>
        <w:spacing w:before="0" w:after="64" w:line="283" w:lineRule="auto"/>
        <w:keepLines w:val="1"/>
      </w:pPr>
      <w:r>
        <w:rPr>
          <w:b w:val="0"/>
          <w:i w:val="0"/>
          <w:sz w:val="22"/>
        </w:rPr>
        <w:t>—  allow reflective pauses;</w:t>
      </w:r>
    </w:p>
    <w:p>
      <w:pPr>
        <w:spacing w:before="0" w:after="64" w:line="283" w:lineRule="auto"/>
        <w:keepLines w:val="1"/>
      </w:pPr>
      <w:r>
        <w:rPr>
          <w:b w:val="0"/>
          <w:i w:val="0"/>
          <w:sz w:val="22"/>
        </w:rPr>
        <w:t>—  use the existing slides as teaching support;</w:t>
      </w:r>
    </w:p>
    <w:p>
      <w:pPr>
        <w:spacing w:before="0" w:after="64" w:line="283" w:lineRule="auto"/>
        <w:keepLines w:val="1"/>
      </w:pPr>
      <w:r>
        <w:rPr>
          <w:b w:val="0"/>
          <w:i w:val="0"/>
          <w:sz w:val="22"/>
        </w:rPr>
        <w:t>—  let the slide carry lists and chronology;</w:t>
      </w:r>
    </w:p>
    <w:p>
      <w:pPr>
        <w:spacing w:before="0" w:after="64" w:line="283" w:lineRule="auto"/>
        <w:keepLines w:val="1"/>
      </w:pPr>
      <w:r>
        <w:rPr>
          <w:b w:val="0"/>
          <w:i w:val="0"/>
          <w:sz w:val="22"/>
        </w:rPr>
        <w:t>—  avoid constant punch-ins;</w:t>
      </w:r>
    </w:p>
    <w:p>
      <w:pPr>
        <w:spacing w:before="0" w:after="64" w:line="283" w:lineRule="auto"/>
        <w:keepLines w:val="1"/>
      </w:pPr>
      <w:r>
        <w:rPr>
          <w:b w:val="0"/>
          <w:i w:val="0"/>
          <w:sz w:val="22"/>
        </w:rPr>
        <w:t>—  avoid decorative B-roll;</w:t>
      </w:r>
    </w:p>
    <w:p>
      <w:pPr>
        <w:spacing w:before="0" w:after="64" w:line="283" w:lineRule="auto"/>
        <w:keepLines w:val="1"/>
      </w:pPr>
      <w:r>
        <w:rPr>
          <w:b w:val="0"/>
          <w:i w:val="0"/>
          <w:sz w:val="22"/>
        </w:rPr>
        <w:t>—  avoid unnecessary text duplication;</w:t>
      </w:r>
    </w:p>
    <w:p>
      <w:pPr>
        <w:spacing w:before="0" w:after="64" w:line="283" w:lineRule="auto"/>
        <w:keepLines w:val="1"/>
      </w:pPr>
      <w:r>
        <w:rPr>
          <w:b w:val="0"/>
          <w:i w:val="0"/>
          <w:sz w:val="22"/>
        </w:rPr>
        <w:t>—  avoid flashy transitions.</w:t>
      </w:r>
    </w:p>
    <w:p>
      <w:pPr>
        <w:spacing w:before="96" w:after="128" w:line="283" w:lineRule="auto"/>
      </w:pPr>
      <w:r>
        <w:rPr>
          <w:b w:val="0"/>
          <w:i w:val="0"/>
          <w:sz w:val="22"/>
        </w:rPr>
        <w:t>The edit should remain premium, calm, intelligent and editorial.</w:t>
      </w:r>
    </w:p>
    <w:p>
      <w:pPr>
        <w:spacing w:before="224" w:after="128" w:line="283" w:lineRule="auto"/>
        <w:keepLines w:val="1"/>
        <w:keepNext w:val="1"/>
      </w:pPr>
      <w:r>
        <w:rPr>
          <w:b/>
          <w:i w:val="0"/>
          <w:color w:val="0F2346"/>
          <w:sz w:val="28"/>
        </w:rPr>
        <w:t>Existing slide system</w:t>
      </w:r>
    </w:p>
    <w:p>
      <w:pPr>
        <w:spacing w:before="0" w:after="128" w:line="283" w:lineRule="auto"/>
      </w:pPr>
      <w:r>
        <w:rPr>
          <w:b w:val="0"/>
          <w:i w:val="0"/>
          <w:sz w:val="22"/>
        </w:rPr>
        <w:t>The existing Video 1 v2.4 visual system is authoritative and UNCHANGED: exactly 13 main slides and exactly 22 reveal-build frames. Do not add, delete, redesign or reorder slides or reveal frames.</w:t>
      </w:r>
    </w:p>
    <w:p>
      <w:pPr>
        <w:spacing w:before="0" w:after="48" w:line="283" w:lineRule="auto"/>
        <w:keepLines w:val="1"/>
      </w:pPr>
      <w:r>
        <w:rPr>
          <w:b w:val="0"/>
          <w:i w:val="0"/>
          <w:sz w:val="21"/>
        </w:rPr>
        <w:t>Slide 1   Title</w:t>
      </w:r>
    </w:p>
    <w:p>
      <w:pPr>
        <w:spacing w:before="0" w:after="48" w:line="283" w:lineRule="auto"/>
        <w:keepLines w:val="1"/>
      </w:pPr>
      <w:r>
        <w:rPr>
          <w:b w:val="0"/>
          <w:i w:val="0"/>
          <w:sz w:val="21"/>
        </w:rPr>
        <w:t>Slide 2   My Career Path</w:t>
      </w:r>
    </w:p>
    <w:p>
      <w:pPr>
        <w:spacing w:before="0" w:after="48" w:line="283" w:lineRule="auto"/>
        <w:keepLines w:val="1"/>
      </w:pPr>
      <w:r>
        <w:rPr>
          <w:b w:val="0"/>
          <w:i w:val="0"/>
          <w:sz w:val="21"/>
        </w:rPr>
        <w:t>Slide 3   01: Look Underneath the Title</w:t>
      </w:r>
    </w:p>
    <w:p>
      <w:pPr>
        <w:spacing w:before="0" w:after="48" w:line="283" w:lineRule="auto"/>
        <w:keepLines w:val="1"/>
      </w:pPr>
      <w:r>
        <w:rPr>
          <w:b w:val="0"/>
          <w:i w:val="0"/>
          <w:sz w:val="21"/>
        </w:rPr>
        <w:t>Slide 4   Move One</w:t>
      </w:r>
    </w:p>
    <w:p>
      <w:pPr>
        <w:spacing w:before="0" w:after="48" w:line="283" w:lineRule="auto"/>
        <w:keepLines w:val="1"/>
      </w:pPr>
      <w:r>
        <w:rPr>
          <w:b w:val="0"/>
          <w:i w:val="0"/>
          <w:sz w:val="21"/>
        </w:rPr>
        <w:t>Slide 5   02: Explain What the Work Changed</w:t>
      </w:r>
    </w:p>
    <w:p>
      <w:pPr>
        <w:spacing w:before="0" w:after="48" w:line="283" w:lineRule="auto"/>
        <w:keepLines w:val="1"/>
      </w:pPr>
      <w:r>
        <w:rPr>
          <w:b w:val="0"/>
          <w:i w:val="0"/>
          <w:sz w:val="21"/>
        </w:rPr>
        <w:t>Slide 6   Move Two</w:t>
      </w:r>
    </w:p>
    <w:p>
      <w:pPr>
        <w:spacing w:before="0" w:after="48" w:line="283" w:lineRule="auto"/>
        <w:keepLines w:val="1"/>
      </w:pPr>
      <w:r>
        <w:rPr>
          <w:b w:val="0"/>
          <w:i w:val="0"/>
          <w:sz w:val="21"/>
        </w:rPr>
        <w:t>Slide 7   One Result: 47 to 75</w:t>
      </w:r>
    </w:p>
    <w:p>
      <w:pPr>
        <w:spacing w:before="0" w:after="48" w:line="283" w:lineRule="auto"/>
        <w:keepLines w:val="1"/>
      </w:pPr>
      <w:r>
        <w:rPr>
          <w:b w:val="0"/>
          <w:i w:val="0"/>
          <w:sz w:val="21"/>
        </w:rPr>
        <w:t>Slide 8   03: Keep Evidence Before You Need It</w:t>
      </w:r>
    </w:p>
    <w:p>
      <w:pPr>
        <w:spacing w:before="0" w:after="48" w:line="283" w:lineRule="auto"/>
        <w:keepLines w:val="1"/>
      </w:pPr>
      <w:r>
        <w:rPr>
          <w:b w:val="0"/>
          <w:i w:val="0"/>
          <w:sz w:val="21"/>
        </w:rPr>
        <w:t>Slide 9   Move Three</w:t>
      </w:r>
    </w:p>
    <w:p>
      <w:pPr>
        <w:spacing w:before="0" w:after="48" w:line="283" w:lineRule="auto"/>
        <w:keepLines w:val="1"/>
      </w:pPr>
      <w:r>
        <w:rPr>
          <w:b w:val="0"/>
          <w:i w:val="0"/>
          <w:sz w:val="21"/>
        </w:rPr>
        <w:t>Slide 10  Three Things I Learned to Do</w:t>
      </w:r>
    </w:p>
    <w:p>
      <w:pPr>
        <w:spacing w:before="0" w:after="48" w:line="283" w:lineRule="auto"/>
        <w:keepLines w:val="1"/>
      </w:pPr>
      <w:r>
        <w:rPr>
          <w:b w:val="0"/>
          <w:i w:val="0"/>
          <w:sz w:val="21"/>
        </w:rPr>
        <w:t>Slide 11  Before Your Next Move</w:t>
      </w:r>
    </w:p>
    <w:p>
      <w:pPr>
        <w:spacing w:before="0" w:after="48" w:line="283" w:lineRule="auto"/>
        <w:keepLines w:val="1"/>
      </w:pPr>
      <w:r>
        <w:rPr>
          <w:b w:val="0"/>
          <w:i w:val="0"/>
          <w:sz w:val="21"/>
        </w:rPr>
        <w:t>Slide 12  Career Evidence Starter  (CTA corrected)</w:t>
      </w:r>
    </w:p>
    <w:p>
      <w:pPr>
        <w:spacing w:before="0" w:after="48" w:line="283" w:lineRule="auto"/>
        <w:keepLines w:val="1"/>
      </w:pPr>
      <w:r>
        <w:rPr>
          <w:b w:val="0"/>
          <w:i w:val="0"/>
          <w:sz w:val="21"/>
        </w:rPr>
        <w:t>Slide 13  Watch Next</w:t>
      </w:r>
    </w:p>
    <w:p>
      <w:pPr>
        <w:spacing w:before="224" w:after="128" w:line="283" w:lineRule="auto"/>
        <w:keepLines w:val="1"/>
        <w:keepNext w:val="1"/>
      </w:pPr>
      <w:r>
        <w:rPr>
          <w:b/>
          <w:i w:val="0"/>
          <w:color w:val="0F2346"/>
          <w:sz w:val="28"/>
        </w:rPr>
        <w:t>Let the visual carry information</w:t>
      </w:r>
    </w:p>
    <w:p>
      <w:pPr>
        <w:spacing w:before="0" w:after="128" w:line="283" w:lineRule="auto"/>
      </w:pPr>
      <w:r>
        <w:rPr>
          <w:b w:val="0"/>
          <w:i w:val="0"/>
          <w:sz w:val="22"/>
        </w:rPr>
        <w:t>The production principle established in Videos 2 and 3 applies here. When the visual can carry information efficiently, Temidayo does not need to narrate every item. Do not add spoken lines to compensate for slide copy.</w:t>
      </w:r>
    </w:p>
    <w:p>
      <w:pPr>
        <w:spacing w:before="0" w:after="80" w:line="283" w:lineRule="auto"/>
        <w:keepLines w:val="1"/>
      </w:pPr>
      <w:r>
        <w:rPr>
          <w:b w:val="0"/>
          <w:i w:val="0"/>
          <w:sz w:val="22"/>
        </w:rPr>
        <w:t>Slide 2 — The career-path labels. Temidayo does not read the full path aloud.</w:t>
      </w:r>
    </w:p>
    <w:p>
      <w:pPr>
        <w:spacing w:before="0" w:after="80" w:line="283" w:lineRule="auto"/>
        <w:keepLines w:val="1"/>
      </w:pPr>
      <w:r>
        <w:rPr>
          <w:b w:val="0"/>
          <w:i w:val="0"/>
          <w:sz w:val="22"/>
        </w:rPr>
        <w:t>Slide 4 — The three questions that reveal the work beneath a title. Reveal them progressively.</w:t>
      </w:r>
    </w:p>
    <w:p>
      <w:pPr>
        <w:spacing w:before="0" w:after="80" w:line="283" w:lineRule="auto"/>
        <w:keepLines w:val="1"/>
      </w:pPr>
      <w:r>
        <w:rPr>
          <w:b w:val="0"/>
          <w:i w:val="0"/>
          <w:sz w:val="22"/>
        </w:rPr>
        <w:t>Slide 7 — The 47-to-75 evidence. Let the visual breathe.</w:t>
      </w:r>
    </w:p>
    <w:p>
      <w:pPr>
        <w:spacing w:before="0" w:after="80" w:line="283" w:lineRule="auto"/>
        <w:keepLines w:val="1"/>
      </w:pPr>
      <w:r>
        <w:rPr>
          <w:b w:val="0"/>
          <w:i w:val="0"/>
          <w:sz w:val="22"/>
        </w:rPr>
        <w:t>Slide 9 — Situation / My role / What changed / What this shows. Do not require Temidayo to repeat every line mechanically.</w:t>
      </w:r>
    </w:p>
    <w:p>
      <w:pPr>
        <w:spacing w:before="0" w:after="80" w:line="283" w:lineRule="auto"/>
        <w:keepLines w:val="1"/>
      </w:pPr>
      <w:r>
        <w:rPr>
          <w:b w:val="0"/>
          <w:i w:val="0"/>
          <w:sz w:val="22"/>
        </w:rPr>
        <w:t>Slide 11 — The three before-your-next-move questions. Reveal one at a time and allow a real pause.</w:t>
      </w:r>
    </w:p>
    <w:p>
      <w:pPr>
        <w:spacing w:before="224" w:after="128" w:line="283" w:lineRule="auto"/>
        <w:keepLines w:val="1"/>
        <w:keepNext w:val="1"/>
      </w:pPr>
      <w:r>
        <w:rPr>
          <w:b/>
          <w:i w:val="0"/>
          <w:color w:val="0F2346"/>
          <w:sz w:val="28"/>
        </w:rPr>
        <w:t>Evidence boundaries</w:t>
      </w:r>
    </w:p>
    <w:p>
      <w:pPr>
        <w:spacing w:before="0" w:after="96" w:line="283" w:lineRule="auto"/>
        <w:keepLines w:val="1"/>
      </w:pPr>
      <w:r>
        <w:rPr>
          <w:b/>
          <w:i w:val="0"/>
          <w:color w:val="0F2346"/>
          <w:sz w:val="22"/>
        </w:rPr>
        <w:t>The onboarding result must remain precisely bounded.</w:t>
      </w:r>
    </w:p>
    <w:p>
      <w:pPr>
        <w:spacing w:before="0" w:after="64" w:line="283" w:lineRule="auto"/>
        <w:keepLines w:val="1"/>
      </w:pPr>
      <w:r>
        <w:rPr>
          <w:b w:val="0"/>
          <w:i w:val="0"/>
          <w:sz w:val="22"/>
        </w:rPr>
        <w:t>—  Temidayo led an onboarding redesign WITH HER TEAM.</w:t>
      </w:r>
    </w:p>
    <w:p>
      <w:pPr>
        <w:spacing w:before="0" w:after="64" w:line="283" w:lineRule="auto"/>
        <w:keepLines w:val="1"/>
      </w:pPr>
      <w:r>
        <w:rPr>
          <w:b w:val="0"/>
          <w:i w:val="0"/>
          <w:sz w:val="22"/>
        </w:rPr>
        <w:t>—  One measure of how well new hires felt integrated moved from 47 to 75.</w:t>
      </w:r>
    </w:p>
    <w:p>
      <w:pPr>
        <w:spacing w:before="0" w:after="64" w:line="283" w:lineRule="auto"/>
        <w:keepLines w:val="1"/>
      </w:pPr>
      <w:r>
        <w:rPr>
          <w:b w:val="0"/>
          <w:i w:val="0"/>
          <w:sz w:val="22"/>
        </w:rPr>
        <w:t>—  It was one measure of new-hire integration.</w:t>
      </w:r>
    </w:p>
    <w:p>
      <w:pPr>
        <w:spacing w:before="0" w:after="64" w:line="283" w:lineRule="auto"/>
        <w:keepLines w:val="1"/>
      </w:pPr>
      <w:r>
        <w:rPr>
          <w:b w:val="0"/>
          <w:i w:val="0"/>
          <w:sz w:val="22"/>
        </w:rPr>
        <w:t>—  It was NOT a claim about every effect of the redesign.</w:t>
      </w:r>
    </w:p>
    <w:p>
      <w:pPr>
        <w:spacing w:before="0" w:after="64" w:line="283" w:lineRule="auto"/>
        <w:keepLines w:val="1"/>
      </w:pPr>
      <w:r>
        <w:rPr>
          <w:b w:val="0"/>
          <w:i w:val="0"/>
          <w:sz w:val="22"/>
        </w:rPr>
        <w:t>—  It was team-based work that Temidayo led. It was NOT solo work.</w:t>
      </w:r>
    </w:p>
    <w:p>
      <w:pPr>
        <w:spacing w:before="128" w:after="128" w:line="283" w:lineRule="auto"/>
        <w:shd w:val="clear" w:fill="F3F0E8"/>
        <w:keepLines w:val="1"/>
      </w:pPr>
      <w:r>
        <w:rPr>
          <w:b/>
          <w:i w:val="0"/>
          <w:color w:val="9B2C10"/>
          <w:sz w:val="22"/>
        </w:rPr>
        <w:t>Do not attach an approximately 30% retention improvement, a more-than-$2-million avoided-turnover figure, or any other undocumented result to this onboarding story.</w:t>
      </w:r>
    </w:p>
    <w:p>
      <w:pPr>
        <w:spacing w:before="64" w:after="128" w:line="283" w:lineRule="auto"/>
        <w:keepLines w:val="1"/>
      </w:pPr>
      <w:r>
        <w:rPr>
          <w:b w:val="0"/>
          <w:i w:val="0"/>
          <w:sz w:val="22"/>
        </w:rPr>
        <w:t>Do not imply that every part of Temidayo's experience transferred across contexts. Preserve the explicit boundary: some knowledge belongs to the company, industry, regulation, relationships or context; a move may require real relearning; being new to a context is not the same as being new to every underlying problem.</w:t>
      </w:r>
    </w:p>
    <w:p>
      <w:pPr>
        <w:spacing w:before="0" w:after="128" w:line="283" w:lineRule="auto"/>
        <w:keepLines w:val="1"/>
      </w:pPr>
      <w:r>
        <w:rPr>
          <w:b w:val="0"/>
          <w:i w:val="0"/>
          <w:sz w:val="22"/>
        </w:rPr>
        <w:t>Evidence preservation means a permitted, high-level record, in the person's own words, using information they are entitled to retain. Do not suggest taking confidential information, customer or employee data, proprietary documents, employer-owned files, or anything the person does not have the right to keep.</w:t>
      </w:r>
    </w:p>
    <w:p>
      <w:pPr>
        <w:spacing w:before="224" w:after="128" w:line="283" w:lineRule="auto"/>
        <w:keepLines w:val="1"/>
        <w:keepNext w:val="1"/>
      </w:pPr>
      <w:r>
        <w:rPr>
          <w:b/>
          <w:i w:val="0"/>
          <w:color w:val="0F2346"/>
          <w:sz w:val="28"/>
        </w:rPr>
        <w:t>Visual boundaries</w:t>
      </w:r>
    </w:p>
    <w:p>
      <w:pPr>
        <w:spacing w:before="0" w:after="80" w:line="283" w:lineRule="auto"/>
      </w:pPr>
      <w:r>
        <w:rPr>
          <w:b w:val="0"/>
          <w:i w:val="0"/>
          <w:sz w:val="22"/>
        </w:rPr>
        <w:t>Do not add:</w:t>
      </w:r>
    </w:p>
    <w:p>
      <w:pPr>
        <w:spacing w:before="0" w:after="48" w:line="283" w:lineRule="auto"/>
        <w:keepLines w:val="1"/>
      </w:pPr>
      <w:r>
        <w:rPr>
          <w:b w:val="0"/>
          <w:i w:val="0"/>
          <w:sz w:val="22"/>
        </w:rPr>
        <w:t>—  generic office B-roll;</w:t>
      </w:r>
    </w:p>
    <w:p>
      <w:pPr>
        <w:spacing w:before="0" w:after="48" w:line="283" w:lineRule="auto"/>
        <w:keepLines w:val="1"/>
      </w:pPr>
      <w:r>
        <w:rPr>
          <w:b w:val="0"/>
          <w:i w:val="0"/>
          <w:sz w:val="22"/>
        </w:rPr>
        <w:t>—  résumé icons;</w:t>
      </w:r>
    </w:p>
    <w:p>
      <w:pPr>
        <w:spacing w:before="0" w:after="48" w:line="283" w:lineRule="auto"/>
        <w:keepLines w:val="1"/>
      </w:pPr>
      <w:r>
        <w:rPr>
          <w:b w:val="0"/>
          <w:i w:val="0"/>
          <w:sz w:val="22"/>
        </w:rPr>
        <w:t>—  literal luggage or “carrying skills” imagery;</w:t>
      </w:r>
    </w:p>
    <w:p>
      <w:pPr>
        <w:spacing w:before="0" w:after="48" w:line="283" w:lineRule="auto"/>
        <w:keepLines w:val="1"/>
      </w:pPr>
      <w:r>
        <w:rPr>
          <w:b w:val="0"/>
          <w:i w:val="0"/>
          <w:sz w:val="22"/>
        </w:rPr>
        <w:t>—  ladder graphics;</w:t>
      </w:r>
    </w:p>
    <w:p>
      <w:pPr>
        <w:spacing w:before="0" w:after="48" w:line="283" w:lineRule="auto"/>
        <w:keepLines w:val="1"/>
      </w:pPr>
      <w:r>
        <w:rPr>
          <w:b w:val="0"/>
          <w:i w:val="0"/>
          <w:sz w:val="22"/>
        </w:rPr>
        <w:t>—  dramatic career-change montages;</w:t>
      </w:r>
    </w:p>
    <w:p>
      <w:pPr>
        <w:spacing w:before="0" w:after="48" w:line="283" w:lineRule="auto"/>
        <w:keepLines w:val="1"/>
      </w:pPr>
      <w:r>
        <w:rPr>
          <w:b w:val="0"/>
          <w:i w:val="0"/>
          <w:sz w:val="22"/>
        </w:rPr>
        <w:t>—  clocks or career-anniversary graphics;</w:t>
      </w:r>
    </w:p>
    <w:p>
      <w:pPr>
        <w:spacing w:before="0" w:after="48" w:line="283" w:lineRule="auto"/>
        <w:keepLines w:val="1"/>
      </w:pPr>
      <w:r>
        <w:rPr>
          <w:b w:val="0"/>
          <w:i w:val="0"/>
          <w:sz w:val="22"/>
        </w:rPr>
        <w:t>—  employer logos;</w:t>
      </w:r>
    </w:p>
    <w:p>
      <w:pPr>
        <w:spacing w:before="0" w:after="48" w:line="283" w:lineRule="auto"/>
        <w:keepLines w:val="1"/>
      </w:pPr>
      <w:r>
        <w:rPr>
          <w:b w:val="0"/>
          <w:i w:val="0"/>
          <w:sz w:val="22"/>
        </w:rPr>
        <w:t>—  constant zooms;</w:t>
      </w:r>
    </w:p>
    <w:p>
      <w:pPr>
        <w:spacing w:before="0" w:after="48" w:line="283" w:lineRule="auto"/>
        <w:keepLines w:val="1"/>
      </w:pPr>
      <w:r>
        <w:rPr>
          <w:b w:val="0"/>
          <w:i w:val="0"/>
          <w:sz w:val="22"/>
        </w:rPr>
        <w:t>—  artificial sound effects;</w:t>
      </w:r>
    </w:p>
    <w:p>
      <w:pPr>
        <w:spacing w:before="0" w:after="48" w:line="283" w:lineRule="auto"/>
        <w:keepLines w:val="1"/>
      </w:pPr>
      <w:r>
        <w:rPr>
          <w:b w:val="0"/>
          <w:i w:val="0"/>
          <w:sz w:val="22"/>
        </w:rPr>
        <w:t>—  red warning graphics;</w:t>
      </w:r>
    </w:p>
    <w:p>
      <w:pPr>
        <w:spacing w:before="0" w:after="48" w:line="283" w:lineRule="auto"/>
        <w:keepLines w:val="1"/>
      </w:pPr>
      <w:r>
        <w:rPr>
          <w:b w:val="0"/>
          <w:i w:val="0"/>
          <w:sz w:val="22"/>
        </w:rPr>
        <w:t>—  AI-generated scenery;</w:t>
      </w:r>
    </w:p>
    <w:p>
      <w:pPr>
        <w:spacing w:before="0" w:after="48" w:line="283" w:lineRule="auto"/>
        <w:keepLines w:val="1"/>
      </w:pPr>
      <w:r>
        <w:rPr>
          <w:b w:val="0"/>
          <w:i w:val="0"/>
          <w:sz w:val="22"/>
        </w:rPr>
        <w:t>—  synthetic or altered images of Temidayo;</w:t>
      </w:r>
    </w:p>
    <w:p>
      <w:pPr>
        <w:spacing w:before="0" w:after="48" w:line="283" w:lineRule="auto"/>
        <w:keepLines w:val="1"/>
      </w:pPr>
      <w:r>
        <w:rPr>
          <w:b w:val="0"/>
          <w:i w:val="0"/>
          <w:sz w:val="22"/>
        </w:rPr>
        <w:t>—  fake shock expressions;</w:t>
      </w:r>
    </w:p>
    <w:p>
      <w:pPr>
        <w:spacing w:before="0" w:after="48" w:line="283" w:lineRule="auto"/>
        <w:keepLines w:val="1"/>
      </w:pPr>
      <w:r>
        <w:rPr>
          <w:b w:val="0"/>
          <w:i w:val="0"/>
          <w:sz w:val="22"/>
        </w:rPr>
        <w:t>—  social-media template transitions.</w:t>
      </w:r>
    </w:p>
    <w:p>
      <w:pPr>
        <w:spacing w:before="96" w:after="128" w:line="283" w:lineRule="auto"/>
        <w:keepLines w:val="1"/>
      </w:pPr>
      <w:r>
        <w:rPr>
          <w:b/>
          <w:i w:val="0"/>
          <w:sz w:val="22"/>
        </w:rPr>
        <w:t>Preserve Temidayo's natural appearance.</w:t>
      </w:r>
    </w:p>
    <w:p>
      <w:pPr>
        <w:spacing w:before="224" w:after="128" w:line="283" w:lineRule="auto"/>
        <w:keepLines w:val="1"/>
        <w:keepNext w:val="1"/>
      </w:pPr>
      <w:r>
        <w:rPr>
          <w:b/>
          <w:i w:val="0"/>
          <w:color w:val="0F2346"/>
          <w:sz w:val="28"/>
        </w:rPr>
        <w:t>Slide 12 CTA correction — applied</w:t>
      </w:r>
    </w:p>
    <w:p>
      <w:pPr>
        <w:spacing w:before="0" w:after="128" w:line="283" w:lineRule="auto"/>
        <w:shd w:val="clear" w:fill="F3F0E8"/>
        <w:keepLines w:val="1"/>
      </w:pPr>
      <w:r>
        <w:rPr>
          <w:b/>
          <w:i w:val="0"/>
          <w:color w:val="9B2C10"/>
          <w:sz w:val="22"/>
        </w:rPr>
        <w:t>AUTHORISED AND APPLIED. The Capability Formation Field Kit CTA is SUPERSEDED for this video by the live Free Career Evidence Starter. Slide 12 and reveal frame 21 carry the new CTA. Text only; design system, typography family, palette, layout, box positions and composition preserved.</w:t>
      </w:r>
    </w:p>
    <w:p>
      <w:pPr>
        <w:spacing w:before="0" w:after="48" w:line="283" w:lineRule="auto"/>
        <w:keepLines w:val="1"/>
      </w:pPr>
      <w:r>
        <w:rPr>
          <w:b w:val="0"/>
          <w:i w:val="0"/>
          <w:sz w:val="21"/>
        </w:rPr>
        <w:t>FROM:  THE CAPABILITY FORMATION FIELD KIT</w:t>
      </w:r>
    </w:p>
    <w:p>
      <w:pPr>
        <w:spacing w:before="0" w:after="96" w:line="283" w:lineRule="auto"/>
        <w:keepLines w:val="1"/>
      </w:pPr>
      <w:r>
        <w:rPr>
          <w:b/>
          <w:i w:val="0"/>
          <w:sz w:val="21"/>
        </w:rPr>
        <w:t>TO:    FREE CAREER EVIDENCE STARTER</w:t>
      </w:r>
    </w:p>
    <w:p>
      <w:pPr>
        <w:spacing w:before="0" w:after="48" w:line="283" w:lineRule="auto"/>
        <w:keepLines w:val="1"/>
      </w:pPr>
      <w:r>
        <w:rPr>
          <w:b w:val="0"/>
          <w:i w:val="0"/>
          <w:sz w:val="21"/>
        </w:rPr>
        <w:t>FROM:  Is your job still / building you?</w:t>
      </w:r>
    </w:p>
    <w:p>
      <w:pPr>
        <w:spacing w:before="0" w:after="96" w:line="283" w:lineRule="auto"/>
        <w:keepLines w:val="1"/>
      </w:pPr>
      <w:r>
        <w:rPr>
          <w:b/>
          <w:i w:val="0"/>
          <w:sz w:val="21"/>
        </w:rPr>
        <w:t>TO:    ONE ACCOMPLISHMENT → / ONE PORTABLE PROOF LINE</w:t>
      </w:r>
    </w:p>
    <w:p>
      <w:pPr>
        <w:spacing w:before="0" w:after="48" w:line="283" w:lineRule="auto"/>
        <w:keepLines w:val="1"/>
      </w:pPr>
      <w:r>
        <w:rPr>
          <w:b w:val="0"/>
          <w:i w:val="0"/>
          <w:sz w:val="21"/>
        </w:rPr>
        <w:t>FROM:  Complete a private, evidence-led career position assessment using the last 90 days of your actual work.</w:t>
      </w:r>
    </w:p>
    <w:p>
      <w:pPr>
        <w:spacing w:before="0" w:after="96" w:line="283" w:lineRule="auto"/>
        <w:keepLines w:val="1"/>
      </w:pPr>
      <w:r>
        <w:rPr>
          <w:b/>
          <w:i w:val="0"/>
          <w:sz w:val="21"/>
        </w:rPr>
        <w:t>TO:    Turn one accomplishment into proof you can use in a performance review, interview, internal move or career pivot.</w:t>
      </w:r>
    </w:p>
    <w:p>
      <w:pPr>
        <w:spacing w:before="0" w:after="48" w:line="283" w:lineRule="auto"/>
        <w:keepLines w:val="1"/>
      </w:pPr>
      <w:r>
        <w:rPr>
          <w:b w:val="0"/>
          <w:i w:val="0"/>
          <w:sz w:val="21"/>
        </w:rPr>
        <w:t>FROM:  temidayoafonja.com/fieldkit</w:t>
      </w:r>
    </w:p>
    <w:p>
      <w:pPr>
        <w:spacing w:before="0" w:after="96" w:line="283" w:lineRule="auto"/>
        <w:keepLines w:val="1"/>
      </w:pPr>
      <w:r>
        <w:rPr>
          <w:b/>
          <w:i w:val="0"/>
          <w:sz w:val="21"/>
        </w:rPr>
        <w:t>TO:    temidayoafonja.com/career-evidence-starter</w:t>
      </w:r>
    </w:p>
    <w:p>
      <w:pPr>
        <w:spacing w:before="64" w:after="128" w:line="283" w:lineRule="auto"/>
        <w:keepLines w:val="1"/>
      </w:pPr>
      <w:r>
        <w:rPr>
          <w:b w:val="0"/>
          <w:i w:val="0"/>
          <w:color w:val="5A6B82"/>
          <w:sz w:val="21"/>
        </w:rPr>
        <w:t>Two type sizes came down because the new strings are materially longer and neither box can widen without colliding with the artifact images. The headline goes 32pt → 29pt: at 32pt no two-line split fits the 6.11in box, and a three-line block would collide with the body copy. The URL goes 20pt → 14pt: at 20pt it measures 6.50in and bursts the 5.00in button; at 14pt it is 4.51in and stays centred in it. Everything else on the slide is untouched.</w:t>
      </w:r>
    </w:p>
    <w:p>
      <w:pPr>
        <w:spacing w:before="0" w:after="160" w:line="283" w:lineRule="auto"/>
        <w:shd w:val="clear" w:fill="F3F0E8"/>
        <w:keepLines w:val="1"/>
      </w:pPr>
      <w:r>
        <w:rPr>
          <w:b/>
          <w:i w:val="0"/>
          <w:color w:val="0F2346"/>
          <w:sz w:val="22"/>
        </w:rPr>
        <w:t>CTA ARTWORK — CORRECTED. Slide 12 and reveal frame 21 now carry the REAL Career Evidence Starter artifact: the Starter cover in front and the Portable Proof Line page visible behind it, on the warm cream ground. Both images are the artifact's own pages, placed at the existing picture positions and sizes. No Field Kit imagery remains anywhere in either deck. Do not substitute generic AI graphics, an unrelated portrait, a decorative quote card or a fake worksheet, and never show the direct PDF URL. The artifact itself is the proof.</w:t>
      </w:r>
    </w:p>
    <w:p>
      <w:pPr>
        <w:spacing w:before="224" w:after="128" w:line="283" w:lineRule="auto"/>
        <w:keepLines w:val="1"/>
        <w:keepNext w:val="1"/>
      </w:pPr>
      <w:r>
        <w:rPr>
          <w:b/>
          <w:i w:val="0"/>
          <w:color w:val="0F2346"/>
          <w:sz w:val="28"/>
        </w:rPr>
        <w:t>CTA and watch next</w:t>
      </w:r>
    </w:p>
    <w:p>
      <w:pPr>
        <w:spacing w:before="0" w:after="80" w:line="283" w:lineRule="auto"/>
        <w:keepLines w:val="1"/>
      </w:pPr>
      <w:r>
        <w:rPr>
          <w:b w:val="0"/>
          <w:i w:val="0"/>
          <w:sz w:val="22"/>
        </w:rPr>
        <w:t>One offer only: Free Career Evidence Starter — https://temidayoafonja.com/career-evidence-starter</w:t>
      </w:r>
    </w:p>
    <w:p>
      <w:pPr>
        <w:spacing w:before="0" w:after="96" w:line="283" w:lineRule="auto"/>
        <w:keepLines w:val="1"/>
      </w:pPr>
      <w:r>
        <w:rPr>
          <w:b w:val="0"/>
          <w:i w:val="0"/>
          <w:color w:val="5A6B82"/>
          <w:sz w:val="21"/>
        </w:rPr>
        <w:t>Public descriptor: FREE CAREER ACCOMPLISHMENT TRACKER. Promise: Turn one accomplishment into proof you can use in a performance review, interview, internal move or career pivot. Outcome: one portable Proof Line. Expected time: about 10 to 15 focused minutes.</w:t>
      </w:r>
    </w:p>
    <w:p>
      <w:pPr>
        <w:spacing w:before="0" w:after="96" w:line="283" w:lineRule="auto"/>
        <w:keepLines w:val="1"/>
      </w:pPr>
      <w:r>
        <w:rPr>
          <w:b/>
          <w:i w:val="0"/>
          <w:color w:val="9B2C10"/>
          <w:sz w:val="22"/>
        </w:rPr>
        <w:t>Use the landing-page URL publicly. Never expose the direct PDF URL.</w:t>
      </w:r>
    </w:p>
    <w:p>
      <w:pPr>
        <w:spacing w:before="0" w:after="96" w:line="283" w:lineRule="auto"/>
        <w:keepLines w:val="1"/>
      </w:pPr>
      <w:r>
        <w:rPr>
          <w:b/>
          <w:i w:val="0"/>
          <w:sz w:val="22"/>
        </w:rPr>
        <w:t>Do not add the Capability Formation Field Kit, Keep the Proof, the Career Decision Evidence Check, The Capability Audit, Maven, a newsletter CTA or another product.</w:t>
      </w:r>
    </w:p>
    <w:p>
      <w:pPr>
        <w:spacing w:before="0" w:after="128" w:line="283" w:lineRule="auto"/>
        <w:keepLines w:val="1"/>
      </w:pPr>
      <w:r>
        <w:rPr>
          <w:b w:val="0"/>
          <w:i w:val="0"/>
          <w:sz w:val="22"/>
        </w:rPr>
        <w:t>The general Website, LinkedIn and Substack links may appear in the description's Connect and Explore section. Those are profile and navigation links, not competing product CTAs.</w:t>
      </w:r>
    </w:p>
    <w:p>
      <w:pPr>
        <w:spacing w:before="0" w:after="80" w:line="283" w:lineRule="auto"/>
        <w:keepLines w:val="1"/>
      </w:pPr>
      <w:r>
        <w:rPr>
          <w:b/>
          <w:i w:val="0"/>
          <w:sz w:val="22"/>
        </w:rPr>
        <w:t>Spoken watch-next route: Is Your Job Making You Less Marketable?</w:t>
      </w:r>
    </w:p>
    <w:p>
      <w:pPr>
        <w:spacing w:before="0" w:after="64" w:line="283" w:lineRule="auto"/>
        <w:keepLines w:val="1"/>
      </w:pPr>
      <w:r>
        <w:rPr>
          <w:b w:val="0"/>
          <w:i w:val="0"/>
          <w:sz w:val="22"/>
        </w:rPr>
        <w:t>—  add the direct Video 2 link to the description when Video 2 is public;</w:t>
      </w:r>
    </w:p>
    <w:p>
      <w:pPr>
        <w:spacing w:before="0" w:after="64" w:line="283" w:lineRule="auto"/>
        <w:keepLines w:val="1"/>
      </w:pPr>
      <w:r>
        <w:rPr>
          <w:b w:val="0"/>
          <w:i w:val="0"/>
          <w:sz w:val="22"/>
        </w:rPr>
        <w:t>—  use Video 2 as the direct clickable end-screen route when it is public;</w:t>
      </w:r>
    </w:p>
    <w:p>
      <w:pPr>
        <w:spacing w:before="0" w:after="64" w:line="283" w:lineRule="auto"/>
        <w:keepLines w:val="1"/>
      </w:pPr>
      <w:r>
        <w:rPr>
          <w:b w:val="0"/>
          <w:i w:val="0"/>
          <w:sz w:val="22"/>
        </w:rPr>
        <w:t>—  before Video 2 is public, use the Career Portability playlist if the playlist element is functioning;</w:t>
      </w:r>
    </w:p>
    <w:p>
      <w:pPr>
        <w:spacing w:before="0" w:after="64" w:line="283" w:lineRule="auto"/>
        <w:keepLines w:val="1"/>
      </w:pPr>
      <w:r>
        <w:rPr>
          <w:b w:val="0"/>
          <w:i w:val="0"/>
          <w:sz w:val="22"/>
        </w:rPr>
        <w:t>—  if the playlist element is unavailable, use YouTube's “best for viewer” option or another appropriate currently public video temporarily;</w:t>
      </w:r>
    </w:p>
    <w:p>
      <w:pPr>
        <w:spacing w:before="0" w:after="64" w:line="283" w:lineRule="auto"/>
        <w:keepLines w:val="1"/>
      </w:pPr>
      <w:r>
        <w:rPr>
          <w:b w:val="0"/>
          <w:i w:val="0"/>
          <w:sz w:val="22"/>
        </w:rPr>
        <w:t>—  update the end screen to point directly to Video 2 once Video 2 is public.</w:t>
      </w:r>
    </w:p>
    <w:p>
      <w:pPr>
        <w:spacing w:before="64" w:after="128" w:line="283" w:lineRule="auto"/>
        <w:keepLines w:val="1"/>
      </w:pPr>
      <w:r>
        <w:rPr>
          <w:b/>
          <w:i w:val="0"/>
          <w:color w:val="9B2C10"/>
          <w:sz w:val="22"/>
        </w:rPr>
        <w:t>Do not leave the end screen with Subscribe only.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