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 w:line="250" w:lineRule="auto"/>
      </w:pPr>
      <w:r>
        <w:rPr>
          <w:b/>
          <w:i w:val="0"/>
          <w:color w:val="9B2C10"/>
          <w:sz w:val="44"/>
        </w:rPr>
        <w:t>EDITOR ONLY</w:t>
      </w:r>
    </w:p>
    <w:p>
      <w:pPr>
        <w:spacing w:before="0" w:after="12" w:line="250" w:lineRule="auto"/>
      </w:pPr>
      <w:r>
        <w:rPr>
          <w:b/>
          <w:i w:val="0"/>
          <w:caps/>
          <w:color w:val="8A6D1E"/>
          <w:sz w:val="24"/>
        </w:rPr>
        <w:t>VIDEO 2  ·  v5.1 BELONGING + IDENTITY</w:t>
      </w:r>
    </w:p>
    <w:p>
      <w:pPr>
        <w:spacing w:before="0" w:after="36" w:line="250" w:lineRule="auto"/>
      </w:pPr>
      <w:r>
        <w:rPr>
          <w:b/>
          <w:i w:val="0"/>
          <w:color w:val="0F2346"/>
          <w:sz w:val="40"/>
        </w:rPr>
        <w:t>Is Your Job Making You Less Marketable?</w:t>
      </w:r>
    </w:p>
    <w:p>
      <w:pPr>
        <w:spacing w:before="0" w:after="96" w:line="250" w:lineRule="auto"/>
        <w:shd w:val="clear" w:fill="F3F0E8"/>
      </w:pPr>
      <w:r>
        <w:rPr>
          <w:b w:val="0"/>
          <w:i/>
          <w:color w:val="5A6B82"/>
          <w:sz w:val="22"/>
        </w:rPr>
        <w:t>This document is for the editor. It is NOT Temidayo's teleprompter and must not be placed on the recording screen.</w:t>
      </w:r>
    </w:p>
    <w:p>
      <w:pPr>
        <w:spacing w:before="84" w:after="48" w:line="250" w:lineRule="auto"/>
        <w:keepLines w:val="1"/>
        <w:keepNext w:val="1"/>
      </w:pPr>
      <w:r>
        <w:rPr>
          <w:b/>
          <w:i w:val="0"/>
          <w:color w:val="0F2346"/>
          <w:sz w:val="28"/>
        </w:rPr>
        <w:t>1.  Locked metadata</w:t>
      </w:r>
    </w:p>
    <w:p>
      <w:pPr>
        <w:spacing w:before="0" w:after="30" w:line="250" w:lineRule="auto"/>
        <w:keepLines w:val="1"/>
      </w:pPr>
      <w:r>
        <w:rPr>
          <w:b w:val="0"/>
          <w:i w:val="0"/>
          <w:sz w:val="22"/>
        </w:rPr>
        <w:t>Title:                   Is Your Job Making You Less Marketable?</w:t>
      </w:r>
    </w:p>
    <w:p>
      <w:pPr>
        <w:spacing w:before="0" w:after="30" w:line="250" w:lineRule="auto"/>
        <w:keepLines w:val="1"/>
      </w:pPr>
      <w:r>
        <w:rPr>
          <w:b w:val="0"/>
          <w:i w:val="0"/>
          <w:sz w:val="22"/>
        </w:rPr>
        <w:t>Thumbnail:               VALUABLE HERE. STUCK HERE?</w:t>
      </w:r>
    </w:p>
    <w:p>
      <w:pPr>
        <w:spacing w:before="0" w:after="30" w:line="250" w:lineRule="auto"/>
        <w:keepLines w:val="1"/>
      </w:pPr>
      <w:r>
        <w:rPr>
          <w:b w:val="0"/>
          <w:i w:val="0"/>
          <w:sz w:val="22"/>
        </w:rPr>
        <w:t>Primary search phrase:   is your job making you less marketable</w:t>
      </w:r>
    </w:p>
    <w:p>
      <w:pPr>
        <w:spacing w:before="0" w:after="30" w:line="250" w:lineRule="auto"/>
        <w:keepLines w:val="1"/>
      </w:pPr>
      <w:r>
        <w:rPr>
          <w:b w:val="0"/>
          <w:i w:val="0"/>
          <w:sz w:val="22"/>
        </w:rPr>
        <w:t>Primary CTA:             Capability Formation Field Kit</w:t>
      </w:r>
    </w:p>
    <w:p>
      <w:pPr>
        <w:spacing w:before="0" w:after="30" w:line="250" w:lineRule="auto"/>
        <w:keepLines w:val="1"/>
      </w:pPr>
      <w:r>
        <w:rPr>
          <w:b w:val="0"/>
          <w:i w:val="0"/>
          <w:sz w:val="22"/>
        </w:rPr>
        <w:t>CTA URL:                 https://temidayoafonja.com/fieldkit</w:t>
      </w:r>
    </w:p>
    <w:p>
      <w:pPr>
        <w:spacing w:before="0" w:after="30" w:line="250" w:lineRule="auto"/>
        <w:keepLines w:val="1"/>
      </w:pPr>
      <w:r>
        <w:rPr>
          <w:b w:val="0"/>
          <w:i w:val="0"/>
          <w:sz w:val="22"/>
        </w:rPr>
        <w:t>Watch next:              Video 3 — 3 Things to Do Before Quitting Your Job</w:t>
      </w:r>
    </w:p>
    <w:p>
      <w:pPr>
        <w:spacing w:before="0" w:after="30" w:line="250" w:lineRule="auto"/>
        <w:keepLines w:val="1"/>
      </w:pPr>
      <w:r>
        <w:rPr>
          <w:b w:val="0"/>
          <w:i w:val="0"/>
          <w:sz w:val="22"/>
        </w:rPr>
        <w:t>Memory device:           The three tests. No acronym, no second framework.</w:t>
      </w:r>
    </w:p>
    <w:p>
      <w:pPr>
        <w:spacing w:before="0" w:after="36" w:line="250" w:lineRule="auto"/>
        <w:keepLines w:val="1"/>
      </w:pPr>
      <w:r>
        <w:rPr>
          <w:b/>
          <w:i w:val="0"/>
          <w:color w:val="9B2C10"/>
          <w:sz w:val="22"/>
        </w:rPr>
        <w:t>NON-ALARMIST IS A HARD RULE. This video must never imply that praise, pay, tenure or being trusted are themselves warning signs, that a strong job is bad, or that the viewer should leave. The script says being valuable where you are is real value. Keep it.</w:t>
      </w:r>
    </w:p>
    <w:p>
      <w:pPr>
        <w:spacing w:before="0" w:after="36" w:line="250" w:lineRule="auto"/>
        <w:keepLines w:val="1"/>
      </w:pPr>
      <w:r>
        <w:rPr>
          <w:b/>
          <w:i w:val="0"/>
          <w:color w:val="9B2C10"/>
          <w:sz w:val="22"/>
        </w:rPr>
        <w:t>Do not add Keep the Proof, the Career Evidence Starter or a second framework to this video.</w:t>
      </w:r>
    </w:p>
    <w:p>
      <w:pPr>
        <w:spacing w:before="0" w:after="36" w:line="250" w:lineRule="auto"/>
        <w:keepLines w:val="1"/>
      </w:pPr>
      <w:r>
        <w:rPr>
          <w:b/>
          <w:i w:val="0"/>
          <w:color w:val="9B2C10"/>
          <w:sz w:val="22"/>
        </w:rPr>
        <w:t>THUMBNAIL: the artwork still reads “YOUR SKILLS ARE STALLING”. That copy is superseded — replace with the approved Canva export before publishing.</w:t>
      </w:r>
    </w:p>
    <w:p>
      <w:pPr>
        <w:spacing w:before="84" w:after="48" w:line="250" w:lineRule="auto"/>
        <w:keepLines w:val="1"/>
        <w:keepNext w:val="1"/>
      </w:pPr>
      <w:r>
        <w:rPr>
          <w:b/>
          <w:i w:val="0"/>
          <w:color w:val="0F2346"/>
          <w:sz w:val="28"/>
        </w:rPr>
        <w:t>2.  Identity promise for this video</w:t>
      </w:r>
    </w:p>
    <w:p>
      <w:pPr>
        <w:spacing w:before="0" w:after="48" w:line="250" w:lineRule="auto"/>
        <w:shd w:val="clear" w:fill="F3F0E8"/>
        <w:keepLines w:val="1"/>
      </w:pPr>
      <w:r>
        <w:rPr>
          <w:b/>
          <w:i w:val="0"/>
          <w:color w:val="0F2346"/>
          <w:sz w:val="22"/>
        </w:rPr>
        <w:t>Become the professional who already knows whether their options are widening — before a restructure, a layoff or an urgent search asks the question for them.</w:t>
      </w:r>
    </w:p>
    <w:p>
      <w:pPr>
        <w:spacing w:before="0" w:after="48" w:line="250" w:lineRule="auto"/>
        <w:keepLines w:val="1"/>
      </w:pPr>
      <w:r>
        <w:rPr>
          <w:b w:val="0"/>
          <w:i w:val="0"/>
          <w:sz w:val="22"/>
        </w:rPr>
        <w:t>The video is not trying to make anyone leave. It is handing the viewer a habit of checking, so the timing of that discovery belongs to them rather than to an event.</w:t>
      </w:r>
    </w:p>
    <w:p>
      <w:pPr>
        <w:spacing w:before="84" w:after="48" w:line="250" w:lineRule="auto"/>
        <w:keepLines w:val="1"/>
        <w:keepNext w:val="1"/>
      </w:pPr>
      <w:r>
        <w:rPr>
          <w:b/>
          <w:i w:val="0"/>
          <w:color w:val="0F2346"/>
          <w:sz w:val="28"/>
        </w:rPr>
        <w:t>3.  Who is watching, and what they are feeling</w:t>
      </w:r>
    </w:p>
    <w:p>
      <w:pPr>
        <w:spacing w:before="0" w:after="36" w:line="250" w:lineRule="auto"/>
      </w:pPr>
      <w:r>
        <w:rPr>
          <w:b w:val="0"/>
          <w:i w:val="0"/>
          <w:sz w:val="22"/>
        </w:rPr>
        <w:t>Someone who is genuinely good at their job. People come to them. Things work because they are there. They are probably praised, probably paid well, and not unhappy.</w:t>
      </w:r>
    </w:p>
    <w:p>
      <w:pPr>
        <w:spacing w:before="0" w:after="36" w:line="250" w:lineRule="auto"/>
      </w:pPr>
      <w:r>
        <w:rPr>
          <w:b w:val="0"/>
          <w:i w:val="0"/>
          <w:sz w:val="22"/>
        </w:rPr>
        <w:t>Underneath that there is a private question they have not said out loud: would anyone outside this company actually understand what I do?</w:t>
      </w:r>
    </w:p>
    <w:p>
      <w:pPr>
        <w:spacing w:before="0" w:after="36" w:line="250" w:lineRule="auto"/>
      </w:pPr>
      <w:r>
        <w:rPr>
          <w:b w:val="0"/>
          <w:i w:val="0"/>
          <w:sz w:val="22"/>
        </w:rPr>
        <w:t>They must feel seen before the three tests arrive. If the opening reads as a warning, the video has failed.</w:t>
      </w:r>
    </w:p>
    <w:p>
      <w:pPr>
        <w:spacing w:before="84" w:after="48" w:line="250" w:lineRule="auto"/>
        <w:keepLines w:val="1"/>
        <w:keepNext w:val="1"/>
      </w:pPr>
      <w:r>
        <w:rPr>
          <w:b/>
          <w:i w:val="0"/>
          <w:color w:val="0F2346"/>
          <w:sz w:val="28"/>
        </w:rPr>
        <w:t>4.  Belonging and lived proof</w:t>
      </w:r>
    </w:p>
    <w:p>
      <w:pPr>
        <w:spacing w:before="0" w:after="36" w:line="250" w:lineRule="auto"/>
      </w:pPr>
      <w:r>
        <w:rPr>
          <w:b w:val="0"/>
          <w:i w:val="0"/>
          <w:sz w:val="22"/>
        </w:rPr>
        <w:t>Recognition comes first, then the reassurance that this is not a trap, then the mechanism, and only then the tests at about 2:52.</w:t>
      </w:r>
    </w:p>
    <w:p>
      <w:pPr>
        <w:spacing w:before="0" w:after="30" w:line="250" w:lineRule="auto"/>
        <w:keepLines w:val="1"/>
      </w:pPr>
      <w:r>
        <w:rPr>
          <w:b w:val="0"/>
          <w:i w:val="0"/>
          <w:sz w:val="22"/>
        </w:rPr>
        <w:t>—  “I have had to answer that question about myself more than once.” Temidayo has repeatedly had to make her own value legible across functions, employers and industries.</w:t>
      </w:r>
    </w:p>
    <w:p>
      <w:pPr>
        <w:spacing w:before="0" w:after="30" w:line="250" w:lineRule="auto"/>
        <w:keepLines w:val="1"/>
      </w:pPr>
      <w:r>
        <w:rPr>
          <w:b w:val="0"/>
          <w:i w:val="0"/>
          <w:sz w:val="22"/>
        </w:rPr>
        <w:t>—  No employer, client, metric or result is attached to this beat. The proof is the crossings themselves.</w:t>
      </w:r>
    </w:p>
    <w:p>
      <w:pPr>
        <w:spacing w:before="0" w:after="30" w:line="250" w:lineRule="auto"/>
        <w:keepLines w:val="1"/>
      </w:pPr>
      <w:r>
        <w:rPr>
          <w:b w:val="0"/>
          <w:i w:val="0"/>
          <w:sz w:val="22"/>
        </w:rPr>
        <w:t>—  The QBR before-and-after is a generic worked example, not a real client. Keep it generic.</w:t>
      </w:r>
    </w:p>
    <w:p>
      <w:pPr>
        <w:spacing w:before="0" w:after="48" w:line="250" w:lineRule="auto"/>
        <w:shd w:val="clear" w:fill="F3F0E8"/>
        <w:keepLines w:val="1"/>
      </w:pPr>
      <w:r>
        <w:rPr>
          <w:b/>
          <w:i w:val="0"/>
          <w:color w:val="9B2C10"/>
          <w:sz w:val="22"/>
        </w:rPr>
        <w:t>Temidayo is evidence, not the hero. Her story is there so the viewer recognises themselves. If a cut makes her the subject rather than the proof, it is the wrong cut.</w:t>
      </w:r>
    </w:p>
    <w:p>
      <w:pPr>
        <w:spacing w:before="84" w:after="48" w:line="250" w:lineRule="auto"/>
        <w:keepLines w:val="1"/>
        <w:keepNext w:val="1"/>
      </w:pPr>
      <w:r>
        <w:rPr>
          <w:b/>
          <w:i w:val="0"/>
          <w:color w:val="0F2346"/>
          <w:sz w:val="28"/>
        </w:rPr>
        <w:t>5.  First 30 seconds — H.I.T. map</w:t>
      </w:r>
    </w:p>
    <w:tbl>
      <w:tblPr>
        <w:tblStyle w:val="TableGrid"/>
        <w:tblW w:type="auto" w:w="0"/>
        <w:jc w:val="left"/>
        <w:tblLook w:firstColumn="1" w:firstRow="1" w:lastColumn="0" w:lastRow="0" w:noHBand="0" w:noVBand="1" w:val="04A0"/>
      </w:tblPr>
      <w:tblGrid>
        <w:gridCol w:w="1317"/>
        <w:gridCol w:w="1317"/>
        <w:gridCol w:w="1317"/>
        <w:gridCol w:w="1317"/>
        <w:gridCol w:w="1317"/>
        <w:gridCol w:w="1317"/>
        <w:gridCol w:w="1317"/>
      </w:tblGrid>
      <w:tr>
        <w:tc>
          <w:tcPr>
            <w:tcW w:type="dxa" w:w="749"/>
          </w:tcPr>
          <w:p>
            <w:pPr>
              <w:spacing w:after="40"/>
              <w:shd w:val="clear" w:fill="E8EDF4"/>
            </w:pPr>
            <w:r/>
            <w:r>
              <w:rPr>
                <w:b/>
                <w:color w:val="0F2346"/>
                <w:sz w:val="16"/>
              </w:rPr>
              <w:t>Time</w:t>
            </w:r>
          </w:p>
        </w:tc>
        <w:tc>
          <w:tcPr>
            <w:tcW w:type="dxa" w:w="2333"/>
          </w:tcPr>
          <w:p>
            <w:pPr>
              <w:spacing w:after="40"/>
              <w:shd w:val="clear" w:fill="E8EDF4"/>
            </w:pPr>
            <w:r/>
            <w:r>
              <w:rPr>
                <w:b/>
                <w:color w:val="0F2346"/>
                <w:sz w:val="16"/>
              </w:rPr>
              <w:t>Exact spoken line</w:t>
            </w:r>
          </w:p>
        </w:tc>
        <w:tc>
          <w:tcPr>
            <w:tcW w:type="dxa" w:w="1325"/>
          </w:tcPr>
          <w:p>
            <w:pPr>
              <w:spacing w:after="40"/>
              <w:shd w:val="clear" w:fill="E8EDF4"/>
            </w:pPr>
            <w:r/>
            <w:r>
              <w:rPr>
                <w:b/>
                <w:color w:val="0F2346"/>
                <w:sz w:val="16"/>
              </w:rPr>
              <w:t>Verbal hook job</w:t>
            </w:r>
          </w:p>
        </w:tc>
        <w:tc>
          <w:tcPr>
            <w:tcW w:type="dxa" w:w="1512"/>
          </w:tcPr>
          <w:p>
            <w:pPr>
              <w:spacing w:after="40"/>
              <w:shd w:val="clear" w:fill="E8EDF4"/>
            </w:pPr>
            <w:r/>
            <w:r>
              <w:rPr>
                <w:b/>
                <w:color w:val="0F2346"/>
                <w:sz w:val="16"/>
              </w:rPr>
              <w:t>On-screen hook</w:t>
            </w:r>
          </w:p>
        </w:tc>
        <w:tc>
          <w:tcPr>
            <w:tcW w:type="dxa" w:w="1584"/>
          </w:tcPr>
          <w:p>
            <w:pPr>
              <w:spacing w:after="40"/>
              <w:shd w:val="clear" w:fill="E8EDF4"/>
            </w:pPr>
            <w:r/>
            <w:r>
              <w:rPr>
                <w:b/>
                <w:color w:val="0F2346"/>
                <w:sz w:val="16"/>
              </w:rPr>
              <w:t>Visual / editor cue</w:t>
            </w:r>
          </w:p>
        </w:tc>
        <w:tc>
          <w:tcPr>
            <w:tcW w:type="dxa" w:w="1325"/>
          </w:tcPr>
          <w:p>
            <w:pPr>
              <w:spacing w:after="40"/>
              <w:shd w:val="clear" w:fill="E8EDF4"/>
            </w:pPr>
            <w:r/>
            <w:r>
              <w:rPr>
                <w:b/>
                <w:color w:val="0F2346"/>
                <w:sz w:val="16"/>
              </w:rPr>
              <w:t>Trust / proof beat</w:t>
            </w:r>
          </w:p>
        </w:tc>
        <w:tc>
          <w:tcPr>
            <w:tcW w:type="dxa" w:w="1397"/>
          </w:tcPr>
          <w:p>
            <w:pPr>
              <w:spacing w:after="40"/>
              <w:shd w:val="clear" w:fill="E8EDF4"/>
            </w:pPr>
            <w:r/>
            <w:r>
              <w:rPr>
                <w:b/>
                <w:color w:val="0F2346"/>
                <w:sz w:val="16"/>
              </w:rPr>
              <w:t>Viewer payoff</w:t>
            </w:r>
          </w:p>
        </w:tc>
      </w:tr>
      <w:tr>
        <w:tc>
          <w:tcPr>
            <w:tcW w:type="dxa" w:w="749"/>
          </w:tcPr>
          <w:p>
            <w:pPr>
              <w:spacing w:after="40" w:line="252" w:lineRule="auto"/>
            </w:pPr>
            <w:r/>
            <w:r>
              <w:rPr>
                <w:sz w:val="16"/>
              </w:rPr>
              <w:t>0:00–0:07</w:t>
            </w:r>
          </w:p>
        </w:tc>
        <w:tc>
          <w:tcPr>
            <w:tcW w:type="dxa" w:w="2333"/>
          </w:tcPr>
          <w:p>
            <w:pPr>
              <w:spacing w:after="40" w:line="252" w:lineRule="auto"/>
            </w:pPr>
            <w:r/>
            <w:r>
              <w:rPr>
                <w:sz w:val="16"/>
              </w:rPr>
              <w:t>“You are good at your job. People come to you. Things work because you are there.”</w:t>
            </w:r>
          </w:p>
        </w:tc>
        <w:tc>
          <w:tcPr>
            <w:tcW w:type="dxa" w:w="1325"/>
          </w:tcPr>
          <w:p>
            <w:pPr>
              <w:spacing w:after="40" w:line="252" w:lineRule="auto"/>
            </w:pPr>
            <w:r/>
            <w:r>
              <w:rPr>
                <w:sz w:val="16"/>
              </w:rPr>
              <w:t>Recognition, and a compliment that is meant.</w:t>
            </w:r>
          </w:p>
        </w:tc>
        <w:tc>
          <w:tcPr>
            <w:tcW w:type="dxa" w:w="1512"/>
          </w:tcPr>
          <w:p>
            <w:pPr>
              <w:spacing w:after="40" w:line="252" w:lineRule="auto"/>
            </w:pPr>
            <w:r/>
            <w:r>
              <w:rPr>
                <w:sz w:val="16"/>
              </w:rPr>
              <w:t>VALUABLE HERE. STUCK HERE?</w:t>
            </w:r>
          </w:p>
        </w:tc>
        <w:tc>
          <w:tcPr>
            <w:tcW w:type="dxa" w:w="1584"/>
          </w:tcPr>
          <w:p>
            <w:pPr>
              <w:spacing w:after="40" w:line="252" w:lineRule="auto"/>
            </w:pPr>
            <w:r/>
            <w:r>
              <w:rPr>
                <w:sz w:val="16"/>
              </w:rPr>
              <w:t>Open on Temidayo, direct to camera. No title card.</w:t>
            </w:r>
          </w:p>
        </w:tc>
        <w:tc>
          <w:tcPr>
            <w:tcW w:type="dxa" w:w="1325"/>
          </w:tcPr>
          <w:p>
            <w:pPr>
              <w:spacing w:after="40" w:line="252" w:lineRule="auto"/>
            </w:pPr>
            <w:r/>
            <w:r>
              <w:rPr>
                <w:sz w:val="16"/>
              </w:rPr>
              <w:t>None yet, by design.</w:t>
            </w:r>
          </w:p>
        </w:tc>
        <w:tc>
          <w:tcPr>
            <w:tcW w:type="dxa" w:w="1397"/>
          </w:tcPr>
          <w:p>
            <w:pPr>
              <w:spacing w:after="40" w:line="252" w:lineRule="auto"/>
            </w:pPr>
            <w:r/>
            <w:r>
              <w:rPr>
                <w:sz w:val="16"/>
              </w:rPr>
              <w:t>The viewer sees themselves described accurately and warmly.</w:t>
            </w:r>
          </w:p>
        </w:tc>
      </w:tr>
      <w:tr>
        <w:tc>
          <w:tcPr>
            <w:tcW w:type="dxa" w:w="749"/>
          </w:tcPr>
          <w:p>
            <w:pPr>
              <w:spacing w:after="40" w:line="252" w:lineRule="auto"/>
            </w:pPr>
            <w:r/>
            <w:r>
              <w:rPr>
                <w:sz w:val="16"/>
              </w:rPr>
              <w:t>0:07–0:17</w:t>
            </w:r>
          </w:p>
        </w:tc>
        <w:tc>
          <w:tcPr>
            <w:tcW w:type="dxa" w:w="2333"/>
          </w:tcPr>
          <w:p>
            <w:pPr>
              <w:spacing w:after="40" w:line="252" w:lineRule="auto"/>
            </w:pPr>
            <w:r/>
            <w:r>
              <w:rPr>
                <w:sz w:val="16"/>
              </w:rPr>
              <w:t>“And somewhere underneath that, there may be a question you have never said out loud. Would anyone outside this company actually understand what I do?”</w:t>
            </w:r>
          </w:p>
        </w:tc>
        <w:tc>
          <w:tcPr>
            <w:tcW w:type="dxa" w:w="1325"/>
          </w:tcPr>
          <w:p>
            <w:pPr>
              <w:spacing w:after="40" w:line="252" w:lineRule="auto"/>
            </w:pPr>
            <w:r/>
            <w:r>
              <w:rPr>
                <w:sz w:val="16"/>
              </w:rPr>
              <w:t>Names the private question.</w:t>
            </w:r>
          </w:p>
        </w:tc>
        <w:tc>
          <w:tcPr>
            <w:tcW w:type="dxa" w:w="1512"/>
          </w:tcPr>
          <w:p>
            <w:pPr>
              <w:spacing w:after="40" w:line="252" w:lineRule="auto"/>
            </w:pPr>
            <w:r/>
            <w:r>
              <w:rPr>
                <w:sz w:val="16"/>
              </w:rPr>
              <w:t>—</w:t>
            </w:r>
          </w:p>
        </w:tc>
        <w:tc>
          <w:tcPr>
            <w:tcW w:type="dxa" w:w="1584"/>
          </w:tcPr>
          <w:p>
            <w:pPr>
              <w:spacing w:after="40" w:line="252" w:lineRule="auto"/>
            </w:pPr>
            <w:r/>
            <w:r>
              <w:rPr>
                <w:sz w:val="16"/>
              </w:rPr>
              <w:t>Stay on her face. Do not cut on the question.</w:t>
            </w:r>
          </w:p>
        </w:tc>
        <w:tc>
          <w:tcPr>
            <w:tcW w:type="dxa" w:w="1325"/>
          </w:tcPr>
          <w:p>
            <w:pPr>
              <w:spacing w:after="40" w:line="252" w:lineRule="auto"/>
            </w:pPr>
            <w:r/>
            <w:r>
              <w:rPr>
                <w:sz w:val="16"/>
              </w:rPr>
              <w:t>The question is put plainly, not sold.</w:t>
            </w:r>
          </w:p>
        </w:tc>
        <w:tc>
          <w:tcPr>
            <w:tcW w:type="dxa" w:w="1397"/>
          </w:tcPr>
          <w:p>
            <w:pPr>
              <w:spacing w:after="40" w:line="252" w:lineRule="auto"/>
            </w:pPr>
            <w:r/>
            <w:r>
              <w:rPr>
                <w:sz w:val="16"/>
              </w:rPr>
              <w:t>The viewer hears their own quiet worry said out loud.</w:t>
            </w:r>
          </w:p>
        </w:tc>
      </w:tr>
      <w:tr>
        <w:tc>
          <w:tcPr>
            <w:tcW w:type="dxa" w:w="749"/>
          </w:tcPr>
          <w:p>
            <w:pPr>
              <w:spacing w:after="40" w:line="252" w:lineRule="auto"/>
            </w:pPr>
            <w:r/>
            <w:r>
              <w:rPr>
                <w:sz w:val="16"/>
              </w:rPr>
              <w:t>0:17–0:22</w:t>
            </w:r>
          </w:p>
        </w:tc>
        <w:tc>
          <w:tcPr>
            <w:tcW w:type="dxa" w:w="2333"/>
          </w:tcPr>
          <w:p>
            <w:pPr>
              <w:spacing w:after="40" w:line="252" w:lineRule="auto"/>
            </w:pPr>
            <w:r/>
            <w:r>
              <w:rPr>
                <w:sz w:val="16"/>
              </w:rPr>
              <w:t>“I have had to answer that question about myself more than once.”</w:t>
            </w:r>
          </w:p>
        </w:tc>
        <w:tc>
          <w:tcPr>
            <w:tcW w:type="dxa" w:w="1325"/>
          </w:tcPr>
          <w:p>
            <w:pPr>
              <w:spacing w:after="40" w:line="252" w:lineRule="auto"/>
            </w:pPr>
            <w:r/>
            <w:r>
              <w:rPr>
                <w:sz w:val="16"/>
              </w:rPr>
              <w:t>Belonging. She has stood here too.</w:t>
            </w:r>
          </w:p>
        </w:tc>
        <w:tc>
          <w:tcPr>
            <w:tcW w:type="dxa" w:w="1512"/>
          </w:tcPr>
          <w:p>
            <w:pPr>
              <w:spacing w:after="40" w:line="252" w:lineRule="auto"/>
            </w:pPr>
            <w:r/>
            <w:r>
              <w:rPr>
                <w:sz w:val="16"/>
              </w:rPr>
              <w:t>—</w:t>
            </w:r>
          </w:p>
        </w:tc>
        <w:tc>
          <w:tcPr>
            <w:tcW w:type="dxa" w:w="1584"/>
          </w:tcPr>
          <w:p>
            <w:pPr>
              <w:spacing w:after="40" w:line="252" w:lineRule="auto"/>
            </w:pPr>
            <w:r/>
            <w:r>
              <w:rPr>
                <w:sz w:val="16"/>
              </w:rPr>
              <w:t>No cutaway. This line only works on her face.</w:t>
            </w:r>
          </w:p>
        </w:tc>
        <w:tc>
          <w:tcPr>
            <w:tcW w:type="dxa" w:w="1325"/>
          </w:tcPr>
          <w:p>
            <w:pPr>
              <w:spacing w:after="40" w:line="252" w:lineRule="auto"/>
            </w:pPr>
            <w:r/>
            <w:r>
              <w:rPr>
                <w:sz w:val="16"/>
              </w:rPr>
              <w:t>Her own crossings across functions, employers and industries.</w:t>
            </w:r>
          </w:p>
        </w:tc>
        <w:tc>
          <w:tcPr>
            <w:tcW w:type="dxa" w:w="1397"/>
          </w:tcPr>
          <w:p>
            <w:pPr>
              <w:spacing w:after="40" w:line="252" w:lineRule="auto"/>
            </w:pPr>
            <w:r/>
            <w:r>
              <w:rPr>
                <w:sz w:val="16"/>
              </w:rPr>
              <w:t>The viewer feels understood before being taught.</w:t>
            </w:r>
          </w:p>
        </w:tc>
      </w:tr>
      <w:tr>
        <w:tc>
          <w:tcPr>
            <w:tcW w:type="dxa" w:w="749"/>
          </w:tcPr>
          <w:p>
            <w:pPr>
              <w:spacing w:after="40" w:line="252" w:lineRule="auto"/>
            </w:pPr>
            <w:r/>
            <w:r>
              <w:rPr>
                <w:sz w:val="16"/>
              </w:rPr>
              <w:t>0:22–0:34</w:t>
            </w:r>
          </w:p>
        </w:tc>
        <w:tc>
          <w:tcPr>
            <w:tcW w:type="dxa" w:w="2333"/>
          </w:tcPr>
          <w:p>
            <w:pPr>
              <w:spacing w:after="40" w:line="252" w:lineRule="auto"/>
            </w:pPr>
            <w:r/>
            <w:r>
              <w:rPr>
                <w:sz w:val="16"/>
              </w:rPr>
              <w:t>“So let me give you three tests you can run on your own work this week. Not to make you anxious. To give you back some control over the answer.”</w:t>
            </w:r>
          </w:p>
        </w:tc>
        <w:tc>
          <w:tcPr>
            <w:tcW w:type="dxa" w:w="1325"/>
          </w:tcPr>
          <w:p>
            <w:pPr>
              <w:spacing w:after="40" w:line="252" w:lineRule="auto"/>
            </w:pPr>
            <w:r/>
            <w:r>
              <w:rPr>
                <w:sz w:val="16"/>
              </w:rPr>
              <w:t>Payoff, plus the promise that this is not a scare video.</w:t>
            </w:r>
          </w:p>
        </w:tc>
        <w:tc>
          <w:tcPr>
            <w:tcW w:type="dxa" w:w="1512"/>
          </w:tcPr>
          <w:p>
            <w:pPr>
              <w:spacing w:after="40" w:line="252" w:lineRule="auto"/>
            </w:pPr>
            <w:r/>
            <w:r>
              <w:rPr>
                <w:sz w:val="16"/>
              </w:rPr>
              <w:t>3 MARKETABILITY TESTS</w:t>
            </w:r>
          </w:p>
        </w:tc>
        <w:tc>
          <w:tcPr>
            <w:tcW w:type="dxa" w:w="1584"/>
          </w:tcPr>
          <w:p>
            <w:pPr>
              <w:spacing w:after="40" w:line="252" w:lineRule="auto"/>
            </w:pPr>
            <w:r/>
            <w:r>
              <w:rPr>
                <w:sz w:val="16"/>
              </w:rPr>
              <w:t>Restrained reveal, then into the deck.</w:t>
            </w:r>
          </w:p>
        </w:tc>
        <w:tc>
          <w:tcPr>
            <w:tcW w:type="dxa" w:w="1325"/>
          </w:tcPr>
          <w:p>
            <w:pPr>
              <w:spacing w:after="40" w:line="252" w:lineRule="auto"/>
            </w:pPr>
            <w:r/>
            <w:r>
              <w:rPr>
                <w:sz w:val="16"/>
              </w:rPr>
              <w:t>She names the intent openly, which is what keeps it non-alarmist.</w:t>
            </w:r>
          </w:p>
        </w:tc>
        <w:tc>
          <w:tcPr>
            <w:tcW w:type="dxa" w:w="1397"/>
          </w:tcPr>
          <w:p>
            <w:pPr>
              <w:spacing w:after="40" w:line="252" w:lineRule="auto"/>
            </w:pPr>
            <w:r/>
            <w:r>
              <w:rPr>
                <w:sz w:val="16"/>
              </w:rPr>
              <w:t>Payoff and tone are both clear by 34 seconds.</w:t>
            </w:r>
          </w:p>
        </w:tc>
      </w:tr>
    </w:tbl>
    <w:p>
      <w:pPr>
        <w:spacing w:before="60" w:after="30" w:line="250" w:lineRule="auto"/>
        <w:keepLines w:val="1"/>
      </w:pPr>
      <w:r>
        <w:rPr>
          <w:b/>
          <w:i w:val="0"/>
          <w:color w:val="0F2346"/>
          <w:sz w:val="21"/>
        </w:rPr>
        <w:t>Hook layers:</w:t>
      </w:r>
    </w:p>
    <w:p>
      <w:pPr>
        <w:spacing w:before="0" w:after="24" w:line="250" w:lineRule="auto"/>
        <w:keepLines w:val="1"/>
      </w:pPr>
      <w:r>
        <w:rPr>
          <w:b w:val="0"/>
          <w:i w:val="0"/>
          <w:sz w:val="21"/>
        </w:rPr>
        <w:t>Verbal hook:       You are good at your job. People come to you. Things work because you are there.</w:t>
      </w:r>
    </w:p>
    <w:p>
      <w:pPr>
        <w:spacing w:before="0" w:after="24" w:line="250" w:lineRule="auto"/>
        <w:keepLines w:val="1"/>
      </w:pPr>
      <w:r>
        <w:rPr>
          <w:b w:val="0"/>
          <w:i w:val="0"/>
          <w:sz w:val="21"/>
        </w:rPr>
        <w:t>On-screen hook:    VALUABLE HERE. STUCK HERE?</w:t>
      </w:r>
    </w:p>
    <w:p>
      <w:pPr>
        <w:spacing w:before="0" w:after="24" w:line="250" w:lineRule="auto"/>
        <w:keepLines w:val="1"/>
      </w:pPr>
      <w:r>
        <w:rPr>
          <w:b w:val="0"/>
          <w:i w:val="0"/>
          <w:sz w:val="21"/>
        </w:rPr>
        <w:t>Visual / editor:   Direct to camera, then the valuable-here versus legible-elsewhere contrast. No stock office B-roll anywhere.</w:t>
      </w:r>
    </w:p>
    <w:p>
      <w:pPr>
        <w:spacing w:before="0" w:after="24" w:line="250" w:lineRule="auto"/>
        <w:keepLines w:val="1"/>
      </w:pPr>
      <w:r>
        <w:rPr>
          <w:b w:val="0"/>
          <w:i w:val="0"/>
          <w:sz w:val="21"/>
        </w:rPr>
        <w:t>Trust beat:        Temidayo's own crossings across functions, employers and industries.</w:t>
      </w:r>
    </w:p>
    <w:p>
      <w:pPr>
        <w:spacing w:before="0" w:after="24" w:line="250" w:lineRule="auto"/>
        <w:keepLines w:val="1"/>
      </w:pPr>
      <w:r>
        <w:rPr>
          <w:b w:val="0"/>
          <w:i w:val="0"/>
          <w:sz w:val="21"/>
        </w:rPr>
        <w:t>Viewer payoff:     Three tests the viewer can run on their own work, by 0:34.</w:t>
      </w:r>
    </w:p>
    <w:p>
      <w:pPr>
        <w:spacing w:before="84" w:after="48" w:line="250" w:lineRule="auto"/>
        <w:keepLines w:val="1"/>
        <w:keepNext w:val="1"/>
      </w:pPr>
      <w:r>
        <w:rPr>
          <w:b/>
          <w:i w:val="0"/>
          <w:color w:val="0F2346"/>
          <w:sz w:val="28"/>
        </w:rPr>
        <w:t>6.  Slide marker → slide</w:t>
      </w:r>
    </w:p>
    <w:p>
      <w:pPr>
        <w:spacing w:before="0" w:after="48" w:line="250" w:lineRule="auto"/>
      </w:pPr>
      <w:r>
        <w:rPr>
          <w:b w:val="0"/>
          <w:i w:val="0"/>
          <w:sz w:val="22"/>
        </w:rPr>
        <w:t>Thirteen markers, mapping to the existing thirteen-slide deck in order. The freshly written v5.1 script was mapped against the deck slide by slide and every slide still serves it, so NO visible slide text was changed in this rebuild. Slide 13 already carries the corrected Video 3 title. Speaker notes were rewritten throughout for the v5.1 narration.</w:t>
      </w:r>
    </w:p>
    <w:p>
      <w:pPr>
        <w:spacing w:before="0" w:after="18" w:line="250" w:lineRule="auto"/>
        <w:keepLines w:val="1"/>
      </w:pPr>
      <w:r>
        <w:rPr>
          <w:b w:val="0"/>
          <w:i w:val="0"/>
          <w:sz w:val="21"/>
        </w:rPr>
        <w:t>Marker 1   →  Slide 1   Title</w:t>
      </w:r>
    </w:p>
    <w:p>
      <w:pPr>
        <w:spacing w:before="0" w:after="18" w:line="250" w:lineRule="auto"/>
        <w:keepLines w:val="1"/>
      </w:pPr>
      <w:r>
        <w:rPr>
          <w:b w:val="0"/>
          <w:i w:val="0"/>
          <w:sz w:val="21"/>
        </w:rPr>
        <w:t>Marker 2   →  Slide 2   Valuable Here / Legible Elsewhere</w:t>
      </w:r>
    </w:p>
    <w:p>
      <w:pPr>
        <w:spacing w:before="0" w:after="18" w:line="250" w:lineRule="auto"/>
        <w:keepLines w:val="1"/>
      </w:pPr>
      <w:r>
        <w:rPr>
          <w:b w:val="0"/>
          <w:i w:val="0"/>
          <w:sz w:val="21"/>
        </w:rPr>
        <w:t>Marker 3   →  Slide 3   01 Remove the Company Nouns</w:t>
      </w:r>
    </w:p>
    <w:p>
      <w:pPr>
        <w:spacing w:before="0" w:after="18" w:line="250" w:lineRule="auto"/>
        <w:keepLines w:val="1"/>
      </w:pPr>
      <w:r>
        <w:rPr>
          <w:b w:val="0"/>
          <w:i w:val="0"/>
          <w:sz w:val="21"/>
        </w:rPr>
        <w:t>Marker 4   →  Slide 4   Test One</w:t>
      </w:r>
    </w:p>
    <w:p>
      <w:pPr>
        <w:spacing w:before="0" w:after="18" w:line="250" w:lineRule="auto"/>
        <w:keepLines w:val="1"/>
      </w:pPr>
      <w:r>
        <w:rPr>
          <w:b w:val="0"/>
          <w:i w:val="0"/>
          <w:sz w:val="21"/>
        </w:rPr>
        <w:t>Marker 5   →  Slide 5   02 Find Outside-Context Evidence</w:t>
      </w:r>
    </w:p>
    <w:p>
      <w:pPr>
        <w:spacing w:before="0" w:after="18" w:line="250" w:lineRule="auto"/>
        <w:keepLines w:val="1"/>
      </w:pPr>
      <w:r>
        <w:rPr>
          <w:b w:val="0"/>
          <w:i w:val="0"/>
          <w:sz w:val="21"/>
        </w:rPr>
        <w:t>Marker 6   →  Slide 6   Test Two</w:t>
      </w:r>
    </w:p>
    <w:p>
      <w:pPr>
        <w:spacing w:before="0" w:after="18" w:line="250" w:lineRule="auto"/>
        <w:keepLines w:val="1"/>
      </w:pPr>
      <w:r>
        <w:rPr>
          <w:b w:val="0"/>
          <w:i w:val="0"/>
          <w:sz w:val="21"/>
        </w:rPr>
        <w:t>Marker 7   →  Slide 7   03 Read the Last 90 Days</w:t>
      </w:r>
    </w:p>
    <w:p>
      <w:pPr>
        <w:spacing w:before="0" w:after="18" w:line="250" w:lineRule="auto"/>
        <w:keepLines w:val="1"/>
      </w:pPr>
      <w:r>
        <w:rPr>
          <w:b w:val="0"/>
          <w:i w:val="0"/>
          <w:sz w:val="21"/>
        </w:rPr>
        <w:t>Marker 8   →  Slide 8   Test Three</w:t>
      </w:r>
    </w:p>
    <w:p>
      <w:pPr>
        <w:spacing w:before="0" w:after="18" w:line="250" w:lineRule="auto"/>
        <w:keepLines w:val="1"/>
      </w:pPr>
      <w:r>
        <w:rPr>
          <w:b w:val="0"/>
          <w:i w:val="0"/>
          <w:sz w:val="21"/>
        </w:rPr>
        <w:t>Marker 9   →  Slide 9   The Three Tests</w:t>
      </w:r>
    </w:p>
    <w:p>
      <w:pPr>
        <w:spacing w:before="0" w:after="18" w:line="250" w:lineRule="auto"/>
        <w:keepLines w:val="1"/>
      </w:pPr>
      <w:r>
        <w:rPr>
          <w:b w:val="0"/>
          <w:i w:val="0"/>
          <w:sz w:val="21"/>
        </w:rPr>
        <w:t>Marker 10  →  Slide 10  Read the Pattern</w:t>
      </w:r>
    </w:p>
    <w:p>
      <w:pPr>
        <w:spacing w:before="0" w:after="18" w:line="250" w:lineRule="auto"/>
        <w:keepLines w:val="1"/>
      </w:pPr>
      <w:r>
        <w:rPr>
          <w:b w:val="0"/>
          <w:i w:val="0"/>
          <w:sz w:val="21"/>
        </w:rPr>
        <w:t>Marker 11  →  Slide 11  Before You Leave</w:t>
      </w:r>
    </w:p>
    <w:p>
      <w:pPr>
        <w:spacing w:before="0" w:after="18" w:line="250" w:lineRule="auto"/>
        <w:keepLines w:val="1"/>
      </w:pPr>
      <w:r>
        <w:rPr>
          <w:b w:val="0"/>
          <w:i w:val="0"/>
          <w:sz w:val="21"/>
        </w:rPr>
        <w:t>Marker 12  →  Slide 12  Capability Formation Field Kit</w:t>
      </w:r>
    </w:p>
    <w:p>
      <w:pPr>
        <w:spacing w:before="0" w:after="18" w:line="250" w:lineRule="auto"/>
        <w:keepLines w:val="1"/>
      </w:pPr>
      <w:r>
        <w:rPr>
          <w:b w:val="0"/>
          <w:i w:val="0"/>
          <w:sz w:val="21"/>
        </w:rPr>
        <w:t>Marker 13  →  Slide 13  Watch Next</w:t>
      </w:r>
    </w:p>
    <w:p>
      <w:pPr>
        <w:spacing w:before="84" w:after="48" w:line="250" w:lineRule="auto"/>
        <w:keepLines w:val="1"/>
        <w:keepNext w:val="1"/>
      </w:pPr>
      <w:r>
        <w:rPr>
          <w:b/>
          <w:i w:val="0"/>
          <w:color w:val="0F2346"/>
          <w:sz w:val="28"/>
        </w:rPr>
        <w:t>7.  Reveal-state map</w:t>
      </w:r>
    </w:p>
    <w:p>
      <w:pPr>
        <w:spacing w:before="0" w:after="48" w:line="250" w:lineRule="auto"/>
      </w:pPr>
      <w:r>
        <w:rPr>
          <w:b w:val="0"/>
          <w:i w:val="0"/>
          <w:sz w:val="22"/>
        </w:rPr>
        <w:t>23 reveal frames, inspected from the file. Reveal visuals unchanged.</w:t>
      </w:r>
    </w:p>
    <w:p>
      <w:pPr>
        <w:spacing w:before="0" w:after="18" w:line="250" w:lineRule="auto"/>
        <w:keepLines w:val="1"/>
      </w:pPr>
      <w:r>
        <w:rPr>
          <w:b w:val="0"/>
          <w:i w:val="0"/>
          <w:sz w:val="21"/>
        </w:rPr>
        <w:t>Slide 1   →  reveal frames 1        (1)</w:t>
      </w:r>
    </w:p>
    <w:p>
      <w:pPr>
        <w:spacing w:before="0" w:after="18" w:line="250" w:lineRule="auto"/>
        <w:keepLines w:val="1"/>
      </w:pPr>
      <w:r>
        <w:rPr>
          <w:b w:val="0"/>
          <w:i w:val="0"/>
          <w:sz w:val="21"/>
        </w:rPr>
        <w:t>Slide 2   →  reveal frames 2        (1)</w:t>
      </w:r>
    </w:p>
    <w:p>
      <w:pPr>
        <w:spacing w:before="0" w:after="18" w:line="250" w:lineRule="auto"/>
        <w:keepLines w:val="1"/>
      </w:pPr>
      <w:r>
        <w:rPr>
          <w:b w:val="0"/>
          <w:i w:val="0"/>
          <w:sz w:val="21"/>
        </w:rPr>
        <w:t>Slide 3   →  reveal frames 3        (1)</w:t>
      </w:r>
    </w:p>
    <w:p>
      <w:pPr>
        <w:spacing w:before="0" w:after="18" w:line="250" w:lineRule="auto"/>
        <w:keepLines w:val="1"/>
      </w:pPr>
      <w:r>
        <w:rPr>
          <w:b w:val="0"/>
          <w:i w:val="0"/>
          <w:sz w:val="21"/>
        </w:rPr>
        <w:t>Slide 4   →  reveal frames 4–5      (2)</w:t>
      </w:r>
    </w:p>
    <w:p>
      <w:pPr>
        <w:spacing w:before="0" w:after="18" w:line="250" w:lineRule="auto"/>
        <w:keepLines w:val="1"/>
      </w:pPr>
      <w:r>
        <w:rPr>
          <w:b w:val="0"/>
          <w:i w:val="0"/>
          <w:sz w:val="21"/>
        </w:rPr>
        <w:t>Slide 5   →  reveal frames 6        (1)</w:t>
      </w:r>
    </w:p>
    <w:p>
      <w:pPr>
        <w:spacing w:before="0" w:after="18" w:line="250" w:lineRule="auto"/>
        <w:keepLines w:val="1"/>
      </w:pPr>
      <w:r>
        <w:rPr>
          <w:b w:val="0"/>
          <w:i w:val="0"/>
          <w:sz w:val="21"/>
        </w:rPr>
        <w:t>Slide 6   →  reveal frames 7–10     (4)</w:t>
      </w:r>
    </w:p>
    <w:p>
      <w:pPr>
        <w:spacing w:before="0" w:after="18" w:line="250" w:lineRule="auto"/>
        <w:keepLines w:val="1"/>
      </w:pPr>
      <w:r>
        <w:rPr>
          <w:b w:val="0"/>
          <w:i w:val="0"/>
          <w:sz w:val="21"/>
        </w:rPr>
        <w:t>Slide 7   →  reveal frames 11       (1)</w:t>
      </w:r>
    </w:p>
    <w:p>
      <w:pPr>
        <w:spacing w:before="0" w:after="18" w:line="250" w:lineRule="auto"/>
        <w:keepLines w:val="1"/>
      </w:pPr>
      <w:r>
        <w:rPr>
          <w:b w:val="0"/>
          <w:i w:val="0"/>
          <w:sz w:val="21"/>
        </w:rPr>
        <w:t>Slide 8   →  reveal frames 12–15    (4)</w:t>
      </w:r>
    </w:p>
    <w:p>
      <w:pPr>
        <w:spacing w:before="0" w:after="18" w:line="250" w:lineRule="auto"/>
        <w:keepLines w:val="1"/>
      </w:pPr>
      <w:r>
        <w:rPr>
          <w:b w:val="0"/>
          <w:i w:val="0"/>
          <w:sz w:val="21"/>
        </w:rPr>
        <w:t>Slide 9   →  reveal frames 16       (1)</w:t>
      </w:r>
    </w:p>
    <w:p>
      <w:pPr>
        <w:spacing w:before="0" w:after="18" w:line="250" w:lineRule="auto"/>
        <w:keepLines w:val="1"/>
      </w:pPr>
      <w:r>
        <w:rPr>
          <w:b w:val="0"/>
          <w:i w:val="0"/>
          <w:sz w:val="21"/>
        </w:rPr>
        <w:t>Slide 10  →  reveal frames 17       (1)</w:t>
      </w:r>
    </w:p>
    <w:p>
      <w:pPr>
        <w:spacing w:before="0" w:after="18" w:line="250" w:lineRule="auto"/>
        <w:keepLines w:val="1"/>
      </w:pPr>
      <w:r>
        <w:rPr>
          <w:b w:val="0"/>
          <w:i w:val="0"/>
          <w:sz w:val="21"/>
        </w:rPr>
        <w:t>Slide 11  →  reveal frames 18–21    (4)</w:t>
      </w:r>
    </w:p>
    <w:p>
      <w:pPr>
        <w:spacing w:before="0" w:after="18" w:line="250" w:lineRule="auto"/>
        <w:keepLines w:val="1"/>
      </w:pPr>
      <w:r>
        <w:rPr>
          <w:b w:val="0"/>
          <w:i w:val="0"/>
          <w:sz w:val="21"/>
        </w:rPr>
        <w:t>Slide 12  →  reveal frames 22       (1)</w:t>
      </w:r>
    </w:p>
    <w:p>
      <w:pPr>
        <w:spacing w:before="0" w:after="18" w:line="250" w:lineRule="auto"/>
        <w:keepLines w:val="1"/>
      </w:pPr>
      <w:r>
        <w:rPr>
          <w:b w:val="0"/>
          <w:i w:val="0"/>
          <w:sz w:val="21"/>
        </w:rPr>
        <w:t>Slide 13  →  reveal frames 23       (1)</w:t>
      </w:r>
    </w:p>
    <w:p>
      <w:pPr>
        <w:spacing w:before="84" w:after="48" w:line="250" w:lineRule="auto"/>
        <w:keepLines w:val="1"/>
        <w:keepNext w:val="1"/>
      </w:pPr>
      <w:r>
        <w:rPr>
          <w:b/>
          <w:i w:val="0"/>
          <w:color w:val="0F2346"/>
          <w:sz w:val="28"/>
        </w:rPr>
        <w:t>8.  Visual assets and proof</w:t>
      </w:r>
    </w:p>
    <w:p>
      <w:pPr>
        <w:spacing w:before="0" w:after="24" w:line="250" w:lineRule="auto"/>
        <w:keepLines w:val="1"/>
      </w:pPr>
      <w:r>
        <w:rPr>
          <w:b w:val="0"/>
          <w:i w:val="0"/>
          <w:sz w:val="22"/>
        </w:rPr>
        <w:t>—  slide 2, the valuable-here versus legible-elsewhere contrast;</w:t>
      </w:r>
    </w:p>
    <w:p>
      <w:pPr>
        <w:spacing w:before="0" w:after="24" w:line="250" w:lineRule="auto"/>
        <w:keepLines w:val="1"/>
      </w:pPr>
      <w:r>
        <w:rPr>
          <w:b w:val="0"/>
          <w:i w:val="0"/>
          <w:sz w:val="22"/>
        </w:rPr>
        <w:t>—  slide 4, the before and after sentence;</w:t>
      </w:r>
    </w:p>
    <w:p>
      <w:pPr>
        <w:spacing w:before="0" w:after="24" w:line="250" w:lineRule="auto"/>
        <w:keepLines w:val="1"/>
      </w:pPr>
      <w:r>
        <w:rPr>
          <w:b w:val="0"/>
          <w:i w:val="0"/>
          <w:sz w:val="22"/>
        </w:rPr>
        <w:t>—  slide 10, the two questions held side by side;</w:t>
      </w:r>
    </w:p>
    <w:p>
      <w:pPr>
        <w:spacing w:before="0" w:after="24" w:line="250" w:lineRule="auto"/>
        <w:keepLines w:val="1"/>
      </w:pPr>
      <w:r>
        <w:rPr>
          <w:b w:val="0"/>
          <w:i w:val="0"/>
          <w:sz w:val="22"/>
        </w:rPr>
        <w:t>—  slide 12, the real Field Kit artwork, briefly.</w:t>
      </w:r>
    </w:p>
    <w:p>
      <w:pPr>
        <w:spacing w:before="24" w:after="48" w:line="250" w:lineRule="auto"/>
        <w:keepLines w:val="1"/>
      </w:pPr>
      <w:r>
        <w:rPr>
          <w:b/>
          <w:i w:val="0"/>
          <w:sz w:val="22"/>
        </w:rPr>
        <w:t>Slides carry structure. Artifacts carry proof. Temidayo carries the relationship and the meaning. Do not swap those jobs around.</w:t>
      </w:r>
    </w:p>
    <w:p>
      <w:pPr>
        <w:spacing w:before="84" w:after="48" w:line="250" w:lineRule="auto"/>
        <w:keepLines w:val="1"/>
        <w:keepNext w:val="1"/>
      </w:pPr>
      <w:r>
        <w:rPr>
          <w:b/>
          <w:i w:val="0"/>
          <w:color w:val="0F2346"/>
          <w:sz w:val="28"/>
        </w:rPr>
        <w:t>9.  Factual boundaries</w:t>
      </w:r>
    </w:p>
    <w:p>
      <w:pPr>
        <w:spacing w:before="0" w:after="48" w:line="250" w:lineRule="auto"/>
        <w:shd w:val="clear" w:fill="F3F0E8"/>
        <w:keepLines w:val="1"/>
      </w:pPr>
      <w:r>
        <w:rPr>
          <w:b/>
          <w:i w:val="0"/>
          <w:color w:val="9B2C10"/>
          <w:sz w:val="22"/>
        </w:rPr>
        <w:t>NON-ALARMIST. No warning graphics, no red, no countdown, no urgency motifs. Nothing in the edit may suggest that being valued where you are is a problem.</w:t>
      </w:r>
    </w:p>
    <w:p>
      <w:pPr>
        <w:spacing w:before="0" w:after="48" w:line="250" w:lineRule="auto"/>
        <w:shd w:val="clear" w:fill="F3F0E8"/>
        <w:keepLines w:val="1"/>
      </w:pPr>
      <w:r>
        <w:rPr>
          <w:b/>
          <w:i w:val="0"/>
          <w:color w:val="9B2C10"/>
          <w:sz w:val="22"/>
        </w:rPr>
        <w:t>NO INVENTED STORY OR METRIC. There is no client, employer, number or result in this video. The QBR sentence is a generic example. Keep it generic.</w:t>
      </w:r>
    </w:p>
    <w:p>
      <w:pPr>
        <w:spacing w:before="0" w:after="18" w:line="250" w:lineRule="auto"/>
        <w:keepLines w:val="1"/>
      </w:pPr>
      <w:r>
        <w:rPr>
          <w:b w:val="0"/>
          <w:i w:val="0"/>
          <w:sz w:val="22"/>
        </w:rPr>
        <w:t>—  no employer named;        —  no invented metric or result;</w:t>
      </w:r>
    </w:p>
    <w:p>
      <w:pPr>
        <w:spacing w:before="0" w:after="18" w:line="250" w:lineRule="auto"/>
        <w:keepLines w:val="1"/>
      </w:pPr>
      <w:r>
        <w:rPr>
          <w:b w:val="0"/>
          <w:i w:val="0"/>
          <w:sz w:val="22"/>
        </w:rPr>
        <w:t>—  no diagnosis from one quarter;</w:t>
      </w:r>
    </w:p>
    <w:p>
      <w:pPr>
        <w:spacing w:before="0" w:after="18" w:line="250" w:lineRule="auto"/>
        <w:keepLines w:val="1"/>
      </w:pPr>
      <w:r>
        <w:rPr>
          <w:b w:val="0"/>
          <w:i w:val="0"/>
          <w:sz w:val="22"/>
        </w:rPr>
        <w:t>—  the documentation option keeps its permitted, non-confidential boundary;</w:t>
      </w:r>
    </w:p>
    <w:p>
      <w:pPr>
        <w:spacing w:before="0" w:after="18" w:line="250" w:lineRule="auto"/>
        <w:keepLines w:val="1"/>
      </w:pPr>
      <w:r>
        <w:rPr>
          <w:b w:val="0"/>
          <w:i w:val="0"/>
          <w:sz w:val="22"/>
        </w:rPr>
        <w:t>—  the honest limits stay: this will not stop a restructure or control a hiring market.</w:t>
      </w:r>
    </w:p>
    <w:p>
      <w:pPr>
        <w:spacing w:before="84" w:after="48" w:line="250" w:lineRule="auto"/>
        <w:keepLines w:val="1"/>
        <w:keepNext w:val="1"/>
      </w:pPr>
      <w:r>
        <w:rPr>
          <w:b/>
          <w:i w:val="0"/>
          <w:color w:val="0F2346"/>
          <w:sz w:val="28"/>
        </w:rPr>
        <w:t>10.  Do not use</w:t>
      </w:r>
    </w:p>
    <w:p>
      <w:pPr>
        <w:spacing w:before="0" w:after="18" w:line="250" w:lineRule="auto"/>
        <w:keepLines w:val="1"/>
      </w:pPr>
      <w:r>
        <w:rPr>
          <w:b w:val="0"/>
          <w:i w:val="0"/>
          <w:sz w:val="22"/>
        </w:rPr>
        <w:t>—  stock office B-roll;        —  generic résumé graphics;</w:t>
      </w:r>
    </w:p>
    <w:p>
      <w:pPr>
        <w:spacing w:before="0" w:after="18" w:line="250" w:lineRule="auto"/>
        <w:keepLines w:val="1"/>
      </w:pPr>
      <w:r>
        <w:rPr>
          <w:b w:val="0"/>
          <w:i w:val="0"/>
          <w:sz w:val="22"/>
        </w:rPr>
        <w:t>—  employer logos;        —  red warning graphics;</w:t>
      </w:r>
    </w:p>
    <w:p>
      <w:pPr>
        <w:spacing w:before="0" w:after="18" w:line="250" w:lineRule="auto"/>
        <w:keepLines w:val="1"/>
      </w:pPr>
      <w:r>
        <w:rPr>
          <w:b w:val="0"/>
          <w:i w:val="0"/>
          <w:sz w:val="22"/>
        </w:rPr>
        <w:t>—  fake shock expressions;        —  countdown or alarm motifs;</w:t>
      </w:r>
    </w:p>
    <w:p>
      <w:pPr>
        <w:spacing w:before="0" w:after="18" w:line="250" w:lineRule="auto"/>
        <w:keepLines w:val="1"/>
      </w:pPr>
      <w:r>
        <w:rPr>
          <w:b w:val="0"/>
          <w:i w:val="0"/>
          <w:sz w:val="22"/>
        </w:rPr>
        <w:t>—  constant zooms;        —  AI-generated scenery;</w:t>
      </w:r>
    </w:p>
    <w:p>
      <w:pPr>
        <w:spacing w:before="0" w:after="18" w:line="250" w:lineRule="auto"/>
        <w:keepLines w:val="1"/>
      </w:pPr>
      <w:r>
        <w:rPr>
          <w:b w:val="0"/>
          <w:i w:val="0"/>
          <w:sz w:val="22"/>
        </w:rPr>
        <w:t>—  social-media template effects;</w:t>
      </w:r>
    </w:p>
    <w:p>
      <w:pPr>
        <w:spacing w:before="0" w:after="18" w:line="250" w:lineRule="auto"/>
        <w:keepLines w:val="1"/>
      </w:pPr>
      <w:r>
        <w:rPr>
          <w:b w:val="0"/>
          <w:i w:val="0"/>
          <w:sz w:val="22"/>
        </w:rPr>
        <w:t>—  anything that frames being valued as a trap.</w:t>
      </w:r>
    </w:p>
    <w:p>
      <w:pPr>
        <w:spacing w:before="84" w:after="48" w:line="250" w:lineRule="auto"/>
        <w:keepLines w:val="1"/>
        <w:keepNext w:val="1"/>
      </w:pPr>
      <w:r>
        <w:rPr>
          <w:b/>
          <w:i w:val="0"/>
          <w:color w:val="0F2346"/>
          <w:sz w:val="28"/>
        </w:rPr>
        <w:t>11.  CTA and watch next</w:t>
      </w:r>
    </w:p>
    <w:p>
      <w:pPr>
        <w:spacing w:before="0" w:after="30" w:line="250" w:lineRule="auto"/>
        <w:keepLines w:val="1"/>
      </w:pPr>
      <w:r>
        <w:rPr>
          <w:b w:val="0"/>
          <w:i w:val="0"/>
          <w:sz w:val="22"/>
        </w:rPr>
        <w:t>One resource CTA only: Capability Formation Field Kit — https://temidayoafonja.com/fieldkit</w:t>
      </w:r>
    </w:p>
    <w:p>
      <w:pPr>
        <w:spacing w:before="0" w:after="36" w:line="250" w:lineRule="auto"/>
        <w:keepLines w:val="1"/>
      </w:pPr>
      <w:r>
        <w:rPr>
          <w:b w:val="0"/>
          <w:i w:val="0"/>
          <w:sz w:val="22"/>
        </w:rPr>
        <w:t>It arrives after the identity bridge, so it reads as the next step in what she has just described rather than an advert. Keep that order.</w:t>
      </w:r>
    </w:p>
    <w:p>
      <w:pPr>
        <w:spacing w:before="0" w:after="36" w:line="250" w:lineRule="auto"/>
        <w:keepLines w:val="1"/>
      </w:pPr>
      <w:r>
        <w:rPr>
          <w:b w:val="0"/>
          <w:i w:val="0"/>
          <w:sz w:val="22"/>
        </w:rPr>
        <w:t>Do not add Keep the Proof or the Career Evidence Starter.</w:t>
      </w:r>
    </w:p>
    <w:p>
      <w:pPr>
        <w:spacing w:before="0" w:after="36" w:line="250" w:lineRule="auto"/>
        <w:keepLines w:val="1"/>
      </w:pPr>
      <w:r>
        <w:rPr>
          <w:b w:val="0"/>
          <w:i w:val="0"/>
          <w:sz w:val="22"/>
        </w:rPr>
        <w:t>Before publishing, verify the live /fieldkit redirect and the current listing.</w:t>
      </w:r>
    </w:p>
    <w:p>
      <w:pPr>
        <w:spacing w:before="0" w:after="36" w:line="250" w:lineRule="auto"/>
        <w:keepLines w:val="1"/>
      </w:pPr>
      <w:r>
        <w:rPr>
          <w:b/>
          <w:i w:val="0"/>
          <w:sz w:val="22"/>
        </w:rPr>
        <w:t>Watch next: Video 3 — 3 Things to Do Before Quitting Your Job</w:t>
      </w:r>
    </w:p>
    <w:p>
      <w:pPr>
        <w:spacing w:before="0" w:after="48" w:line="250" w:lineRule="auto"/>
        <w:keepLines w:val="1"/>
      </w:pPr>
      <w:r>
        <w:rPr>
          <w:b/>
          <w:i w:val="0"/>
          <w:color w:val="9B2C10"/>
          <w:sz w:val="22"/>
        </w:rPr>
        <w:t>Do not leave Subscribe as the only end-screen element.</w:t>
      </w:r>
    </w:p>
    <w:p>
      <w:pPr>
        <w:spacing w:before="84" w:after="48" w:line="250" w:lineRule="auto"/>
        <w:keepLines w:val="1"/>
        <w:keepNext w:val="1"/>
      </w:pPr>
      <w:r>
        <w:rPr>
          <w:b/>
          <w:i w:val="0"/>
          <w:color w:val="0F2346"/>
          <w:sz w:val="28"/>
        </w:rPr>
        <w:t>12.  Identity exit — do not cut</w:t>
      </w:r>
    </w:p>
    <w:p>
      <w:pPr>
        <w:spacing w:before="0" w:after="36" w:line="250" w:lineRule="auto"/>
        <w:shd w:val="clear" w:fill="F3F0E8"/>
        <w:keepLines w:val="1"/>
      </w:pPr>
      <w:r>
        <w:rPr>
          <w:b/>
          <w:i w:val="0"/>
          <w:color w:val="0F2346"/>
          <w:sz w:val="22"/>
        </w:rPr>
        <w:t>“That is really what I want for you. Not a plan for leaving. The habit of checking — so that you are the person who already knows what they carry, before somebody else makes the timing decision for you.”</w:t>
      </w:r>
    </w:p>
    <w:p>
      <w:pPr>
        <w:spacing w:before="0" w:after="48" w:line="250" w:lineRule="auto"/>
        <w:keepLines w:val="1"/>
      </w:pPr>
      <w:r>
        <w:rPr>
          <w:b w:val="0"/>
          <w:i w:val="0"/>
          <w:sz w:val="22"/>
        </w:rPr>
        <w:t>It sits at the end of the Before You Leave section, after the honest limits and before the Field Kit. It is the point of the video. If the edit runs long, cut something else.</w:t>
      </w:r>
    </w:p>
    <w:p>
      <w:pPr>
        <w:spacing w:before="84" w:after="48" w:line="250" w:lineRule="auto"/>
        <w:keepLines w:val="1"/>
        <w:keepNext w:val="1"/>
      </w:pPr>
      <w:r>
        <w:rPr>
          <w:b/>
          <w:i w:val="0"/>
          <w:color w:val="0F2346"/>
          <w:sz w:val="28"/>
        </w:rPr>
        <w:t>13.  Direct-address editing rule</w:t>
      </w:r>
    </w:p>
    <w:p>
      <w:pPr>
        <w:spacing w:before="0" w:after="18" w:line="250" w:lineRule="auto"/>
        <w:keepLines w:val="1"/>
      </w:pPr>
      <w:r>
        <w:rPr>
          <w:b w:val="0"/>
          <w:i w:val="0"/>
          <w:sz w:val="22"/>
        </w:rPr>
        <w:t>—  keep direct questions on Temidayo's face;        —  no keynote framing;</w:t>
      </w:r>
    </w:p>
    <w:p>
      <w:pPr>
        <w:spacing w:before="0" w:after="18" w:line="250" w:lineRule="auto"/>
        <w:keepLines w:val="1"/>
      </w:pPr>
      <w:r>
        <w:rPr>
          <w:b w:val="0"/>
          <w:i w:val="0"/>
          <w:sz w:val="22"/>
        </w:rPr>
        <w:t>—  do not overuse quote cards;        —  let the slides carry structure;</w:t>
      </w:r>
    </w:p>
    <w:p>
      <w:pPr>
        <w:spacing w:before="0" w:after="18" w:line="250" w:lineRule="auto"/>
        <w:keepLines w:val="1"/>
      </w:pPr>
      <w:r>
        <w:rPr>
          <w:b w:val="0"/>
          <w:i w:val="0"/>
          <w:sz w:val="22"/>
        </w:rPr>
        <w:t>—  preserve the pauses;        —  never cut the relational lines as filler.</w:t>
      </w:r>
    </w:p>
    <w:p>
      <w:pPr>
        <w:spacing w:before="0" w:after="48" w:line="250" w:lineRule="auto"/>
        <w:keepLines w:val="1"/>
      </w:pPr>
      <w:r>
        <w:rPr>
          <w:b w:val="0"/>
          <w:i w:val="0"/>
          <w:sz w:val="21"/>
        </w:rPr>
        <w:t>Relational beats: “I have had to answer that question about myself more than once.” · “Not to make you anxious. To give you back some control over the answer.” · “They are not being unfair when they cannot see it. They simply cannot read the evidence.” · “That is a translation problem, not a value problem.” · “Not panic. Attention.”</w:t>
      </w:r>
    </w:p>
    <w:p>
      <w:pPr>
        <w:spacing w:before="84" w:after="48" w:line="250" w:lineRule="auto"/>
        <w:keepLines w:val="1"/>
        <w:keepNext w:val="1"/>
      </w:pPr>
      <w:r>
        <w:rPr>
          <w:b/>
          <w:i w:val="0"/>
          <w:color w:val="0F2346"/>
          <w:sz w:val="28"/>
        </w:rPr>
        <w:t>14.  Speaker-note update record</w:t>
      </w:r>
    </w:p>
    <w:p>
      <w:pPr>
        <w:spacing w:before="0" w:after="18" w:line="250" w:lineRule="auto"/>
        <w:keepLines w:val="1"/>
      </w:pPr>
      <w:r>
        <w:rPr>
          <w:b w:val="0"/>
          <w:i w:val="0"/>
          <w:sz w:val="22"/>
        </w:rPr>
        <w:t>—  Main deck: 13 notes parts rewritten for the v5.1 narration.</w:t>
      </w:r>
    </w:p>
    <w:p>
      <w:pPr>
        <w:spacing w:before="0" w:after="18" w:line="250" w:lineRule="auto"/>
        <w:keepLines w:val="1"/>
      </w:pPr>
      <w:r>
        <w:rPr>
          <w:b w:val="0"/>
          <w:i w:val="0"/>
          <w:sz w:val="22"/>
        </w:rPr>
        <w:t>—  Reveal deck: 23 notes parts rewritten.</w:t>
      </w:r>
    </w:p>
    <w:p>
      <w:pPr>
        <w:spacing w:before="0" w:after="18" w:line="250" w:lineRule="auto"/>
        <w:keepLines w:val="1"/>
      </w:pPr>
      <w:r>
        <w:rPr>
          <w:b w:val="0"/>
          <w:i w:val="0"/>
          <w:sz w:val="22"/>
        </w:rPr>
        <w:t>—  Slide XML, geometry, typography, palette and media: UNCHANGED. Speaker notes: rewritten for the v5.1 narration.</w:t>
      </w:r>
    </w:p>
    <w:p>
      <w:pPr>
        <w:spacing w:before="0" w:after="18" w:line="250" w:lineRule="auto"/>
        <w:keepLines w:val="1"/>
      </w:pPr>
      <w:r>
        <w:rPr>
          <w:b w:val="0"/>
          <w:i w:val="0"/>
          <w:sz w:val="22"/>
        </w:rPr>
        <w:t>—  Timings are working estimates at 145 words per minute for the 1,411-word script, about 9:43.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