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2 SHORT  ·  v5.1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2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Distinction / myth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Opening line:  “Valuable here and legible elsewhere are two different questions.”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Is Your Job Making You Less Marketable?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Valuable here and legible elsewhere are two different questions.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And doing well at work only answers the first one.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Your organisation may depend on you because the undocumented history lives in your head. Because certain relationships run through you. Because you are the one who rescues the fragile process.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makes you very hard to replace here.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It does not automatically make you easier to understand anywhere else.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Those are two kinds of value, and it is worth knowing which one you have been building.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 want to be clear that the first one is real. Being relied on is not a trap and it is not a warning sign.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But if you cannot say what you do without your employer's vocabulary, that is a translation problem.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And a translation problem is fixable.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It is just much easier to fix before you need it fixed.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