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312" w:lineRule="auto"/>
      </w:pPr>
      <w:r>
        <w:rPr>
          <w:b/>
          <w:i w:val="0"/>
          <w:caps/>
          <w:color w:val="8A6D1E"/>
          <w:sz w:val="20"/>
        </w:rPr>
        <w:t>VIDEO 3 SHORT  ·  v5.1</w:t>
      </w:r>
    </w:p>
    <w:p>
      <w:pPr>
        <w:spacing w:before="0" w:after="160" w:line="264" w:lineRule="auto"/>
      </w:pPr>
      <w:r>
        <w:rPr>
          <w:b/>
          <w:i w:val="0"/>
          <w:color w:val="0F2346"/>
          <w:sz w:val="40"/>
        </w:rPr>
        <w:t>SHORT 3</w:t>
      </w:r>
    </w:p>
    <w:p>
      <w:pPr>
        <w:spacing w:before="0" w:after="100" w:line="312" w:lineRule="auto"/>
        <w:keepLines w:val="1"/>
      </w:pPr>
      <w:r>
        <w:rPr>
          <w:b w:val="0"/>
          <w:i w:val="0"/>
          <w:color w:val="5A6B82"/>
          <w:sz w:val="22"/>
        </w:rPr>
        <w:t>Role:  Proof / personal evidence</w:t>
      </w:r>
    </w:p>
    <w:p>
      <w:pPr>
        <w:spacing w:before="0" w:after="100" w:line="312" w:lineRule="auto"/>
        <w:keepLines w:val="1"/>
      </w:pPr>
      <w:r>
        <w:rPr>
          <w:b w:val="0"/>
          <w:i w:val="0"/>
          <w:color w:val="5A6B82"/>
          <w:sz w:val="22"/>
        </w:rPr>
        <w:t>Opening line:  “The day you leave, a lot of things go at once.”</w:t>
      </w:r>
    </w:p>
    <w:p>
      <w:pPr>
        <w:spacing w:before="0" w:after="200" w:line="312" w:lineRule="auto"/>
        <w:keepLines w:val="1"/>
      </w:pPr>
      <w:r>
        <w:rPr>
          <w:b w:val="0"/>
          <w:i w:val="0"/>
          <w:color w:val="5A6B82"/>
          <w:sz w:val="22"/>
        </w:rPr>
        <w:t>Related long-form:  3 Things to Do Before Quitting Your Job</w:t>
      </w:r>
    </w:p>
    <w:p>
      <w:pPr>
        <w:spacing w:before="240" w:after="160" w:line="312" w:lineRule="auto"/>
        <w:keepLines w:val="1"/>
        <w:keepNext w:val="1"/>
      </w:pPr>
      <w:r>
        <w:rPr>
          <w:b/>
          <w:i w:val="0"/>
          <w:color w:val="0F2346"/>
          <w:sz w:val="28"/>
        </w:rPr>
        <w:t>RECORDING COPY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The day you leave, a lot of things go at once.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The systems close. The files close. The internal directory closes.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The people who could confirm what you actually did scatter into new roles and new companies.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And your own memory of the detail starts to blur almost immediately.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I know how quickly access can change without anybody choosing it. I once accepted a job offer that an acquisition rescinded before I ever got to start.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Your situation is different in one important way. You may be the one doing the choosing.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That is an advantage, and it is worth using while you still have it.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Because the difference between leaving with a story and leaving with evidence is mostly what you did in the two weeks before you handed in your notice.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Write it down while you still can.</w:t>
      </w:r>
    </w:p>
    <w:sectPr w:rsidR="00FC693F" w:rsidRPr="0006063C" w:rsidSect="00034616">
      <w:pgSz w:w="12240" w:h="15840"/>
      <w:pgMar w:top="1296" w:right="1512" w:bottom="1296" w:left="151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autoHyphenation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