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line="245" w:lineRule="auto"/>
      </w:pPr>
      <w:r>
        <w:rPr>
          <w:b/>
          <w:i w:val="0"/>
          <w:color w:val="9B2C10"/>
          <w:sz w:val="44"/>
        </w:rPr>
        <w:t>EDITOR ONLY</w:t>
      </w:r>
    </w:p>
    <w:p>
      <w:pPr>
        <w:spacing w:before="0" w:after="10" w:line="245" w:lineRule="auto"/>
      </w:pPr>
      <w:r>
        <w:rPr>
          <w:b/>
          <w:i w:val="0"/>
          <w:caps/>
          <w:color w:val="8A6D1E"/>
          <w:sz w:val="24"/>
        </w:rPr>
        <w:t>VIDEO 5  ·  v5.1 BELONGING + IDENTITY</w:t>
      </w:r>
    </w:p>
    <w:p>
      <w:pPr>
        <w:spacing w:before="0" w:after="32" w:line="245" w:lineRule="auto"/>
      </w:pPr>
      <w:r>
        <w:rPr>
          <w:b/>
          <w:i w:val="0"/>
          <w:color w:val="0F2346"/>
          <w:sz w:val="40"/>
        </w:rPr>
        <w:t>Should I Make an Internal Move? 3 Questions to Decide</w:t>
      </w:r>
    </w:p>
    <w:p>
      <w:pPr>
        <w:spacing w:before="0" w:after="84" w:line="245" w:lineRule="auto"/>
        <w:shd w:val="clear" w:fill="F3F0E8"/>
      </w:pPr>
      <w:r>
        <w:rPr>
          <w:b w:val="0"/>
          <w:i/>
          <w:color w:val="5A6B82"/>
          <w:sz w:val="22"/>
        </w:rPr>
        <w:t>This document is for the editor. It is NOT Temidayo's teleprompter and must not be placed on the recording screen.</w:t>
      </w:r>
    </w:p>
    <w:p>
      <w:pPr>
        <w:spacing w:before="72" w:after="42" w:line="245" w:lineRule="auto"/>
        <w:keepLines w:val="1"/>
        <w:keepNext w:val="1"/>
      </w:pPr>
      <w:r>
        <w:rPr>
          <w:b/>
          <w:i w:val="0"/>
          <w:color w:val="0F2346"/>
          <w:sz w:val="28"/>
        </w:rPr>
        <w:t>1.  Locked metadata</w:t>
      </w:r>
    </w:p>
    <w:p>
      <w:pPr>
        <w:spacing w:before="0" w:after="26" w:line="245" w:lineRule="auto"/>
        <w:keepLines w:val="1"/>
      </w:pPr>
      <w:r>
        <w:rPr>
          <w:b w:val="0"/>
          <w:i w:val="0"/>
          <w:sz w:val="22"/>
        </w:rPr>
        <w:t>Title:                   Should I Make an Internal Move? 3 Questions to Decide</w:t>
      </w:r>
    </w:p>
    <w:p>
      <w:pPr>
        <w:spacing w:before="0" w:after="26" w:line="245" w:lineRule="auto"/>
        <w:keepLines w:val="1"/>
      </w:pPr>
      <w:r>
        <w:rPr>
          <w:b w:val="0"/>
          <w:i w:val="0"/>
          <w:sz w:val="22"/>
        </w:rPr>
        <w:t>Thumbnail:               YOU MAY NOT NEED TO LEAVE</w:t>
      </w:r>
    </w:p>
    <w:p>
      <w:pPr>
        <w:spacing w:before="0" w:after="26" w:line="245" w:lineRule="auto"/>
        <w:keepLines w:val="1"/>
      </w:pPr>
      <w:r>
        <w:rPr>
          <w:b w:val="0"/>
          <w:i w:val="0"/>
          <w:sz w:val="22"/>
        </w:rPr>
        <w:t>Primary search phrase:   should I make an internal move</w:t>
      </w:r>
    </w:p>
    <w:p>
      <w:pPr>
        <w:spacing w:before="0" w:after="26" w:line="245" w:lineRule="auto"/>
        <w:keepLines w:val="1"/>
      </w:pPr>
      <w:r>
        <w:rPr>
          <w:b w:val="0"/>
          <w:i w:val="0"/>
          <w:sz w:val="22"/>
        </w:rPr>
        <w:t>Primary CTA:             Career Decision Evidence Check</w:t>
      </w:r>
    </w:p>
    <w:p>
      <w:pPr>
        <w:spacing w:before="0" w:after="26" w:line="245" w:lineRule="auto"/>
        <w:keepLines w:val="1"/>
      </w:pPr>
      <w:r>
        <w:rPr>
          <w:b w:val="0"/>
          <w:i w:val="0"/>
          <w:sz w:val="22"/>
        </w:rPr>
        <w:t>CTA URL:                 https://temidayoafonja.com/career-decisions</w:t>
      </w:r>
    </w:p>
    <w:p>
      <w:pPr>
        <w:spacing w:before="0" w:after="26" w:line="245" w:lineRule="auto"/>
        <w:keepLines w:val="1"/>
      </w:pPr>
      <w:r>
        <w:rPr>
          <w:b w:val="0"/>
          <w:i w:val="0"/>
          <w:sz w:val="22"/>
        </w:rPr>
        <w:t>CTA production gate:     SATISFIED</w:t>
      </w:r>
    </w:p>
    <w:p>
      <w:pPr>
        <w:spacing w:before="0" w:after="26" w:line="245" w:lineRule="auto"/>
        <w:keepLines w:val="1"/>
      </w:pPr>
      <w:r>
        <w:rPr>
          <w:b w:val="0"/>
          <w:i w:val="0"/>
          <w:sz w:val="22"/>
        </w:rPr>
        <w:t>Watch next:              Video 6 — Are You Growing—or Just Being Given More Work?</w:t>
      </w:r>
    </w:p>
    <w:p>
      <w:pPr>
        <w:spacing w:before="0" w:after="26" w:line="245" w:lineRule="auto"/>
        <w:keepLines w:val="1"/>
      </w:pPr>
      <w:r>
        <w:rPr>
          <w:b w:val="0"/>
          <w:i w:val="0"/>
          <w:sz w:val="22"/>
        </w:rPr>
        <w:t>Memory device:           The three questions. No acronym, no second framework.</w:t>
      </w:r>
    </w:p>
    <w:p>
      <w:pPr>
        <w:spacing w:before="0" w:after="32" w:line="245" w:lineRule="auto"/>
        <w:keepLines w:val="1"/>
      </w:pPr>
      <w:r>
        <w:rPr>
          <w:b/>
          <w:i w:val="0"/>
          <w:color w:val="9B2C10"/>
          <w:sz w:val="22"/>
        </w:rPr>
        <w:t>Do not add CAR — it belongs to Video 6. Do not add the Career Evidence 3 Cs, the Field Kit, Keep the Proof or the Career Evidence Starter to this video.</w:t>
      </w:r>
    </w:p>
    <w:p>
      <w:pPr>
        <w:spacing w:before="0" w:after="32" w:line="245" w:lineRule="auto"/>
        <w:keepLines w:val="1"/>
      </w:pPr>
      <w:r>
        <w:rPr>
          <w:b/>
          <w:i w:val="0"/>
          <w:color w:val="9B2C10"/>
          <w:sz w:val="22"/>
        </w:rPr>
        <w:t>Do not name the employer in the maternity-return proof, anywhere, ever.</w:t>
      </w:r>
    </w:p>
    <w:p>
      <w:pPr>
        <w:spacing w:before="72" w:after="42" w:line="245" w:lineRule="auto"/>
        <w:keepLines w:val="1"/>
        <w:keepNext w:val="1"/>
      </w:pPr>
      <w:r>
        <w:rPr>
          <w:b/>
          <w:i w:val="0"/>
          <w:color w:val="0F2346"/>
          <w:sz w:val="28"/>
        </w:rPr>
        <w:t>2.  Identity promise for this video</w:t>
      </w:r>
    </w:p>
    <w:p>
      <w:pPr>
        <w:spacing w:before="0" w:after="42" w:line="245" w:lineRule="auto"/>
        <w:shd w:val="clear" w:fill="F3F0E8"/>
        <w:keepLines w:val="1"/>
      </w:pPr>
      <w:r>
        <w:rPr>
          <w:b/>
          <w:i w:val="0"/>
          <w:color w:val="0F2346"/>
          <w:sz w:val="22"/>
        </w:rPr>
        <w:t>Become the professional who can read any opportunity — inside or outside — for what it will actually build in them, instead of chasing the title and finding out afterwards.</w:t>
      </w:r>
    </w:p>
    <w:p>
      <w:pPr>
        <w:spacing w:before="0" w:after="42" w:line="245" w:lineRule="auto"/>
        <w:keepLines w:val="1"/>
      </w:pPr>
      <w:r>
        <w:rPr>
          <w:b w:val="0"/>
          <w:i w:val="0"/>
          <w:sz w:val="22"/>
        </w:rPr>
        <w:t>The last line of that section is the point: once the viewer can do this, they stop needing anyone to tell them whether an opportunity is good. Do not cut it for pace.</w:t>
      </w:r>
    </w:p>
    <w:p>
      <w:pPr>
        <w:spacing w:before="72" w:after="42" w:line="245" w:lineRule="auto"/>
        <w:keepLines w:val="1"/>
        <w:keepNext w:val="1"/>
      </w:pPr>
      <w:r>
        <w:rPr>
          <w:b/>
          <w:i w:val="0"/>
          <w:color w:val="0F2346"/>
          <w:sz w:val="28"/>
        </w:rPr>
        <w:t>3.  Who is watching, and what they are feeling</w:t>
      </w:r>
    </w:p>
    <w:p>
      <w:pPr>
        <w:spacing w:before="0" w:after="32" w:line="245" w:lineRule="auto"/>
      </w:pPr>
      <w:r>
        <w:rPr>
          <w:b w:val="0"/>
          <w:i w:val="0"/>
          <w:sz w:val="22"/>
        </w:rPr>
        <w:t>Someone who is doing well and is valued where they are, and who has quietly started wondering whether they have to leave in order to get different work. Nothing is wrong.</w:t>
      </w:r>
    </w:p>
    <w:p>
      <w:pPr>
        <w:spacing w:before="0" w:after="32" w:line="245" w:lineRule="auto"/>
      </w:pPr>
      <w:r>
        <w:rPr>
          <w:b w:val="0"/>
          <w:i w:val="0"/>
          <w:sz w:val="22"/>
        </w:rPr>
        <w:t>They are not unhappy enough to be in crisis and not settled enough to stop wondering. That in-between is the doorway.</w:t>
      </w:r>
    </w:p>
    <w:p>
      <w:pPr>
        <w:spacing w:before="0" w:after="32" w:line="245" w:lineRule="auto"/>
      </w:pPr>
      <w:r>
        <w:rPr>
          <w:b w:val="0"/>
          <w:i w:val="0"/>
          <w:sz w:val="22"/>
        </w:rPr>
        <w:t>The opening names that exact state in one sentence, before offering anything.</w:t>
      </w:r>
    </w:p>
    <w:p>
      <w:pPr>
        <w:spacing w:before="72" w:after="42" w:line="245" w:lineRule="auto"/>
        <w:keepLines w:val="1"/>
        <w:keepNext w:val="1"/>
      </w:pPr>
      <w:r>
        <w:rPr>
          <w:b/>
          <w:i w:val="0"/>
          <w:color w:val="0F2346"/>
          <w:sz w:val="28"/>
        </w:rPr>
        <w:t>4.  Belonging and lived proof</w:t>
      </w:r>
    </w:p>
    <w:p>
      <w:pPr>
        <w:spacing w:before="0" w:after="32" w:line="245" w:lineRule="auto"/>
      </w:pPr>
      <w:r>
        <w:rPr>
          <w:b w:val="0"/>
          <w:i w:val="0"/>
          <w:sz w:val="22"/>
        </w:rPr>
        <w:t>Recognition first, then the promise, then the lived proof at about 0:32, then the interpretation, and only then the three questions at about 2:04.</w:t>
      </w:r>
    </w:p>
    <w:p>
      <w:pPr>
        <w:spacing w:before="0" w:after="26" w:line="245" w:lineRule="auto"/>
        <w:keepLines w:val="1"/>
      </w:pPr>
      <w:r>
        <w:rPr>
          <w:b w:val="0"/>
          <w:i w:val="0"/>
          <w:sz w:val="22"/>
        </w:rPr>
        <w:t>—  About six months after Temidayo came back from maternity leave in one chapter of her career, her scope expanded beyond the original box of the role. More landed on her — and that is not the part that mattered.</w:t>
      </w:r>
    </w:p>
    <w:p>
      <w:pPr>
        <w:spacing w:before="0" w:after="26" w:line="245" w:lineRule="auto"/>
        <w:keepLines w:val="1"/>
      </w:pPr>
      <w:r>
        <w:rPr>
          <w:b w:val="0"/>
          <w:i w:val="0"/>
          <w:sz w:val="22"/>
        </w:rPr>
        <w:t>—  The meaningful part was being trusted with DIFFERENT work. Not more of the same work. That distinction is the whole video.</w:t>
      </w:r>
    </w:p>
    <w:p>
      <w:pPr>
        <w:spacing w:before="0" w:after="26" w:line="245" w:lineRule="auto"/>
        <w:keepLines w:val="1"/>
      </w:pPr>
      <w:r>
        <w:rPr>
          <w:b w:val="0"/>
          <w:i w:val="0"/>
          <w:sz w:val="22"/>
        </w:rPr>
        <w:t>—  Do NOT name the employer. Do NOT invent an assignment, a result, a promotion, a conversation or a metric. Do not use maternity or baby stock imagery and do not dramatise the reference.</w:t>
      </w:r>
    </w:p>
    <w:p>
      <w:pPr>
        <w:spacing w:before="0" w:after="26" w:line="245" w:lineRule="auto"/>
        <w:keepLines w:val="1"/>
      </w:pPr>
      <w:r>
        <w:rPr>
          <w:b w:val="0"/>
          <w:i w:val="0"/>
          <w:sz w:val="22"/>
        </w:rPr>
        <w:t>—  “I did not see that clearly at the time. I noticed the load first, the way most of us do.” That is the relearning beat. It is what keeps the story from sounding like hindsight wisdom. Keep it.</w:t>
      </w:r>
    </w:p>
    <w:p>
      <w:pPr>
        <w:spacing w:before="0" w:after="42" w:line="245"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72" w:after="42" w:line="245"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0:00–0:09</w:t>
            </w:r>
          </w:p>
        </w:tc>
        <w:tc>
          <w:tcPr>
            <w:tcW w:type="dxa" w:w="2333"/>
          </w:tcPr>
          <w:p>
            <w:pPr>
              <w:spacing w:after="40" w:line="252" w:lineRule="auto"/>
            </w:pPr>
            <w:r/>
            <w:r>
              <w:rPr>
                <w:sz w:val="16"/>
              </w:rPr>
              <w:t>“You might be doing well exactly where you are, and still wondering whether you have to leave to get different work.”</w:t>
            </w:r>
          </w:p>
        </w:tc>
        <w:tc>
          <w:tcPr>
            <w:tcW w:type="dxa" w:w="1325"/>
          </w:tcPr>
          <w:p>
            <w:pPr>
              <w:spacing w:after="40" w:line="252" w:lineRule="auto"/>
            </w:pPr>
            <w:r/>
            <w:r>
              <w:rPr>
                <w:sz w:val="16"/>
              </w:rPr>
              <w:t>Recognition of a specific, slightly private state.</w:t>
            </w:r>
          </w:p>
        </w:tc>
        <w:tc>
          <w:tcPr>
            <w:tcW w:type="dxa" w:w="1512"/>
          </w:tcPr>
          <w:p>
            <w:pPr>
              <w:spacing w:after="40" w:line="252" w:lineRule="auto"/>
            </w:pPr>
            <w:r/>
            <w:r>
              <w:rPr>
                <w:sz w:val="16"/>
              </w:rPr>
              <w:t>YOU MAY NOT NEED TO LEAVE</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w:t>
            </w:r>
          </w:p>
        </w:tc>
        <w:tc>
          <w:tcPr>
            <w:tcW w:type="dxa" w:w="1397"/>
          </w:tcPr>
          <w:p>
            <w:pPr>
              <w:spacing w:after="40" w:line="252" w:lineRule="auto"/>
            </w:pPr>
            <w:r/>
            <w:r>
              <w:rPr>
                <w:sz w:val="16"/>
              </w:rPr>
              <w:t>The viewer is described precisely, without judgement.</w:t>
            </w:r>
          </w:p>
        </w:tc>
      </w:tr>
      <w:tr>
        <w:tc>
          <w:tcPr>
            <w:tcW w:type="dxa" w:w="749"/>
          </w:tcPr>
          <w:p>
            <w:pPr>
              <w:spacing w:after="40" w:line="252" w:lineRule="auto"/>
            </w:pPr>
            <w:r/>
            <w:r>
              <w:rPr>
                <w:sz w:val="16"/>
              </w:rPr>
              <w:t>0:09–0:16</w:t>
            </w:r>
          </w:p>
        </w:tc>
        <w:tc>
          <w:tcPr>
            <w:tcW w:type="dxa" w:w="2333"/>
          </w:tcPr>
          <w:p>
            <w:pPr>
              <w:spacing w:after="40" w:line="252" w:lineRule="auto"/>
            </w:pPr>
            <w:r/>
            <w:r>
              <w:rPr>
                <w:sz w:val="16"/>
              </w:rPr>
              <w:t>“That is a real question. I do not think it has a general answer. It has your answer.”</w:t>
            </w:r>
          </w:p>
        </w:tc>
        <w:tc>
          <w:tcPr>
            <w:tcW w:type="dxa" w:w="1325"/>
          </w:tcPr>
          <w:p>
            <w:pPr>
              <w:spacing w:after="40" w:line="252" w:lineRule="auto"/>
            </w:pPr>
            <w:r/>
            <w:r>
              <w:rPr>
                <w:sz w:val="16"/>
              </w:rPr>
              <w:t>Refuses to sell a universal rule. This is the belonging move.</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w:t>
            </w:r>
          </w:p>
        </w:tc>
        <w:tc>
          <w:tcPr>
            <w:tcW w:type="dxa" w:w="1325"/>
          </w:tcPr>
          <w:p>
            <w:pPr>
              <w:spacing w:after="40" w:line="252" w:lineRule="auto"/>
            </w:pPr>
            <w:r/>
            <w:r>
              <w:rPr>
                <w:sz w:val="16"/>
              </w:rPr>
              <w:t>—</w:t>
            </w:r>
          </w:p>
        </w:tc>
        <w:tc>
          <w:tcPr>
            <w:tcW w:type="dxa" w:w="1397"/>
          </w:tcPr>
          <w:p>
            <w:pPr>
              <w:spacing w:after="40" w:line="252" w:lineRule="auto"/>
            </w:pPr>
            <w:r/>
            <w:r>
              <w:rPr>
                <w:sz w:val="16"/>
              </w:rPr>
              <w:t>The viewer is treated as the one who decides.</w:t>
            </w:r>
          </w:p>
        </w:tc>
      </w:tr>
      <w:tr>
        <w:tc>
          <w:tcPr>
            <w:tcW w:type="dxa" w:w="749"/>
          </w:tcPr>
          <w:p>
            <w:pPr>
              <w:spacing w:after="40" w:line="252" w:lineRule="auto"/>
            </w:pPr>
            <w:r/>
            <w:r>
              <w:rPr>
                <w:sz w:val="16"/>
              </w:rPr>
              <w:t>0:16–0:24</w:t>
            </w:r>
          </w:p>
        </w:tc>
        <w:tc>
          <w:tcPr>
            <w:tcW w:type="dxa" w:w="2333"/>
          </w:tcPr>
          <w:p>
            <w:pPr>
              <w:spacing w:after="40" w:line="252" w:lineRule="auto"/>
            </w:pPr>
            <w:r/>
            <w:r>
              <w:rPr>
                <w:sz w:val="16"/>
              </w:rPr>
              <w:t>“So let me give you the three questions I use to read an internal move honestly, before taking it.”</w:t>
            </w:r>
          </w:p>
        </w:tc>
        <w:tc>
          <w:tcPr>
            <w:tcW w:type="dxa" w:w="1325"/>
          </w:tcPr>
          <w:p>
            <w:pPr>
              <w:spacing w:after="40" w:line="252" w:lineRule="auto"/>
            </w:pPr>
            <w:r/>
            <w:r>
              <w:rPr>
                <w:sz w:val="16"/>
              </w:rPr>
              <w:t>The payoff, stated plainly.</w:t>
            </w:r>
          </w:p>
        </w:tc>
        <w:tc>
          <w:tcPr>
            <w:tcW w:type="dxa" w:w="1512"/>
          </w:tcPr>
          <w:p>
            <w:pPr>
              <w:spacing w:after="40" w:line="252" w:lineRule="auto"/>
            </w:pPr>
            <w:r/>
            <w:r>
              <w:rPr>
                <w:sz w:val="16"/>
              </w:rPr>
              <w:t>3 QUESTIONS</w:t>
            </w:r>
          </w:p>
        </w:tc>
        <w:tc>
          <w:tcPr>
            <w:tcW w:type="dxa" w:w="1584"/>
          </w:tcPr>
          <w:p>
            <w:pPr>
              <w:spacing w:after="40" w:line="252" w:lineRule="auto"/>
            </w:pPr>
            <w:r/>
            <w:r>
              <w:rPr>
                <w:sz w:val="16"/>
              </w:rPr>
              <w:t>Restrained. No office-building footage, no transfer arrows.</w:t>
            </w:r>
          </w:p>
        </w:tc>
        <w:tc>
          <w:tcPr>
            <w:tcW w:type="dxa" w:w="1325"/>
          </w:tcPr>
          <w:p>
            <w:pPr>
              <w:spacing w:after="40" w:line="252" w:lineRule="auto"/>
            </w:pPr>
            <w:r/>
            <w:r>
              <w:rPr>
                <w:sz w:val="16"/>
              </w:rPr>
              <w:t>—</w:t>
            </w:r>
          </w:p>
        </w:tc>
        <w:tc>
          <w:tcPr>
            <w:tcW w:type="dxa" w:w="1397"/>
          </w:tcPr>
          <w:p>
            <w:pPr>
              <w:spacing w:after="40" w:line="252" w:lineRule="auto"/>
            </w:pPr>
            <w:r/>
            <w:r>
              <w:rPr>
                <w:sz w:val="16"/>
              </w:rPr>
              <w:t>Payoff explicit by 24 seconds.</w:t>
            </w:r>
          </w:p>
        </w:tc>
      </w:tr>
      <w:tr>
        <w:tc>
          <w:tcPr>
            <w:tcW w:type="dxa" w:w="749"/>
          </w:tcPr>
          <w:p>
            <w:pPr>
              <w:spacing w:after="40" w:line="252" w:lineRule="auto"/>
            </w:pPr>
            <w:r/>
            <w:r>
              <w:rPr>
                <w:sz w:val="16"/>
              </w:rPr>
              <w:t>0:24–0:43</w:t>
            </w:r>
          </w:p>
        </w:tc>
        <w:tc>
          <w:tcPr>
            <w:tcW w:type="dxa" w:w="2333"/>
          </w:tcPr>
          <w:p>
            <w:pPr>
              <w:spacing w:after="40" w:line="252" w:lineRule="auto"/>
            </w:pPr>
            <w:r/>
            <w:r>
              <w:rPr>
                <w:sz w:val="16"/>
              </w:rPr>
              <w:t>“About six months after I came back from maternity leave, in one chapter of my career, my scope expanded beyond the original box of the role. It was not simply more work. It was different work.”</w:t>
            </w:r>
          </w:p>
        </w:tc>
        <w:tc>
          <w:tcPr>
            <w:tcW w:type="dxa" w:w="1325"/>
          </w:tcPr>
          <w:p>
            <w:pPr>
              <w:spacing w:after="40" w:line="252" w:lineRule="auto"/>
            </w:pPr>
            <w:r/>
            <w:r>
              <w:rPr>
                <w:sz w:val="16"/>
              </w:rPr>
              <w:t>The lived proof, and the distinction the whole video runs on.</w:t>
            </w:r>
          </w:p>
        </w:tc>
        <w:tc>
          <w:tcPr>
            <w:tcW w:type="dxa" w:w="1512"/>
          </w:tcPr>
          <w:p>
            <w:pPr>
              <w:spacing w:after="40" w:line="252" w:lineRule="auto"/>
            </w:pPr>
            <w:r/>
            <w:r>
              <w:rPr>
                <w:sz w:val="16"/>
              </w:rPr>
              <w:t>MORE WORK? / DIFFERENT WORK</w:t>
            </w:r>
          </w:p>
        </w:tc>
        <w:tc>
          <w:tcPr>
            <w:tcW w:type="dxa" w:w="1584"/>
          </w:tcPr>
          <w:p>
            <w:pPr>
              <w:spacing w:after="40" w:line="252" w:lineRule="auto"/>
            </w:pPr>
            <w:r/>
            <w:r>
              <w:rPr>
                <w:sz w:val="16"/>
              </w:rPr>
              <w:t>Return cleanly to Temidayo. NO maternity or baby imagery of any kind.</w:t>
            </w:r>
          </w:p>
        </w:tc>
        <w:tc>
          <w:tcPr>
            <w:tcW w:type="dxa" w:w="1325"/>
          </w:tcPr>
          <w:p>
            <w:pPr>
              <w:spacing w:after="40" w:line="252" w:lineRule="auto"/>
            </w:pPr>
            <w:r/>
            <w:r>
              <w:rPr>
                <w:sz w:val="16"/>
              </w:rPr>
              <w:t>The maternity-return scope expansion, bounded. No employer, no assignment, no result, no promotion.</w:t>
            </w:r>
          </w:p>
        </w:tc>
        <w:tc>
          <w:tcPr>
            <w:tcW w:type="dxa" w:w="1397"/>
          </w:tcPr>
          <w:p>
            <w:pPr>
              <w:spacing w:after="40" w:line="252" w:lineRule="auto"/>
            </w:pPr>
            <w:r/>
            <w:r>
              <w:rPr>
                <w:sz w:val="16"/>
              </w:rPr>
              <w:t>Trust is established inside the first minute.</w:t>
            </w:r>
          </w:p>
        </w:tc>
      </w:tr>
    </w:tbl>
    <w:p>
      <w:pPr>
        <w:spacing w:before="52" w:after="26" w:line="245" w:lineRule="auto"/>
        <w:keepLines w:val="1"/>
      </w:pPr>
      <w:r>
        <w:rPr>
          <w:b/>
          <w:i w:val="0"/>
          <w:color w:val="0F2346"/>
          <w:sz w:val="21"/>
        </w:rPr>
        <w:t>Hook layers:</w:t>
      </w:r>
    </w:p>
    <w:p>
      <w:pPr>
        <w:spacing w:before="0" w:after="20" w:line="245" w:lineRule="auto"/>
        <w:keepLines w:val="1"/>
      </w:pPr>
      <w:r>
        <w:rPr>
          <w:b w:val="0"/>
          <w:i w:val="0"/>
          <w:sz w:val="21"/>
        </w:rPr>
        <w:t>Verbal hook:       You might be doing well exactly where you are, and still wondering whether you have to leave to get different work.</w:t>
      </w:r>
    </w:p>
    <w:p>
      <w:pPr>
        <w:spacing w:before="0" w:after="20" w:line="245" w:lineRule="auto"/>
        <w:keepLines w:val="1"/>
      </w:pPr>
      <w:r>
        <w:rPr>
          <w:b w:val="0"/>
          <w:i w:val="0"/>
          <w:sz w:val="21"/>
        </w:rPr>
        <w:t>On-screen hook:    YOU MAY NOT NEED TO LEAVE</w:t>
      </w:r>
    </w:p>
    <w:p>
      <w:pPr>
        <w:spacing w:before="0" w:after="20" w:line="245" w:lineRule="auto"/>
        <w:keepLines w:val="1"/>
      </w:pPr>
      <w:r>
        <w:rPr>
          <w:b w:val="0"/>
          <w:i w:val="0"/>
          <w:sz w:val="21"/>
        </w:rPr>
        <w:t>Visual / editor:   Direct to camera, then MOVEMENT ≠ GROWTH, then MORE WORK? / DIFFERENT WORK. No maternity or baby imagery at any point.</w:t>
      </w:r>
    </w:p>
    <w:p>
      <w:pPr>
        <w:spacing w:before="0" w:after="20" w:line="245" w:lineRule="auto"/>
        <w:keepLines w:val="1"/>
      </w:pPr>
      <w:r>
        <w:rPr>
          <w:b w:val="0"/>
          <w:i w:val="0"/>
          <w:sz w:val="21"/>
        </w:rPr>
        <w:t>Trust beat:        The maternity-return scope expansion, and the fact that she noticed the load before she noticed the trust.</w:t>
      </w:r>
    </w:p>
    <w:p>
      <w:pPr>
        <w:spacing w:before="0" w:after="20" w:line="245" w:lineRule="auto"/>
        <w:keepLines w:val="1"/>
      </w:pPr>
      <w:r>
        <w:rPr>
          <w:b w:val="0"/>
          <w:i w:val="0"/>
          <w:sz w:val="21"/>
        </w:rPr>
        <w:t>Viewer payoff:     Three questions to test an internal move, by 0:24.</w:t>
      </w:r>
    </w:p>
    <w:p>
      <w:pPr>
        <w:spacing w:before="72" w:after="42" w:line="245" w:lineRule="auto"/>
        <w:keepLines w:val="1"/>
        <w:keepNext w:val="1"/>
      </w:pPr>
      <w:r>
        <w:rPr>
          <w:b/>
          <w:i w:val="0"/>
          <w:color w:val="0F2346"/>
          <w:sz w:val="28"/>
        </w:rPr>
        <w:t>6.  Slide marker → slide</w:t>
      </w:r>
    </w:p>
    <w:p>
      <w:pPr>
        <w:spacing w:before="0" w:after="42" w:line="245" w:lineRule="auto"/>
      </w:pPr>
      <w:r>
        <w:rPr>
          <w:b w:val="0"/>
          <w:i w:val="0"/>
          <w:sz w:val="22"/>
        </w:rPr>
        <w:t>Twelve markers, mapping to the existing twelve-slide deck in order. The freshly written v5.1 script was mapped against the deck slide by slide and every slide still serves it, so NO visible slide text was changed in this rebuild. Speaker notes were rewritten throughout for the v5.1 narration.</w:t>
      </w:r>
    </w:p>
    <w:p>
      <w:pPr>
        <w:spacing w:before="0" w:after="16" w:line="245" w:lineRule="auto"/>
        <w:keepLines w:val="1"/>
      </w:pPr>
      <w:r>
        <w:rPr>
          <w:b w:val="0"/>
          <w:i w:val="0"/>
          <w:sz w:val="21"/>
        </w:rPr>
        <w:t>Marker 1   →  Slide 1   Core Distinction</w:t>
      </w:r>
    </w:p>
    <w:p>
      <w:pPr>
        <w:spacing w:before="0" w:after="16" w:line="245" w:lineRule="auto"/>
        <w:keepLines w:val="1"/>
      </w:pPr>
      <w:r>
        <w:rPr>
          <w:b w:val="0"/>
          <w:i w:val="0"/>
          <w:sz w:val="21"/>
        </w:rPr>
        <w:t>Marker 2   →  Slide 2   The Three Questions</w:t>
      </w:r>
    </w:p>
    <w:p>
      <w:pPr>
        <w:spacing w:before="0" w:after="16" w:line="245" w:lineRule="auto"/>
        <w:keepLines w:val="1"/>
      </w:pPr>
      <w:r>
        <w:rPr>
          <w:b w:val="0"/>
          <w:i w:val="0"/>
          <w:sz w:val="21"/>
        </w:rPr>
        <w:t>Marker 3   →  Slide 3   1 — Will the Work Change?</w:t>
      </w:r>
    </w:p>
    <w:p>
      <w:pPr>
        <w:spacing w:before="0" w:after="16" w:line="245" w:lineRule="auto"/>
        <w:keepLines w:val="1"/>
      </w:pPr>
      <w:r>
        <w:rPr>
          <w:b w:val="0"/>
          <w:i w:val="0"/>
          <w:sz w:val="21"/>
        </w:rPr>
        <w:t>Marker 4   →  Slide 4   Access Test</w:t>
      </w:r>
    </w:p>
    <w:p>
      <w:pPr>
        <w:spacing w:before="0" w:after="16" w:line="245" w:lineRule="auto"/>
        <w:keepLines w:val="1"/>
      </w:pPr>
      <w:r>
        <w:rPr>
          <w:b w:val="0"/>
          <w:i w:val="0"/>
          <w:sz w:val="21"/>
        </w:rPr>
        <w:t>Marker 5   →  Slide 5   2 — Will Your Judgment Expand?</w:t>
      </w:r>
    </w:p>
    <w:p>
      <w:pPr>
        <w:spacing w:before="0" w:after="16" w:line="245" w:lineRule="auto"/>
        <w:keepLines w:val="1"/>
      </w:pPr>
      <w:r>
        <w:rPr>
          <w:b w:val="0"/>
          <w:i w:val="0"/>
          <w:sz w:val="21"/>
        </w:rPr>
        <w:t>Marker 6   →  Slide 6   More Tasks / More Judgment</w:t>
      </w:r>
    </w:p>
    <w:p>
      <w:pPr>
        <w:spacing w:before="0" w:after="16" w:line="245" w:lineRule="auto"/>
        <w:keepLines w:val="1"/>
      </w:pPr>
      <w:r>
        <w:rPr>
          <w:b w:val="0"/>
          <w:i w:val="0"/>
          <w:sz w:val="21"/>
        </w:rPr>
        <w:t>Marker 7   →  Slide 7   3 — Will the Evidence Travel?</w:t>
      </w:r>
    </w:p>
    <w:p>
      <w:pPr>
        <w:spacing w:before="0" w:after="16" w:line="245" w:lineRule="auto"/>
        <w:keepLines w:val="1"/>
      </w:pPr>
      <w:r>
        <w:rPr>
          <w:b w:val="0"/>
          <w:i w:val="0"/>
          <w:sz w:val="21"/>
        </w:rPr>
        <w:t>Marker 8   →  Slide 8   Result / Judgment / Range</w:t>
      </w:r>
    </w:p>
    <w:p>
      <w:pPr>
        <w:spacing w:before="0" w:after="16" w:line="245" w:lineRule="auto"/>
        <w:keepLines w:val="1"/>
      </w:pPr>
      <w:r>
        <w:rPr>
          <w:b w:val="0"/>
          <w:i w:val="0"/>
          <w:sz w:val="21"/>
        </w:rPr>
        <w:t>Marker 9   →  Slide 9   Decision Read</w:t>
      </w:r>
    </w:p>
    <w:p>
      <w:pPr>
        <w:spacing w:before="0" w:after="16" w:line="245" w:lineRule="auto"/>
        <w:keepLines w:val="1"/>
      </w:pPr>
      <w:r>
        <w:rPr>
          <w:b w:val="0"/>
          <w:i w:val="0"/>
          <w:sz w:val="21"/>
        </w:rPr>
        <w:t>Marker 10  →  Slide 10  Conversation Prompts</w:t>
      </w:r>
    </w:p>
    <w:p>
      <w:pPr>
        <w:spacing w:before="0" w:after="16" w:line="245" w:lineRule="auto"/>
        <w:keepLines w:val="1"/>
      </w:pPr>
      <w:r>
        <w:rPr>
          <w:b w:val="0"/>
          <w:i w:val="0"/>
          <w:sz w:val="21"/>
        </w:rPr>
        <w:t>Marker 11  →  Slide 11  Career Decision Evidence Check</w:t>
      </w:r>
    </w:p>
    <w:p>
      <w:pPr>
        <w:spacing w:before="0" w:after="16" w:line="245" w:lineRule="auto"/>
        <w:keepLines w:val="1"/>
      </w:pPr>
      <w:r>
        <w:rPr>
          <w:b w:val="0"/>
          <w:i w:val="0"/>
          <w:sz w:val="21"/>
        </w:rPr>
        <w:t>Marker 12  →  Slide 12  Watch Next</w:t>
      </w:r>
    </w:p>
    <w:p>
      <w:pPr>
        <w:spacing w:before="72" w:after="42" w:line="245" w:lineRule="auto"/>
        <w:keepLines w:val="1"/>
        <w:keepNext w:val="1"/>
      </w:pPr>
      <w:r>
        <w:rPr>
          <w:b/>
          <w:i w:val="0"/>
          <w:color w:val="0F2346"/>
          <w:sz w:val="28"/>
        </w:rPr>
        <w:t>7.  Reveal-state map</w:t>
      </w:r>
    </w:p>
    <w:p>
      <w:pPr>
        <w:spacing w:before="0" w:after="42" w:line="245" w:lineRule="auto"/>
      </w:pPr>
      <w:r>
        <w:rPr>
          <w:b w:val="0"/>
          <w:i w:val="0"/>
          <w:sz w:val="22"/>
        </w:rPr>
        <w:t>25 reveal frames, inspected from the file. Reveal visuals unchanged.</w:t>
      </w:r>
    </w:p>
    <w:p>
      <w:pPr>
        <w:spacing w:before="0" w:after="16" w:line="245" w:lineRule="auto"/>
        <w:keepLines w:val="1"/>
      </w:pPr>
      <w:r>
        <w:rPr>
          <w:b w:val="0"/>
          <w:i w:val="0"/>
          <w:sz w:val="21"/>
        </w:rPr>
        <w:t>Slide 1   →  reveal frames 1–2      (2)</w:t>
      </w:r>
    </w:p>
    <w:p>
      <w:pPr>
        <w:spacing w:before="0" w:after="16" w:line="245" w:lineRule="auto"/>
        <w:keepLines w:val="1"/>
      </w:pPr>
      <w:r>
        <w:rPr>
          <w:b w:val="0"/>
          <w:i w:val="0"/>
          <w:sz w:val="21"/>
        </w:rPr>
        <w:t>Slide 2   →  reveal frames 3–5      (3)</w:t>
      </w:r>
    </w:p>
    <w:p>
      <w:pPr>
        <w:spacing w:before="0" w:after="16" w:line="245" w:lineRule="auto"/>
        <w:keepLines w:val="1"/>
      </w:pPr>
      <w:r>
        <w:rPr>
          <w:b w:val="0"/>
          <w:i w:val="0"/>
          <w:sz w:val="21"/>
        </w:rPr>
        <w:t>Slide 3   →  reveal frames 6        (1)</w:t>
      </w:r>
    </w:p>
    <w:p>
      <w:pPr>
        <w:spacing w:before="0" w:after="16" w:line="245" w:lineRule="auto"/>
        <w:keepLines w:val="1"/>
      </w:pPr>
      <w:r>
        <w:rPr>
          <w:b w:val="0"/>
          <w:i w:val="0"/>
          <w:sz w:val="21"/>
        </w:rPr>
        <w:t>Slide 4   →  reveal frames 7–10     (4)</w:t>
      </w:r>
    </w:p>
    <w:p>
      <w:pPr>
        <w:spacing w:before="0" w:after="16" w:line="245" w:lineRule="auto"/>
        <w:keepLines w:val="1"/>
      </w:pPr>
      <w:r>
        <w:rPr>
          <w:b w:val="0"/>
          <w:i w:val="0"/>
          <w:sz w:val="21"/>
        </w:rPr>
        <w:t>Slide 5   →  reveal frames 11       (1)</w:t>
      </w:r>
    </w:p>
    <w:p>
      <w:pPr>
        <w:spacing w:before="0" w:after="16" w:line="245" w:lineRule="auto"/>
        <w:keepLines w:val="1"/>
      </w:pPr>
      <w:r>
        <w:rPr>
          <w:b w:val="0"/>
          <w:i w:val="0"/>
          <w:sz w:val="21"/>
        </w:rPr>
        <w:t>Slide 6   →  reveal frames 12–13    (2)</w:t>
      </w:r>
    </w:p>
    <w:p>
      <w:pPr>
        <w:spacing w:before="0" w:after="16" w:line="245" w:lineRule="auto"/>
        <w:keepLines w:val="1"/>
      </w:pPr>
      <w:r>
        <w:rPr>
          <w:b w:val="0"/>
          <w:i w:val="0"/>
          <w:sz w:val="21"/>
        </w:rPr>
        <w:t>Slide 7   →  reveal frames 14       (1)</w:t>
      </w:r>
    </w:p>
    <w:p>
      <w:pPr>
        <w:spacing w:before="0" w:after="16" w:line="245" w:lineRule="auto"/>
        <w:keepLines w:val="1"/>
      </w:pPr>
      <w:r>
        <w:rPr>
          <w:b w:val="0"/>
          <w:i w:val="0"/>
          <w:sz w:val="21"/>
        </w:rPr>
        <w:t>Slide 8   →  reveal frames 15–17    (3)</w:t>
      </w:r>
    </w:p>
    <w:p>
      <w:pPr>
        <w:spacing w:before="0" w:after="16" w:line="245" w:lineRule="auto"/>
        <w:keepLines w:val="1"/>
      </w:pPr>
      <w:r>
        <w:rPr>
          <w:b w:val="0"/>
          <w:i w:val="0"/>
          <w:sz w:val="21"/>
        </w:rPr>
        <w:t>Slide 9   →  reveal frames 18–20    (3)</w:t>
      </w:r>
    </w:p>
    <w:p>
      <w:pPr>
        <w:spacing w:before="0" w:after="16" w:line="245" w:lineRule="auto"/>
        <w:keepLines w:val="1"/>
      </w:pPr>
      <w:r>
        <w:rPr>
          <w:b w:val="0"/>
          <w:i w:val="0"/>
          <w:sz w:val="21"/>
        </w:rPr>
        <w:t>Slide 10  →  reveal frames 21–23    (3)</w:t>
      </w:r>
    </w:p>
    <w:p>
      <w:pPr>
        <w:spacing w:before="0" w:after="16" w:line="245" w:lineRule="auto"/>
        <w:keepLines w:val="1"/>
      </w:pPr>
      <w:r>
        <w:rPr>
          <w:b w:val="0"/>
          <w:i w:val="0"/>
          <w:sz w:val="21"/>
        </w:rPr>
        <w:t>Slide 11  →  reveal frames 24       (1)</w:t>
      </w:r>
    </w:p>
    <w:p>
      <w:pPr>
        <w:spacing w:before="0" w:after="16" w:line="245" w:lineRule="auto"/>
        <w:keepLines w:val="1"/>
      </w:pPr>
      <w:r>
        <w:rPr>
          <w:b w:val="0"/>
          <w:i w:val="0"/>
          <w:sz w:val="21"/>
        </w:rPr>
        <w:t>Slide 12  →  reveal frames 25       (1)</w:t>
      </w:r>
    </w:p>
    <w:p>
      <w:pPr>
        <w:spacing w:before="72" w:after="42" w:line="245" w:lineRule="auto"/>
        <w:keepLines w:val="1"/>
        <w:keepNext w:val="1"/>
      </w:pPr>
      <w:r>
        <w:rPr>
          <w:b/>
          <w:i w:val="0"/>
          <w:color w:val="0F2346"/>
          <w:sz w:val="28"/>
        </w:rPr>
        <w:t>8.  Visual assets and proof</w:t>
      </w:r>
    </w:p>
    <w:p>
      <w:pPr>
        <w:spacing w:before="0" w:after="20" w:line="245" w:lineRule="auto"/>
        <w:keepLines w:val="1"/>
      </w:pPr>
      <w:r>
        <w:rPr>
          <w:b w:val="0"/>
          <w:i w:val="0"/>
          <w:sz w:val="22"/>
        </w:rPr>
        <w:t>—  slide 1, INTERNAL MOVE ≠ AUTOMATIC GROWTH, drawn not typeset;</w:t>
      </w:r>
    </w:p>
    <w:p>
      <w:pPr>
        <w:spacing w:before="0" w:after="20" w:line="245" w:lineRule="auto"/>
        <w:keepLines w:val="1"/>
      </w:pPr>
      <w:r>
        <w:rPr>
          <w:b w:val="0"/>
          <w:i w:val="0"/>
          <w:sz w:val="22"/>
        </w:rPr>
        <w:t>—  slide 4, the four access variables;</w:t>
      </w:r>
    </w:p>
    <w:p>
      <w:pPr>
        <w:spacing w:before="0" w:after="20" w:line="245" w:lineRule="auto"/>
        <w:keepLines w:val="1"/>
      </w:pPr>
      <w:r>
        <w:rPr>
          <w:b w:val="0"/>
          <w:i w:val="0"/>
          <w:sz w:val="22"/>
        </w:rPr>
        <w:t>—  slide 6, MORE TASKS beside MORE JUDGMENT;</w:t>
      </w:r>
    </w:p>
    <w:p>
      <w:pPr>
        <w:spacing w:before="0" w:after="20" w:line="245" w:lineRule="auto"/>
        <w:keepLines w:val="1"/>
      </w:pPr>
      <w:r>
        <w:rPr>
          <w:b w:val="0"/>
          <w:i w:val="0"/>
          <w:sz w:val="22"/>
        </w:rPr>
        <w:t>—  slide 8, RESULT / JUDGMENT / RANGE;</w:t>
      </w:r>
    </w:p>
    <w:p>
      <w:pPr>
        <w:spacing w:before="0" w:after="20" w:line="245" w:lineRule="auto"/>
        <w:keepLines w:val="1"/>
      </w:pPr>
      <w:r>
        <w:rPr>
          <w:b w:val="0"/>
          <w:i w:val="0"/>
          <w:sz w:val="22"/>
        </w:rPr>
        <w:t>—  slide 9, the 3 / 2 / 0–1 read, never gamified.</w:t>
      </w:r>
    </w:p>
    <w:p>
      <w:pPr>
        <w:spacing w:before="20" w:after="42" w:line="245" w:lineRule="auto"/>
        <w:keepLines w:val="1"/>
      </w:pPr>
      <w:r>
        <w:rPr>
          <w:b/>
          <w:i w:val="0"/>
          <w:sz w:val="22"/>
        </w:rPr>
        <w:t>Slides carry structure. Artifacts carry proof. Temidayo carries the relationship and the meaning. Do not swap those jobs around.</w:t>
      </w:r>
    </w:p>
    <w:p>
      <w:pPr>
        <w:spacing w:before="72" w:after="42" w:line="245" w:lineRule="auto"/>
        <w:keepLines w:val="1"/>
        <w:keepNext w:val="1"/>
      </w:pPr>
      <w:r>
        <w:rPr>
          <w:b/>
          <w:i w:val="0"/>
          <w:color w:val="0F2346"/>
          <w:sz w:val="28"/>
        </w:rPr>
        <w:t>9.  Factual boundaries</w:t>
      </w:r>
    </w:p>
    <w:p>
      <w:pPr>
        <w:spacing w:before="0" w:after="42" w:line="245" w:lineRule="auto"/>
        <w:shd w:val="clear" w:fill="F3F0E8"/>
        <w:keepLines w:val="1"/>
      </w:pPr>
      <w:r>
        <w:rPr>
          <w:b/>
          <w:i w:val="0"/>
          <w:color w:val="9B2C10"/>
          <w:sz w:val="22"/>
        </w:rPr>
        <w:t>THE MATERNITY-RETURN PROOF IS BOUNDED. About six months after Temidayo came back from maternity leave in one chapter of her career, her scope expanded beyond the original box of the role, and the meaningful part was being trusted with different work. That is the entire approved fact. No employer, no assignment, no result, no promotion, no metric, no conversation.</w:t>
      </w:r>
    </w:p>
    <w:p>
      <w:pPr>
        <w:spacing w:before="0" w:after="42" w:line="245" w:lineRule="auto"/>
        <w:shd w:val="clear" w:fill="F3F0E8"/>
        <w:keepLines w:val="1"/>
      </w:pPr>
      <w:r>
        <w:rPr>
          <w:b/>
          <w:i w:val="0"/>
          <w:color w:val="9B2C10"/>
          <w:sz w:val="22"/>
        </w:rPr>
        <w:t>NO MATERNITY OR BABY IMAGERY. The proof is Temidayo saying what happened. Do not dramatise it and do not illustrate it.</w:t>
      </w:r>
    </w:p>
    <w:p>
      <w:pPr>
        <w:spacing w:before="0" w:after="16" w:line="245" w:lineRule="auto"/>
        <w:keepLines w:val="1"/>
      </w:pPr>
      <w:r>
        <w:rPr>
          <w:b w:val="0"/>
          <w:i w:val="0"/>
          <w:sz w:val="22"/>
        </w:rPr>
        <w:t>—  no employer named anywhere;        —  no invented assignment or result;</w:t>
      </w:r>
    </w:p>
    <w:p>
      <w:pPr>
        <w:spacing w:before="0" w:after="16" w:line="245" w:lineRule="auto"/>
        <w:keepLines w:val="1"/>
      </w:pPr>
      <w:r>
        <w:rPr>
          <w:b w:val="0"/>
          <w:i w:val="0"/>
          <w:sz w:val="22"/>
        </w:rPr>
        <w:t>—  no claim that every internal move is growth;</w:t>
      </w:r>
    </w:p>
    <w:p>
      <w:pPr>
        <w:spacing w:before="0" w:after="16" w:line="245" w:lineRule="auto"/>
        <w:keepLines w:val="1"/>
      </w:pPr>
      <w:r>
        <w:rPr>
          <w:b w:val="0"/>
          <w:i w:val="0"/>
          <w:sz w:val="22"/>
        </w:rPr>
        <w:t>—  no claim that an external move is automatically better;</w:t>
      </w:r>
    </w:p>
    <w:p>
      <w:pPr>
        <w:spacing w:before="0" w:after="16" w:line="245" w:lineRule="auto"/>
        <w:keepLines w:val="1"/>
      </w:pPr>
      <w:r>
        <w:rPr>
          <w:b w:val="0"/>
          <w:i w:val="0"/>
          <w:sz w:val="22"/>
        </w:rPr>
        <w:t>—  pay, caregiving, location, immigration status, energy and timing remain legitimate;</w:t>
      </w:r>
    </w:p>
    <w:p>
      <w:pPr>
        <w:spacing w:before="0" w:after="16" w:line="245" w:lineRule="auto"/>
        <w:keepLines w:val="1"/>
      </w:pPr>
      <w:r>
        <w:rPr>
          <w:b w:val="0"/>
          <w:i w:val="0"/>
          <w:sz w:val="22"/>
        </w:rPr>
        <w:t>—  the health, safety, harassment and discrimination boundary stays exactly as spoken.</w:t>
      </w:r>
    </w:p>
    <w:p>
      <w:pPr>
        <w:spacing w:before="72" w:after="42" w:line="245" w:lineRule="auto"/>
        <w:keepLines w:val="1"/>
        <w:keepNext w:val="1"/>
      </w:pPr>
      <w:r>
        <w:rPr>
          <w:b/>
          <w:i w:val="0"/>
          <w:color w:val="0F2346"/>
          <w:sz w:val="28"/>
        </w:rPr>
        <w:t>10.  Do not use</w:t>
      </w:r>
    </w:p>
    <w:p>
      <w:pPr>
        <w:spacing w:before="0" w:after="16" w:line="245" w:lineRule="auto"/>
        <w:keepLines w:val="1"/>
      </w:pPr>
      <w:r>
        <w:rPr>
          <w:b w:val="0"/>
          <w:i w:val="0"/>
          <w:sz w:val="22"/>
        </w:rPr>
        <w:t>—  maternity or baby imagery;        —  stock office B-roll;</w:t>
      </w:r>
    </w:p>
    <w:p>
      <w:pPr>
        <w:spacing w:before="0" w:after="16" w:line="245" w:lineRule="auto"/>
        <w:keepLines w:val="1"/>
      </w:pPr>
      <w:r>
        <w:rPr>
          <w:b w:val="0"/>
          <w:i w:val="0"/>
          <w:sz w:val="22"/>
        </w:rPr>
        <w:t>—  transfer arrows;        —  doors or ladders;</w:t>
      </w:r>
    </w:p>
    <w:p>
      <w:pPr>
        <w:spacing w:before="0" w:after="16" w:line="245" w:lineRule="auto"/>
        <w:keepLines w:val="1"/>
      </w:pPr>
      <w:r>
        <w:rPr>
          <w:b w:val="0"/>
          <w:i w:val="0"/>
          <w:sz w:val="22"/>
        </w:rPr>
        <w:t>—  org-chart animations;        —  employer logos;</w:t>
      </w:r>
    </w:p>
    <w:p>
      <w:pPr>
        <w:spacing w:before="0" w:after="16" w:line="245" w:lineRule="auto"/>
        <w:keepLines w:val="1"/>
      </w:pPr>
      <w:r>
        <w:rPr>
          <w:b w:val="0"/>
          <w:i w:val="0"/>
          <w:sz w:val="22"/>
        </w:rPr>
        <w:t>—  fake promotion graphics;        —  constant zooms;</w:t>
      </w:r>
    </w:p>
    <w:p>
      <w:pPr>
        <w:spacing w:before="0" w:after="16" w:line="245" w:lineRule="auto"/>
        <w:keepLines w:val="1"/>
      </w:pPr>
      <w:r>
        <w:rPr>
          <w:b w:val="0"/>
          <w:i w:val="0"/>
          <w:sz w:val="22"/>
        </w:rPr>
        <w:t>—  AI-generated scenery;        —  social-media template effects.</w:t>
      </w:r>
    </w:p>
    <w:p>
      <w:pPr>
        <w:spacing w:before="72" w:after="42" w:line="245" w:lineRule="auto"/>
        <w:keepLines w:val="1"/>
        <w:keepNext w:val="1"/>
      </w:pPr>
      <w:r>
        <w:rPr>
          <w:b/>
          <w:i w:val="0"/>
          <w:color w:val="0F2346"/>
          <w:sz w:val="28"/>
        </w:rPr>
        <w:t>11.  CTA and watch next</w:t>
      </w:r>
    </w:p>
    <w:p>
      <w:pPr>
        <w:spacing w:before="0" w:after="26" w:line="245" w:lineRule="auto"/>
        <w:keepLines w:val="1"/>
      </w:pPr>
      <w:r>
        <w:rPr>
          <w:b w:val="0"/>
          <w:i w:val="0"/>
          <w:sz w:val="22"/>
        </w:rPr>
        <w:t>One resource CTA only: Career Decision Evidence Check — https://temidayoafonja.com/career-decisions</w:t>
      </w:r>
    </w:p>
    <w:p>
      <w:pPr>
        <w:spacing w:before="0" w:after="32" w:line="245" w:lineRule="auto"/>
        <w:keepLines w:val="1"/>
      </w:pPr>
      <w:r>
        <w:rPr>
          <w:b w:val="0"/>
          <w:i w:val="0"/>
          <w:sz w:val="22"/>
        </w:rPr>
        <w:t>It arrives after the identity bridge, so it reads as the next step rather than an advert. Keep that order.</w:t>
      </w:r>
    </w:p>
    <w:p>
      <w:pPr>
        <w:spacing w:before="0" w:after="32" w:line="245" w:lineRule="auto"/>
        <w:keepLines w:val="1"/>
      </w:pPr>
      <w:r>
        <w:rPr>
          <w:b w:val="0"/>
          <w:i w:val="0"/>
          <w:sz w:val="22"/>
        </w:rPr>
        <w:t>Note the phrasing: “I made the Career Decision Evidence Check to help you organise the evidence behind that choice.” Offered, not announced.</w:t>
      </w:r>
    </w:p>
    <w:p>
      <w:pPr>
        <w:spacing w:before="0" w:after="32" w:line="245" w:lineRule="auto"/>
        <w:keepLines w:val="1"/>
      </w:pPr>
      <w:r>
        <w:rPr>
          <w:b w:val="0"/>
          <w:i w:val="0"/>
          <w:sz w:val="22"/>
        </w:rPr>
        <w:t>CTA production gate: SATISFIED. Retain one signed-out link check in the final upload SOP.</w:t>
      </w:r>
    </w:p>
    <w:p>
      <w:pPr>
        <w:spacing w:before="0" w:after="32" w:line="245" w:lineRule="auto"/>
        <w:keepLines w:val="1"/>
      </w:pPr>
      <w:r>
        <w:rPr>
          <w:b/>
          <w:i w:val="0"/>
          <w:sz w:val="22"/>
        </w:rPr>
        <w:t>Watch next: Video 6 — Are You Growing—or Just Being Given More Work?</w:t>
      </w:r>
    </w:p>
    <w:p>
      <w:pPr>
        <w:spacing w:before="0" w:after="42" w:line="245" w:lineRule="auto"/>
        <w:keepLines w:val="1"/>
      </w:pPr>
      <w:r>
        <w:rPr>
          <w:b/>
          <w:i w:val="0"/>
          <w:color w:val="9B2C10"/>
          <w:sz w:val="22"/>
        </w:rPr>
        <w:t>Do not leave Subscribe as the only end-screen element.</w:t>
      </w:r>
    </w:p>
    <w:p>
      <w:pPr>
        <w:spacing w:before="72" w:after="42" w:line="245" w:lineRule="auto"/>
        <w:keepLines w:val="1"/>
        <w:keepNext w:val="1"/>
      </w:pPr>
      <w:r>
        <w:rPr>
          <w:b/>
          <w:i w:val="0"/>
          <w:color w:val="0F2346"/>
          <w:sz w:val="28"/>
        </w:rPr>
        <w:t>12.  Identity exit — do not cut</w:t>
      </w:r>
    </w:p>
    <w:p>
      <w:pPr>
        <w:spacing w:before="0" w:after="32" w:line="245" w:lineRule="auto"/>
        <w:shd w:val="clear" w:fill="F3F0E8"/>
        <w:keepLines w:val="1"/>
      </w:pPr>
      <w:r>
        <w:rPr>
          <w:b/>
          <w:i w:val="0"/>
          <w:color w:val="0F2346"/>
          <w:sz w:val="22"/>
        </w:rPr>
        <w:t>“This is what I actually want for you. Not only a better answer on this one move. I want you to get better at reading every opportunity — internal, external, offered, or asked for — for what it will actually build in you. That is a different kind of professional. Somebody who does not need a title to tell them whether a year was worth it.”</w:t>
      </w:r>
    </w:p>
    <w:p>
      <w:pPr>
        <w:spacing w:before="0" w:after="42" w:line="245" w:lineRule="auto"/>
        <w:keepLines w:val="1"/>
      </w:pPr>
      <w:r>
        <w:rPr>
          <w:b w:val="0"/>
          <w:i w:val="0"/>
          <w:sz w:val="22"/>
        </w:rPr>
        <w:t>It sits at the end of the Conversation Prompts section, after the limits and the life factors, and before the CTA. It is the point of the video. If the edit runs long, cut something else.</w:t>
      </w:r>
    </w:p>
    <w:p>
      <w:pPr>
        <w:spacing w:before="72" w:after="42" w:line="245" w:lineRule="auto"/>
        <w:keepLines w:val="1"/>
        <w:keepNext w:val="1"/>
      </w:pPr>
      <w:r>
        <w:rPr>
          <w:b/>
          <w:i w:val="0"/>
          <w:color w:val="0F2346"/>
          <w:sz w:val="28"/>
        </w:rPr>
        <w:t>13.  Direct-address editing rule</w:t>
      </w:r>
    </w:p>
    <w:p>
      <w:pPr>
        <w:spacing w:before="0" w:after="16" w:line="245" w:lineRule="auto"/>
        <w:keepLines w:val="1"/>
      </w:pPr>
      <w:r>
        <w:rPr>
          <w:b w:val="0"/>
          <w:i w:val="0"/>
          <w:sz w:val="22"/>
        </w:rPr>
        <w:t>—  keep direct questions on Temidayo's face;        —  no keynote framing;</w:t>
      </w:r>
    </w:p>
    <w:p>
      <w:pPr>
        <w:spacing w:before="0" w:after="16" w:line="245" w:lineRule="auto"/>
        <w:keepLines w:val="1"/>
      </w:pPr>
      <w:r>
        <w:rPr>
          <w:b w:val="0"/>
          <w:i w:val="0"/>
          <w:sz w:val="22"/>
        </w:rPr>
        <w:t>—  do not overuse quote cards;        —  let the slides carry structure;</w:t>
      </w:r>
    </w:p>
    <w:p>
      <w:pPr>
        <w:spacing w:before="0" w:after="16" w:line="245" w:lineRule="auto"/>
        <w:keepLines w:val="1"/>
      </w:pPr>
      <w:r>
        <w:rPr>
          <w:b w:val="0"/>
          <w:i w:val="0"/>
          <w:sz w:val="22"/>
        </w:rPr>
        <w:t>—  preserve the pauses;        —  never cut the relational lines as filler.</w:t>
      </w:r>
    </w:p>
    <w:p>
      <w:pPr>
        <w:spacing w:before="0" w:after="42" w:line="245" w:lineRule="auto"/>
        <w:keepLines w:val="1"/>
      </w:pPr>
      <w:r>
        <w:rPr>
          <w:b w:val="0"/>
          <w:i w:val="0"/>
          <w:sz w:val="21"/>
        </w:rPr>
        <w:t>Relational beats: “I do not think it has a general answer. It has your answer.” · “It was not simply more work. It was different work.” · “I noticed the load first, the way most of us do.” · “That is not disloyalty. It is how organisations remember people.” · “Somebody who does not need a title to tell them whether a year was worth it.”</w:t>
      </w:r>
    </w:p>
    <w:p>
      <w:pPr>
        <w:spacing w:before="72" w:after="42" w:line="245" w:lineRule="auto"/>
        <w:keepLines w:val="1"/>
        <w:keepNext w:val="1"/>
      </w:pPr>
      <w:r>
        <w:rPr>
          <w:b/>
          <w:i w:val="0"/>
          <w:color w:val="0F2346"/>
          <w:sz w:val="28"/>
        </w:rPr>
        <w:t>14.  Speaker-note update record</w:t>
      </w:r>
    </w:p>
    <w:p>
      <w:pPr>
        <w:spacing w:before="0" w:after="16" w:line="245" w:lineRule="auto"/>
        <w:keepLines w:val="1"/>
      </w:pPr>
      <w:r>
        <w:rPr>
          <w:b w:val="0"/>
          <w:i w:val="0"/>
          <w:sz w:val="22"/>
        </w:rPr>
        <w:t>—  Main deck: 12 notes parts rewritten for the v5.1 narration.</w:t>
      </w:r>
    </w:p>
    <w:p>
      <w:pPr>
        <w:spacing w:before="0" w:after="16" w:line="245" w:lineRule="auto"/>
        <w:keepLines w:val="1"/>
      </w:pPr>
      <w:r>
        <w:rPr>
          <w:b w:val="0"/>
          <w:i w:val="0"/>
          <w:sz w:val="22"/>
        </w:rPr>
        <w:t>—  Reveal deck: 25 notes parts rewritten.</w:t>
      </w:r>
    </w:p>
    <w:p>
      <w:pPr>
        <w:spacing w:before="0" w:after="16" w:line="245" w:lineRule="auto"/>
        <w:keepLines w:val="1"/>
      </w:pPr>
      <w:r>
        <w:rPr>
          <w:b w:val="0"/>
          <w:i w:val="0"/>
          <w:sz w:val="22"/>
        </w:rPr>
        <w:t>—  Slide XML, geometry, typography, palette and media: UNCHANGED. Speaker notes: rewritten for the v5.1 narration.</w:t>
      </w:r>
    </w:p>
    <w:p>
      <w:pPr>
        <w:spacing w:before="0" w:after="16" w:line="245" w:lineRule="auto"/>
        <w:keepLines w:val="1"/>
      </w:pPr>
      <w:r>
        <w:rPr>
          <w:b w:val="0"/>
          <w:i w:val="0"/>
          <w:sz w:val="22"/>
        </w:rPr>
        <w:t>—  Timings are working estimates at 145 words per minute for the 1,392-word script, about 9:36.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