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r>
        <w:t xml:space="preserve"/>
      </w:r>
    </w:p>
    <w:p>
      <w:pPr>
        <w:jc w:val="center"/>
      </w:pPr>
      <w:r>
        <w:rPr>
          <w:rFonts w:ascii="Arial" w:cs="Arial" w:eastAsia="Arial" w:hAnsi="Arial"/>
          <w:b/>
          <w:bCs/>
          <w:color w:val="0D1B2A"/>
          <w:sz w:val="72"/>
          <w:szCs w:val="72"/>
        </w:rPr>
        <w:t xml:space="preserve">NIST CSF 2.0</w:t>
      </w:r>
    </w:p>
    <w:p>
      <w:pPr>
        <w:spacing w:after="200"/>
        <w:jc w:val="center"/>
      </w:pPr>
      <w:r>
        <w:rPr>
          <w:rFonts w:ascii="Arial" w:cs="Arial" w:eastAsia="Arial" w:hAnsi="Arial"/>
          <w:b/>
          <w:bCs/>
          <w:color w:val="1B4F72"/>
          <w:sz w:val="48"/>
          <w:szCs w:val="48"/>
        </w:rPr>
        <w:t xml:space="preserve">GAP ASSESSMENT REPORT</w:t>
      </w:r>
    </w:p>
    <w:p>
      <w:pPr>
        <w:jc w:val="center"/>
      </w:pPr>
      <w:r>
        <w:rPr>
          <w:rFonts w:ascii="Arial" w:cs="Arial" w:eastAsia="Arial" w:hAnsi="Arial"/>
          <w:color w:val="1B4F72"/>
          <w:sz w:val="24"/>
          <w:szCs w:val="24"/>
        </w:rPr>
        <w:t xml:space="preserve">─────────────────────────────────────────────</w:t>
      </w:r>
    </w:p>
    <w:p>
      <w:pPr>
        <w:spacing w:before="80"/>
      </w:pPr>
      <w:r>
        <w:t xml:space="preserve"/>
      </w:r>
    </w:p>
    <w:p>
      <w:pPr>
        <w:jc w:val="center"/>
      </w:pPr>
      <w:r>
        <w:rPr>
          <w:rFonts w:ascii="Arial" w:cs="Arial" w:eastAsia="Arial" w:hAnsi="Arial"/>
          <w:b/>
          <w:bCs/>
          <w:color w:val="0D1B2A"/>
          <w:sz w:val="24"/>
          <w:szCs w:val="24"/>
        </w:rPr>
        <w:t xml:space="preserve">Client:</w:t>
      </w:r>
      <w:r>
        <w:rPr>
          <w:rFonts w:ascii="Arial" w:cs="Arial" w:eastAsia="Arial" w:hAnsi="Arial"/>
          <w:color w:val="333333"/>
          <w:sz w:val="24"/>
          <w:szCs w:val="24"/>
        </w:rPr>
        <w:t xml:space="preserve">  NovaPay Inc.</w:t>
      </w:r>
    </w:p>
    <w:p>
      <w:pPr>
        <w:jc w:val="center"/>
      </w:pPr>
      <w:r>
        <w:rPr>
          <w:rFonts w:ascii="Arial" w:cs="Arial" w:eastAsia="Arial" w:hAnsi="Arial"/>
          <w:b/>
          <w:bCs/>
          <w:color w:val="0D1B2A"/>
          <w:sz w:val="24"/>
          <w:szCs w:val="24"/>
        </w:rPr>
        <w:t xml:space="preserve">Industry:</w:t>
      </w:r>
      <w:r>
        <w:rPr>
          <w:rFonts w:ascii="Arial" w:cs="Arial" w:eastAsia="Arial" w:hAnsi="Arial"/>
          <w:color w:val="333333"/>
          <w:sz w:val="24"/>
          <w:szCs w:val="24"/>
        </w:rPr>
        <w:t xml:space="preserve">  Fintech — Payment Processing</w:t>
      </w:r>
    </w:p>
    <w:p>
      <w:pPr>
        <w:jc w:val="center"/>
      </w:pPr>
      <w:r>
        <w:rPr>
          <w:rFonts w:ascii="Arial" w:cs="Arial" w:eastAsia="Arial" w:hAnsi="Arial"/>
          <w:b/>
          <w:bCs/>
          <w:color w:val="0D1B2A"/>
          <w:sz w:val="24"/>
          <w:szCs w:val="24"/>
        </w:rPr>
        <w:t xml:space="preserve">Assessment Date:</w:t>
      </w:r>
      <w:r>
        <w:rPr>
          <w:rFonts w:ascii="Arial" w:cs="Arial" w:eastAsia="Arial" w:hAnsi="Arial"/>
          <w:color w:val="333333"/>
          <w:sz w:val="24"/>
          <w:szCs w:val="24"/>
        </w:rPr>
        <w:t xml:space="preserve">  [DATE]</w:t>
      </w:r>
    </w:p>
    <w:p>
      <w:pPr>
        <w:jc w:val="center"/>
      </w:pPr>
      <w:r>
        <w:rPr>
          <w:rFonts w:ascii="Arial" w:cs="Arial" w:eastAsia="Arial" w:hAnsi="Arial"/>
          <w:b/>
          <w:bCs/>
          <w:color w:val="0D1B2A"/>
          <w:sz w:val="24"/>
          <w:szCs w:val="24"/>
        </w:rPr>
        <w:t xml:space="preserve">Prepared By:</w:t>
      </w:r>
      <w:r>
        <w:rPr>
          <w:rFonts w:ascii="Arial" w:cs="Arial" w:eastAsia="Arial" w:hAnsi="Arial"/>
          <w:color w:val="333333"/>
          <w:sz w:val="24"/>
          <w:szCs w:val="24"/>
        </w:rPr>
        <w:t xml:space="preserve">  [YOUR NAME] — GRC Consultant</w:t>
      </w:r>
    </w:p>
    <w:p>
      <w:pPr>
        <w:jc w:val="center"/>
      </w:pPr>
      <w:r>
        <w:rPr>
          <w:rFonts w:ascii="Arial" w:cs="Arial" w:eastAsia="Arial" w:hAnsi="Arial"/>
          <w:b/>
          <w:bCs/>
          <w:color w:val="0D1B2A"/>
          <w:sz w:val="24"/>
          <w:szCs w:val="24"/>
        </w:rPr>
        <w:t xml:space="preserve">Engagement Ref:</w:t>
      </w:r>
      <w:r>
        <w:rPr>
          <w:rFonts w:ascii="Arial" w:cs="Arial" w:eastAsia="Arial" w:hAnsi="Arial"/>
          <w:color w:val="333333"/>
          <w:sz w:val="24"/>
          <w:szCs w:val="24"/>
        </w:rPr>
        <w:t xml:space="preserve">  NP-2024-001</w:t>
      </w:r>
    </w:p>
    <w:p>
      <w:pPr>
        <w:jc w:val="center"/>
      </w:pPr>
      <w:r>
        <w:rPr>
          <w:rFonts w:ascii="Arial" w:cs="Arial" w:eastAsia="Arial" w:hAnsi="Arial"/>
          <w:b/>
          <w:bCs/>
          <w:color w:val="0D1B2A"/>
          <w:sz w:val="24"/>
          <w:szCs w:val="24"/>
        </w:rPr>
        <w:t xml:space="preserve">Classification:</w:t>
      </w:r>
      <w:r>
        <w:rPr>
          <w:rFonts w:ascii="Arial" w:cs="Arial" w:eastAsia="Arial" w:hAnsi="Arial"/>
          <w:color w:val="C0392B"/>
          <w:sz w:val="24"/>
          <w:szCs w:val="24"/>
        </w:rPr>
        <w:t xml:space="preserve">  CONFIDENTIAL</w:t>
      </w:r>
    </w:p>
    <w:p>
      <w:pPr>
        <w:spacing w:before="160"/>
      </w:pPr>
      <w:r>
        <w:t xml:space="preserve"/>
      </w:r>
    </w:p>
    <w:p>
      <w:pPr>
        <w:jc w:val="center"/>
      </w:pPr>
      <w:r>
        <w:rPr>
          <w:rFonts w:ascii="Arial" w:cs="Arial" w:eastAsia="Arial" w:hAnsi="Arial"/>
          <w:color w:val="1B4F72"/>
          <w:sz w:val="24"/>
          <w:szCs w:val="24"/>
        </w:rPr>
        <w:t xml:space="preserve">─────────────────────────────────────────────</w:t>
      </w:r>
    </w:p>
    <w:p>
      <w:pPr>
        <w:spacing w:before="80"/>
      </w:pPr>
      <w:r>
        <w:t xml:space="preserve"/>
      </w:r>
    </w:p>
    <w:p>
      <w:pPr>
        <w:ind w:left="700" w:right="700"/>
        <w:jc w:val="center"/>
      </w:pPr>
      <w:r>
        <w:rPr>
          <w:rFonts w:ascii="Arial" w:cs="Arial" w:eastAsia="Arial" w:hAnsi="Arial"/>
          <w:color w:val="888888"/>
          <w:sz w:val="18"/>
          <w:szCs w:val="18"/>
        </w:rPr>
        <w:t xml:space="preserve">This report contains sensitive findings and is intended solely for authorized personnel of NovaPay Inc. Unauthorized disclosure, distribution, or reproduction is prohibited.</w:t>
      </w:r>
    </w:p>
    <w:p>
      <w:r>
        <w:br w:type="page"/>
      </w:r>
    </w:p>
    <w:p>
      <w:pPr>
        <w:shd w:color="0D1B2A" w:val="solid"/>
        <w:spacing w:after="100" w:before="300"/>
        <w:ind w:left="200"/>
      </w:pPr>
      <w:r>
        <w:rPr>
          <w:rFonts w:ascii="Arial" w:cs="Arial" w:eastAsia="Arial" w:hAnsi="Arial"/>
          <w:b/>
          <w:bCs/>
          <w:color w:val="FFFFFF"/>
          <w:sz w:val="28"/>
          <w:szCs w:val="28"/>
        </w:rPr>
        <w:t xml:space="preserve">1.  EXECUTIVE SUMMARY</w:t>
      </w:r>
    </w:p>
    <w:p>
      <w:pPr>
        <w:spacing w:before="80"/>
      </w:pPr>
      <w:r>
        <w:t xml:space="preserve"/>
      </w:r>
    </w:p>
    <w:p>
      <w:pPr>
        <w:spacing w:after="60" w:before="60"/>
        <w:ind w:left="200"/>
      </w:pPr>
      <w:r>
        <w:rPr>
          <w:rFonts w:ascii="Arial" w:cs="Arial" w:eastAsia="Arial" w:hAnsi="Arial"/>
          <w:color w:val="333333"/>
          <w:sz w:val="20"/>
          <w:szCs w:val="20"/>
        </w:rPr>
        <w:t xml:space="preserve">This report presents the findings of a NIST Cybersecurity Framework (CSF) 2.0 gap assessment conducted for NovaPay Inc. between [START DATE] and [END DATE]. The assessment evaluated NovaPay's current cybersecurity posture across all six NIST CSF functions: Govern, Identify, Protect, Detect, Respond, and Recover.</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Overall Maturity Assessment</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CSF Function</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Controls Assessed</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Maturity Tier</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 — Govern</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17</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12%</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ID — Identify</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16</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6%</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 — Protect</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19</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18%</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 — Detect</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14</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7%</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RS — Respond</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17</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6%</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RC — Recover</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8</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0%</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Tier 1 — 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OVERALL</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91</w:t>
            </w:r>
          </w:p>
        </w:tc>
        <w:tc>
          <w:tcPr>
            <w:shd w:color="C0392B"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9%</w:t>
            </w:r>
          </w:p>
        </w:tc>
        <w:tc>
          <w:tcPr>
            <w:shd w:color="C0392B"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 1 — Partial</w:t>
            </w:r>
          </w:p>
        </w:tc>
        <w:tc>
          <w:tcPr>
            <w:shd w:color="C0392B"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IMMEDIATE ACTION REQUIRED</w:t>
            </w:r>
          </w:p>
        </w:tc>
      </w:tr>
    </w:tbl>
    <w:p>
      <w:pPr>
        <w:spacing w:before="160"/>
      </w:pPr>
      <w:r>
        <w:t xml:space="preserve"/>
      </w:r>
    </w:p>
    <w:p>
      <w:pPr>
        <w:pBdr>
          <w:bottom w:val="single" w:color="1B4F72" w:sz="6"/>
        </w:pBdr>
        <w:spacing w:after="60" w:before="160"/>
      </w:pPr>
      <w:r>
        <w:rPr>
          <w:rFonts w:ascii="Arial" w:cs="Arial" w:eastAsia="Arial" w:hAnsi="Arial"/>
          <w:b/>
          <w:bCs/>
          <w:color w:val="0D1B2A"/>
          <w:sz w:val="22"/>
          <w:szCs w:val="22"/>
        </w:rPr>
        <w:t xml:space="preserve">Key Findings</w:t>
      </w:r>
    </w:p>
    <w:p>
      <w:pPr>
        <w:spacing w:after="40" w:before="40"/>
        <w:ind w:left="400"/>
      </w:pPr>
      <w:r>
        <w:rPr>
          <w:rFonts w:ascii="Arial" w:cs="Arial" w:eastAsia="Arial" w:hAnsi="Arial"/>
          <w:color w:val="333333"/>
          <w:sz w:val="20"/>
          <w:szCs w:val="20"/>
        </w:rPr>
        <w:t xml:space="preserve">• NovaPay Inc. currently operates at Tier 1 (Partial) maturity across all six NIST CSF functions.</w:t>
      </w:r>
    </w:p>
    <w:p>
      <w:pPr>
        <w:spacing w:after="40" w:before="40"/>
        <w:ind w:left="400"/>
      </w:pPr>
      <w:r>
        <w:rPr>
          <w:rFonts w:ascii="Arial" w:cs="Arial" w:eastAsia="Arial" w:hAnsi="Arial"/>
          <w:color w:val="333333"/>
          <w:sz w:val="20"/>
          <w:szCs w:val="20"/>
        </w:rPr>
        <w:t xml:space="preserve">• There is no formal cybersecurity policy, no named security responsible person, and no incident response plan.</w:t>
      </w:r>
    </w:p>
    <w:p>
      <w:pPr>
        <w:spacing w:after="40" w:before="40"/>
        <w:ind w:left="400"/>
      </w:pPr>
      <w:r>
        <w:rPr>
          <w:rFonts w:ascii="Arial" w:cs="Arial" w:eastAsia="Arial" w:hAnsi="Arial"/>
          <w:color w:val="333333"/>
          <w:sz w:val="20"/>
          <w:szCs w:val="20"/>
        </w:rPr>
        <w:t xml:space="preserve">• Multi-Factor Authentication (MFA) is not enforced on any system — a critical gap given the company processes payment data.</w:t>
      </w:r>
    </w:p>
    <w:p>
      <w:pPr>
        <w:spacing w:after="40" w:before="40"/>
        <w:ind w:left="400"/>
      </w:pPr>
      <w:r>
        <w:rPr>
          <w:rFonts w:ascii="Arial" w:cs="Arial" w:eastAsia="Arial" w:hAnsi="Arial"/>
          <w:color w:val="333333"/>
          <w:sz w:val="20"/>
          <w:szCs w:val="20"/>
        </w:rPr>
        <w:t xml:space="preserve">• Customer data is not encrypted at rest, posing significant regulatory and reputational risk.</w:t>
      </w:r>
    </w:p>
    <w:p>
      <w:pPr>
        <w:spacing w:after="40" w:before="40"/>
        <w:ind w:left="400"/>
      </w:pPr>
      <w:r>
        <w:rPr>
          <w:rFonts w:ascii="Arial" w:cs="Arial" w:eastAsia="Arial" w:hAnsi="Arial"/>
          <w:color w:val="333333"/>
          <w:sz w:val="20"/>
          <w:szCs w:val="20"/>
        </w:rPr>
        <w:t xml:space="preserve">• No monitoring, logging, or detection capabilities are in place.</w:t>
      </w:r>
    </w:p>
    <w:p>
      <w:pPr>
        <w:spacing w:after="40" w:before="40"/>
        <w:ind w:left="400"/>
      </w:pPr>
      <w:r>
        <w:rPr>
          <w:rFonts w:ascii="Arial" w:cs="Arial" w:eastAsia="Arial" w:hAnsi="Arial"/>
          <w:color w:val="333333"/>
          <w:sz w:val="20"/>
          <w:szCs w:val="20"/>
        </w:rPr>
        <w:t xml:space="preserve">• No business continuity or disaster recovery plan exists.</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Immediate Actions Required (Next 30 Days)</w:t>
      </w:r>
    </w:p>
    <w:p>
      <w:pPr>
        <w:spacing w:after="40" w:before="40"/>
        <w:ind w:left="400"/>
      </w:pPr>
      <w:r>
        <w:rPr>
          <w:rFonts w:ascii="Arial" w:cs="Arial" w:eastAsia="Arial" w:hAnsi="Arial"/>
          <w:color w:val="333333"/>
          <w:sz w:val="20"/>
          <w:szCs w:val="20"/>
        </w:rPr>
        <w:t xml:space="preserve">• Appoint a named security responsible person (CISO or Security Lead)</w:t>
      </w:r>
    </w:p>
    <w:p>
      <w:pPr>
        <w:spacing w:after="40" w:before="40"/>
        <w:ind w:left="400"/>
      </w:pPr>
      <w:r>
        <w:rPr>
          <w:rFonts w:ascii="Arial" w:cs="Arial" w:eastAsia="Arial" w:hAnsi="Arial"/>
          <w:color w:val="333333"/>
          <w:sz w:val="20"/>
          <w:szCs w:val="20"/>
        </w:rPr>
        <w:t xml:space="preserve">• Draft and approve a cybersecurity policy</w:t>
      </w:r>
    </w:p>
    <w:p>
      <w:pPr>
        <w:spacing w:after="40" w:before="40"/>
        <w:ind w:left="400"/>
      </w:pPr>
      <w:r>
        <w:rPr>
          <w:rFonts w:ascii="Arial" w:cs="Arial" w:eastAsia="Arial" w:hAnsi="Arial"/>
          <w:color w:val="333333"/>
          <w:sz w:val="20"/>
          <w:szCs w:val="20"/>
        </w:rPr>
        <w:t xml:space="preserve">• Enable MFA on all user accounts immediately</w:t>
      </w:r>
    </w:p>
    <w:p>
      <w:pPr>
        <w:spacing w:after="40" w:before="40"/>
        <w:ind w:left="400"/>
      </w:pPr>
      <w:r>
        <w:rPr>
          <w:rFonts w:ascii="Arial" w:cs="Arial" w:eastAsia="Arial" w:hAnsi="Arial"/>
          <w:color w:val="333333"/>
          <w:sz w:val="20"/>
          <w:szCs w:val="20"/>
        </w:rPr>
        <w:t xml:space="preserve">• Begin encryption of customer data at rest</w:t>
      </w:r>
    </w:p>
    <w:p>
      <w:pPr>
        <w:spacing w:after="40" w:before="40"/>
        <w:ind w:left="400"/>
      </w:pPr>
      <w:r>
        <w:rPr>
          <w:rFonts w:ascii="Arial" w:cs="Arial" w:eastAsia="Arial" w:hAnsi="Arial"/>
          <w:color w:val="333333"/>
          <w:sz w:val="20"/>
          <w:szCs w:val="20"/>
        </w:rPr>
        <w:t xml:space="preserve">• Draft an Incident Response Plan</w:t>
      </w:r>
    </w:p>
    <w:p>
      <w:r>
        <w:br w:type="page"/>
      </w:r>
    </w:p>
    <w:p>
      <w:pPr>
        <w:shd w:color="0D1B2A" w:val="solid"/>
        <w:spacing w:after="100" w:before="300"/>
        <w:ind w:left="200"/>
      </w:pPr>
      <w:r>
        <w:rPr>
          <w:rFonts w:ascii="Arial" w:cs="Arial" w:eastAsia="Arial" w:hAnsi="Arial"/>
          <w:b/>
          <w:bCs/>
          <w:color w:val="FFFFFF"/>
          <w:sz w:val="28"/>
          <w:szCs w:val="28"/>
        </w:rPr>
        <w:t xml:space="preserve">2.  ASSESSMENT SCOPE &amp; METHODOLOGY</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2.1  Scope</w:t>
      </w:r>
    </w:p>
    <w:p>
      <w:pPr>
        <w:spacing w:after="60" w:before="60"/>
        <w:ind w:left="200"/>
      </w:pPr>
      <w:r>
        <w:rPr>
          <w:rFonts w:ascii="Arial" w:cs="Arial" w:eastAsia="Arial" w:hAnsi="Arial"/>
          <w:color w:val="333333"/>
          <w:sz w:val="20"/>
          <w:szCs w:val="20"/>
        </w:rPr>
        <w:t xml:space="preserve">This assessment covered NovaPay Inc.'s cybersecurity posture across people, processes, and technology. The assessment was conducted through structured interviews, documentation review, and technical observation. The scope included:</w:t>
      </w:r>
    </w:p>
    <w:p>
      <w:pPr>
        <w:spacing w:after="40" w:before="40"/>
        <w:ind w:left="400"/>
      </w:pPr>
      <w:r>
        <w:rPr>
          <w:rFonts w:ascii="Arial" w:cs="Arial" w:eastAsia="Arial" w:hAnsi="Arial"/>
          <w:color w:val="333333"/>
          <w:sz w:val="20"/>
          <w:szCs w:val="20"/>
        </w:rPr>
        <w:t xml:space="preserve">• All corporate IT systems and cloud infrastructure (AWS)</w:t>
      </w:r>
    </w:p>
    <w:p>
      <w:pPr>
        <w:spacing w:after="40" w:before="40"/>
        <w:ind w:left="400"/>
      </w:pPr>
      <w:r>
        <w:rPr>
          <w:rFonts w:ascii="Arial" w:cs="Arial" w:eastAsia="Arial" w:hAnsi="Arial"/>
          <w:color w:val="333333"/>
          <w:sz w:val="20"/>
          <w:szCs w:val="20"/>
        </w:rPr>
        <w:t xml:space="preserve">• Employee access and identity management</w:t>
      </w:r>
    </w:p>
    <w:p>
      <w:pPr>
        <w:spacing w:after="40" w:before="40"/>
        <w:ind w:left="400"/>
      </w:pPr>
      <w:r>
        <w:rPr>
          <w:rFonts w:ascii="Arial" w:cs="Arial" w:eastAsia="Arial" w:hAnsi="Arial"/>
          <w:color w:val="333333"/>
          <w:sz w:val="20"/>
          <w:szCs w:val="20"/>
        </w:rPr>
        <w:t xml:space="preserve">• Customer data handling and processing systems</w:t>
      </w:r>
    </w:p>
    <w:p>
      <w:pPr>
        <w:spacing w:after="40" w:before="40"/>
        <w:ind w:left="400"/>
      </w:pPr>
      <w:r>
        <w:rPr>
          <w:rFonts w:ascii="Arial" w:cs="Arial" w:eastAsia="Arial" w:hAnsi="Arial"/>
          <w:color w:val="333333"/>
          <w:sz w:val="20"/>
          <w:szCs w:val="20"/>
        </w:rPr>
        <w:t xml:space="preserve">• Third-party vendor and payment processor relationships</w:t>
      </w:r>
    </w:p>
    <w:p>
      <w:pPr>
        <w:spacing w:after="40" w:before="40"/>
        <w:ind w:left="400"/>
      </w:pPr>
      <w:r>
        <w:rPr>
          <w:rFonts w:ascii="Arial" w:cs="Arial" w:eastAsia="Arial" w:hAnsi="Arial"/>
          <w:color w:val="333333"/>
          <w:sz w:val="20"/>
          <w:szCs w:val="20"/>
        </w:rPr>
        <w:t xml:space="preserve">• Organizational policies, procedures, and governance structures</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2.2  Methodology</w:t>
      </w:r>
    </w:p>
    <w:p>
      <w:pPr>
        <w:spacing w:after="60" w:before="60"/>
        <w:ind w:left="200"/>
      </w:pPr>
      <w:r>
        <w:rPr>
          <w:rFonts w:ascii="Arial" w:cs="Arial" w:eastAsia="Arial" w:hAnsi="Arial"/>
          <w:color w:val="333333"/>
          <w:sz w:val="20"/>
          <w:szCs w:val="20"/>
        </w:rPr>
        <w:t xml:space="preserve">The assessment followed the NIST Cybersecurity Framework Version 2.0 using the following approach:</w:t>
      </w:r>
    </w:p>
    <w:p>
      <w:pPr>
        <w:spacing w:after="40" w:before="40"/>
        <w:ind w:left="400"/>
      </w:pPr>
      <w:r>
        <w:rPr>
          <w:rFonts w:ascii="Arial" w:cs="Arial" w:eastAsia="Arial" w:hAnsi="Arial"/>
          <w:color w:val="333333"/>
          <w:sz w:val="20"/>
          <w:szCs w:val="20"/>
        </w:rPr>
        <w:t xml:space="preserve">• Scoping call and documentation request to NovaPay leadership</w:t>
      </w:r>
    </w:p>
    <w:p>
      <w:pPr>
        <w:spacing w:after="40" w:before="40"/>
        <w:ind w:left="400"/>
      </w:pPr>
      <w:r>
        <w:rPr>
          <w:rFonts w:ascii="Arial" w:cs="Arial" w:eastAsia="Arial" w:hAnsi="Arial"/>
          <w:color w:val="333333"/>
          <w:sz w:val="20"/>
          <w:szCs w:val="20"/>
        </w:rPr>
        <w:t xml:space="preserve">• Gap assessment questionnaire administered across all 6 CSF Functions (91 controls)</w:t>
      </w:r>
    </w:p>
    <w:p>
      <w:pPr>
        <w:spacing w:after="40" w:before="40"/>
        <w:ind w:left="400"/>
      </w:pPr>
      <w:r>
        <w:rPr>
          <w:rFonts w:ascii="Arial" w:cs="Arial" w:eastAsia="Arial" w:hAnsi="Arial"/>
          <w:color w:val="333333"/>
          <w:sz w:val="20"/>
          <w:szCs w:val="20"/>
        </w:rPr>
        <w:t xml:space="preserve">• Maturity scoring using YES / PARTIAL / NO ratings per control</w:t>
      </w:r>
    </w:p>
    <w:p>
      <w:pPr>
        <w:spacing w:after="40" w:before="40"/>
        <w:ind w:left="400"/>
      </w:pPr>
      <w:r>
        <w:rPr>
          <w:rFonts w:ascii="Arial" w:cs="Arial" w:eastAsia="Arial" w:hAnsi="Arial"/>
          <w:color w:val="333333"/>
          <w:sz w:val="20"/>
          <w:szCs w:val="20"/>
        </w:rPr>
        <w:t xml:space="preserve">• Risk rating assignment (HIGH / MEDIUM / LOW) for each identified gap</w:t>
      </w:r>
    </w:p>
    <w:p>
      <w:pPr>
        <w:spacing w:after="40" w:before="40"/>
        <w:ind w:left="400"/>
      </w:pPr>
      <w:r>
        <w:rPr>
          <w:rFonts w:ascii="Arial" w:cs="Arial" w:eastAsia="Arial" w:hAnsi="Arial"/>
          <w:color w:val="333333"/>
          <w:sz w:val="20"/>
          <w:szCs w:val="20"/>
        </w:rPr>
        <w:t xml:space="preserve">• Remediation roadmap development prioritized by risk level</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2.3  Scoring Methodology</w:t>
      </w:r>
    </w:p>
    <w:p>
      <w:pPr>
        <w:spacing w:after="60" w:before="60"/>
        <w:ind w:left="200"/>
      </w:pPr>
      <w:r>
        <w:rPr>
          <w:rFonts w:ascii="Arial" w:cs="Arial" w:eastAsia="Arial" w:hAnsi="Arial"/>
          <w:color w:val="333333"/>
          <w:sz w:val="20"/>
          <w:szCs w:val="20"/>
        </w:rPr>
        <w:t xml:space="preserve">Controls were scored as follows: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 Weight</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r>
      <w:tr>
        <w:tc>
          <w:tcPr>
            <w:shd w:color="D5F5E3"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YES</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1.0 (Full credit)</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Control is fully implemented and documented</w:t>
            </w:r>
          </w:p>
        </w:tc>
      </w:tr>
      <w:tr>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PARTIAL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0.5 (Half credit)</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Control exists but is incomplete or inconsistent</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0.0 (No credit)</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Control does not exist</w:t>
            </w:r>
          </w:p>
        </w:tc>
      </w:tr>
    </w:tbl>
    <w:p>
      <w:r>
        <w:br w:type="page"/>
      </w:r>
    </w:p>
    <w:p>
      <w:pPr>
        <w:shd w:color="0D1B2A" w:val="solid"/>
        <w:spacing w:after="100" w:before="300"/>
        <w:ind w:left="200"/>
      </w:pPr>
      <w:r>
        <w:rPr>
          <w:rFonts w:ascii="Arial" w:cs="Arial" w:eastAsia="Arial" w:hAnsi="Arial"/>
          <w:b/>
          <w:bCs/>
          <w:color w:val="FFFFFF"/>
          <w:sz w:val="28"/>
          <w:szCs w:val="28"/>
        </w:rPr>
        <w:t xml:space="preserve">3.  DETAILED FINDINGS BY FUNCTION</w:t>
      </w:r>
    </w:p>
    <w:p>
      <w:pPr>
        <w:spacing w:before="80"/>
      </w:pPr>
      <w:r>
        <w:t xml:space="preserve"/>
      </w:r>
    </w:p>
    <w:p>
      <w:pPr>
        <w:shd w:color="1B4F72" w:val="solid"/>
        <w:spacing w:after="80" w:before="200"/>
        <w:ind w:left="100"/>
      </w:pPr>
      <w:r>
        <w:rPr>
          <w:rFonts w:ascii="Arial" w:cs="Arial" w:eastAsia="Arial" w:hAnsi="Arial"/>
          <w:b/>
          <w:bCs/>
          <w:color w:val="FFFFFF"/>
          <w:sz w:val="24"/>
          <w:szCs w:val="24"/>
        </w:rPr>
        <w:t xml:space="preserve">3.1  GV — GOVERN</w:t>
      </w:r>
    </w:p>
    <w:p>
      <w:pPr>
        <w:spacing w:after="60" w:before="60"/>
        <w:ind w:left="200"/>
      </w:pPr>
      <w:r>
        <w:rPr>
          <w:rFonts w:ascii="Arial" w:cs="Arial" w:eastAsia="Arial" w:hAnsi="Arial"/>
          <w:color w:val="333333"/>
          <w:sz w:val="20"/>
          <w:szCs w:val="20"/>
        </w:rPr>
        <w:t xml:space="preserve">The Govern function assesses whether the organization has established governance structures, policies, roles, and oversight for cybersecurity risk management.</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ID</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GV.RR-01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named person responsible for cybersecurity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GV.PO-01</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written cybersecurity policy exists</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GV.RM-01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formal risk management strategy documented</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GV.SC-01</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vendor risk assessment process in place</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GV.OV-01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cybersecurity KPIs tracked or reported to management</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Recommendations — Govern</w:t>
      </w:r>
    </w:p>
    <w:p>
      <w:pPr>
        <w:spacing w:after="40" w:before="40"/>
        <w:ind w:left="400"/>
      </w:pPr>
      <w:r>
        <w:rPr>
          <w:rFonts w:ascii="Arial" w:cs="Arial" w:eastAsia="Arial" w:hAnsi="Arial"/>
          <w:color w:val="333333"/>
          <w:sz w:val="20"/>
          <w:szCs w:val="20"/>
        </w:rPr>
        <w:t xml:space="preserve">• Appoint a CISO or Security Lead with formal charter and authority</w:t>
      </w:r>
    </w:p>
    <w:p>
      <w:pPr>
        <w:spacing w:after="40" w:before="40"/>
        <w:ind w:left="400"/>
      </w:pPr>
      <w:r>
        <w:rPr>
          <w:rFonts w:ascii="Arial" w:cs="Arial" w:eastAsia="Arial" w:hAnsi="Arial"/>
          <w:color w:val="333333"/>
          <w:sz w:val="20"/>
          <w:szCs w:val="20"/>
        </w:rPr>
        <w:t xml:space="preserve">• Draft a cybersecurity policy covering acceptable use, data handling, access control, and incident reporting</w:t>
      </w:r>
    </w:p>
    <w:p>
      <w:pPr>
        <w:spacing w:after="40" w:before="40"/>
        <w:ind w:left="400"/>
      </w:pPr>
      <w:r>
        <w:rPr>
          <w:rFonts w:ascii="Arial" w:cs="Arial" w:eastAsia="Arial" w:hAnsi="Arial"/>
          <w:color w:val="333333"/>
          <w:sz w:val="20"/>
          <w:szCs w:val="20"/>
        </w:rPr>
        <w:t xml:space="preserve">• Establish a risk register and update it quarterly</w:t>
      </w:r>
    </w:p>
    <w:p>
      <w:pPr>
        <w:spacing w:after="40" w:before="40"/>
        <w:ind w:left="400"/>
      </w:pPr>
      <w:r>
        <w:rPr>
          <w:rFonts w:ascii="Arial" w:cs="Arial" w:eastAsia="Arial" w:hAnsi="Arial"/>
          <w:color w:val="333333"/>
          <w:sz w:val="20"/>
          <w:szCs w:val="20"/>
        </w:rPr>
        <w:t xml:space="preserve">• Create a vendor questionnaire for all new third-party relationships</w:t>
      </w:r>
    </w:p>
    <w:p>
      <w:pPr>
        <w:spacing w:before="80"/>
      </w:pPr>
      <w:r>
        <w:t xml:space="preserve"/>
      </w:r>
    </w:p>
    <w:p>
      <w:pPr>
        <w:shd w:color="1B4F72" w:val="solid"/>
        <w:spacing w:after="80" w:before="200"/>
        <w:ind w:left="100"/>
      </w:pPr>
      <w:r>
        <w:rPr>
          <w:rFonts w:ascii="Arial" w:cs="Arial" w:eastAsia="Arial" w:hAnsi="Arial"/>
          <w:b/>
          <w:bCs/>
          <w:color w:val="FFFFFF"/>
          <w:sz w:val="24"/>
          <w:szCs w:val="24"/>
        </w:rPr>
        <w:t xml:space="preserve">3.2  PR — PROTECT</w:t>
      </w:r>
    </w:p>
    <w:p>
      <w:pPr>
        <w:spacing w:after="60" w:before="60"/>
        <w:ind w:left="200"/>
      </w:pPr>
      <w:r>
        <w:rPr>
          <w:rFonts w:ascii="Arial" w:cs="Arial" w:eastAsia="Arial" w:hAnsi="Arial"/>
          <w:color w:val="333333"/>
          <w:sz w:val="20"/>
          <w:szCs w:val="20"/>
        </w:rPr>
        <w:t xml:space="preserve">The Protect function assesses safeguards implemented to ensure delivery of critical services and reduce the impact of cybersecurity events.</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ID</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PR.AA-02</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MFA not enforced on any system or account</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PR.DS-02</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Customer payment data not encrypted at rest</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PR.AT-01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cybersecurity awareness training for employees</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PR.PS-03</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patch management process defined</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PR.IR-01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backup policy or recovery testing</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Recommendations — Protect</w:t>
      </w:r>
    </w:p>
    <w:p>
      <w:pPr>
        <w:spacing w:after="40" w:before="40"/>
        <w:ind w:left="400"/>
      </w:pPr>
      <w:r>
        <w:rPr>
          <w:rFonts w:ascii="Arial" w:cs="Arial" w:eastAsia="Arial" w:hAnsi="Arial"/>
          <w:color w:val="333333"/>
          <w:sz w:val="20"/>
          <w:szCs w:val="20"/>
        </w:rPr>
        <w:t xml:space="preserve">• Enable MFA immediately on all accounts — Google Workspace, AWS, banking, and any SaaS tools</w:t>
      </w:r>
    </w:p>
    <w:p>
      <w:pPr>
        <w:spacing w:after="40" w:before="40"/>
        <w:ind w:left="400"/>
      </w:pPr>
      <w:r>
        <w:rPr>
          <w:rFonts w:ascii="Arial" w:cs="Arial" w:eastAsia="Arial" w:hAnsi="Arial"/>
          <w:color w:val="333333"/>
          <w:sz w:val="20"/>
          <w:szCs w:val="20"/>
        </w:rPr>
        <w:t xml:space="preserve">• Implement AES-256 encryption for all databases storing customer and payment data</w:t>
      </w:r>
    </w:p>
    <w:p>
      <w:pPr>
        <w:spacing w:after="40" w:before="40"/>
        <w:ind w:left="400"/>
      </w:pPr>
      <w:r>
        <w:rPr>
          <w:rFonts w:ascii="Arial" w:cs="Arial" w:eastAsia="Arial" w:hAnsi="Arial"/>
          <w:color w:val="333333"/>
          <w:sz w:val="20"/>
          <w:szCs w:val="20"/>
        </w:rPr>
        <w:t xml:space="preserve">• Enroll all staff in free security awareness training (SANS, KnowBe4 free tier)</w:t>
      </w:r>
    </w:p>
    <w:p>
      <w:pPr>
        <w:spacing w:after="40" w:before="40"/>
        <w:ind w:left="400"/>
      </w:pPr>
      <w:r>
        <w:rPr>
          <w:rFonts w:ascii="Arial" w:cs="Arial" w:eastAsia="Arial" w:hAnsi="Arial"/>
          <w:color w:val="333333"/>
          <w:sz w:val="20"/>
          <w:szCs w:val="20"/>
        </w:rPr>
        <w:t xml:space="preserve">• Define a monthly patch cycle with designated IT owner</w:t>
      </w:r>
    </w:p>
    <w:p>
      <w:pPr>
        <w:spacing w:after="40" w:before="40"/>
        <w:ind w:left="400"/>
      </w:pPr>
      <w:r>
        <w:rPr>
          <w:rFonts w:ascii="Arial" w:cs="Arial" w:eastAsia="Arial" w:hAnsi="Arial"/>
          <w:color w:val="333333"/>
          <w:sz w:val="20"/>
          <w:szCs w:val="20"/>
        </w:rPr>
        <w:t xml:space="preserve">• Implement automated daily backups with offsite storage (AWS S3 with versioning)</w:t>
      </w:r>
    </w:p>
    <w:p>
      <w:pPr>
        <w:spacing w:before="80"/>
      </w:pPr>
      <w:r>
        <w:t xml:space="preserve"/>
      </w:r>
    </w:p>
    <w:p>
      <w:pPr>
        <w:shd w:color="1B4F72" w:val="solid"/>
        <w:spacing w:after="80" w:before="200"/>
        <w:ind w:left="100"/>
      </w:pPr>
      <w:r>
        <w:rPr>
          <w:rFonts w:ascii="Arial" w:cs="Arial" w:eastAsia="Arial" w:hAnsi="Arial"/>
          <w:b/>
          <w:bCs/>
          <w:color w:val="FFFFFF"/>
          <w:sz w:val="24"/>
          <w:szCs w:val="24"/>
        </w:rPr>
        <w:t xml:space="preserve">3.3  RS — RESPOND</w:t>
      </w:r>
    </w:p>
    <w:p>
      <w:pPr>
        <w:spacing w:after="60" w:before="60"/>
        <w:ind w:left="200"/>
      </w:pPr>
      <w:r>
        <w:rPr>
          <w:rFonts w:ascii="Arial" w:cs="Arial" w:eastAsia="Arial" w:hAnsi="Arial"/>
          <w:color w:val="333333"/>
          <w:sz w:val="20"/>
          <w:szCs w:val="20"/>
        </w:rPr>
        <w:t xml:space="preserve">The Respond function assesses the organization's ability to take action when a cybersecurity incident is detected.</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ID</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RS.MA-01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Incident Response Plan (IRP) exists</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RS.AN-01</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root cause analysis process defined</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RS.CO-01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communication plan for incidents</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Recommendations — Respond</w:t>
      </w:r>
    </w:p>
    <w:p>
      <w:pPr>
        <w:spacing w:after="40" w:before="40"/>
        <w:ind w:left="400"/>
      </w:pPr>
      <w:r>
        <w:rPr>
          <w:rFonts w:ascii="Arial" w:cs="Arial" w:eastAsia="Arial" w:hAnsi="Arial"/>
          <w:color w:val="333333"/>
          <w:sz w:val="20"/>
          <w:szCs w:val="20"/>
        </w:rPr>
        <w:t xml:space="preserve">• Draft an Incident Response Plan using NIST SP 800-61 as a guide</w:t>
      </w:r>
    </w:p>
    <w:p>
      <w:pPr>
        <w:spacing w:after="40" w:before="40"/>
        <w:ind w:left="400"/>
      </w:pPr>
      <w:r>
        <w:rPr>
          <w:rFonts w:ascii="Arial" w:cs="Arial" w:eastAsia="Arial" w:hAnsi="Arial"/>
          <w:color w:val="333333"/>
          <w:sz w:val="20"/>
          <w:szCs w:val="20"/>
        </w:rPr>
        <w:t xml:space="preserve">• Define severity levels (P1–P4) and escalation paths for each</w:t>
      </w:r>
    </w:p>
    <w:p>
      <w:pPr>
        <w:spacing w:after="40" w:before="40"/>
        <w:ind w:left="400"/>
      </w:pPr>
      <w:r>
        <w:rPr>
          <w:rFonts w:ascii="Arial" w:cs="Arial" w:eastAsia="Arial" w:hAnsi="Arial"/>
          <w:color w:val="333333"/>
          <w:sz w:val="20"/>
          <w:szCs w:val="20"/>
        </w:rPr>
        <w:t xml:space="preserve">• Create a breach notification template for regulators and affected customers</w:t>
      </w:r>
    </w:p>
    <w:p>
      <w:pPr>
        <w:spacing w:before="80"/>
      </w:pPr>
      <w:r>
        <w:t xml:space="preserve"/>
      </w:r>
    </w:p>
    <w:p>
      <w:r>
        <w:br w:type="page"/>
      </w:r>
    </w:p>
    <w:p>
      <w:pPr>
        <w:shd w:color="0D1B2A" w:val="solid"/>
        <w:spacing w:after="100" w:before="300"/>
        <w:ind w:left="200"/>
      </w:pPr>
      <w:r>
        <w:rPr>
          <w:rFonts w:ascii="Arial" w:cs="Arial" w:eastAsia="Arial" w:hAnsi="Arial"/>
          <w:b/>
          <w:bCs/>
          <w:color w:val="FFFFFF"/>
          <w:sz w:val="28"/>
          <w:szCs w:val="28"/>
        </w:rPr>
        <w:t xml:space="preserve">4.  RISK REGISTER</w:t>
      </w:r>
    </w:p>
    <w:p>
      <w:pPr>
        <w:spacing w:before="80"/>
      </w:pPr>
      <w:r>
        <w:t xml:space="preserve"/>
      </w:r>
    </w:p>
    <w:p>
      <w:pPr>
        <w:spacing w:after="60" w:before="60"/>
        <w:ind w:left="200"/>
      </w:pPr>
      <w:r>
        <w:rPr>
          <w:rFonts w:ascii="Arial" w:cs="Arial" w:eastAsia="Arial" w:hAnsi="Arial"/>
          <w:color w:val="333333"/>
          <w:sz w:val="20"/>
          <w:szCs w:val="20"/>
        </w:rPr>
        <w:t xml:space="preserve">The following table summarizes all identified gaps by risk level. Risks are prioritized for remediation based on likelihood of exploitation and potential business impact.</w:t>
      </w:r>
    </w:p>
    <w:p>
      <w:pPr>
        <w:spacing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Description</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R-01</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MFA — accounts vulnerable to credential attack</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Very 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R-02</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Unencrypted customer data — breach = regulatory action</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R-03</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IRP — cannot respond effectively to incidents</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Critical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R-04</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security policy — no baseline for compliance</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R-05</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monitoring — breaches go undetected</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R-06</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backups tested — recovery not guaranteed</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w:t>
            </w:r>
          </w:p>
        </w:tc>
      </w:tr>
      <w:tr>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R-07</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vendor risk management</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Low</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Medium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R-08</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No employee training — phishing risk high</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High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w:t>
            </w:r>
          </w:p>
        </w:tc>
      </w:tr>
    </w:tbl>
    <w:p>
      <w:r>
        <w:br w:type="page"/>
      </w:r>
    </w:p>
    <w:p>
      <w:pPr>
        <w:shd w:color="0D1B2A" w:val="solid"/>
        <w:spacing w:after="100" w:before="300"/>
        <w:ind w:left="200"/>
      </w:pPr>
      <w:r>
        <w:rPr>
          <w:rFonts w:ascii="Arial" w:cs="Arial" w:eastAsia="Arial" w:hAnsi="Arial"/>
          <w:b/>
          <w:bCs/>
          <w:color w:val="FFFFFF"/>
          <w:sz w:val="28"/>
          <w:szCs w:val="28"/>
        </w:rPr>
        <w:t xml:space="preserve">5.  REMEDIATION ROADMAP</w:t>
      </w:r>
    </w:p>
    <w:p>
      <w:pPr>
        <w:spacing w:before="80"/>
      </w:pPr>
      <w:r>
        <w:t xml:space="preserve"/>
      </w:r>
    </w:p>
    <w:p>
      <w:pPr>
        <w:spacing w:after="60" w:before="60"/>
        <w:ind w:left="200"/>
      </w:pPr>
      <w:r>
        <w:rPr>
          <w:rFonts w:ascii="Arial" w:cs="Arial" w:eastAsia="Arial" w:hAnsi="Arial"/>
          <w:color w:val="333333"/>
          <w:sz w:val="20"/>
          <w:szCs w:val="20"/>
        </w:rPr>
        <w:t xml:space="preserve">The following 90-day roadmap prioritizes remediation activities based on risk level. This roadmap should be reviewed and updated monthly by the designated security lead.</w:t>
      </w:r>
    </w:p>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Phase 1 — Immediate (0–30 Days) — CRITICAL Gaps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Item</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Resource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Criteria</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Appoint Security Lead / CISO</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Internal hire or fractional</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Named person in post with charter</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Enable MFA on all accounts</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Google Workspace, AWS IAM</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100% of accounts MFA-enabled</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Draft Cybersecurity Policy</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SANS policy templates (free)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Policy approved and communicated</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Enable database encryption</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AWS RDS encryption, AES-256</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All DBs encrypted at rest</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Draft Incident Response Plan</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NIST SP 800-61 template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IRP documented and circulated</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Security awareness training</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KnowBe4 free / SANS</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100% staff enrolled</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Phase 2 — Short Term (31–60 Days) — HIGH Gaps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Item</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Resource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Criteria</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Create asset inventory (HW + SW)</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Spreadsheet / Lansweeper free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Full inventory documented</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Conduct formal risk assessment</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NIST risk template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Risk register completed</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Define patch management process</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Internal SOP</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Monthly patch cycle active</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Implement automated backups</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AWS S3, backup policy doc</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Daily backups running + tested</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Draft BCP / DR Plan</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BCP template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RTO/RPO defined for all systems</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Phase 3 — Medium Term (61–90 Days) — MEDIUM Gaps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Item</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 Resource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Criteria</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Implement network monitoring</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Datadog free / CloudWatch</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Alerts configured and active</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Create vendor risk program</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Vendor questionnaire template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All current vendors assessed</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Enable system logging / SIEM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AWS CloudTrail, Splunk free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Logs centralized and reviewed</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Conduct IRP tabletop exercise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Scenario-based drill</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Exercise completed + documented</w:t>
            </w:r>
          </w:p>
        </w:tc>
      </w:tr>
    </w:tbl>
    <w:p>
      <w:r>
        <w:br w:type="page"/>
      </w:r>
    </w:p>
    <w:p>
      <w:pPr>
        <w:shd w:color="0D1B2A" w:val="solid"/>
        <w:spacing w:after="100" w:before="300"/>
        <w:ind w:left="200"/>
      </w:pPr>
      <w:r>
        <w:rPr>
          <w:rFonts w:ascii="Arial" w:cs="Arial" w:eastAsia="Arial" w:hAnsi="Arial"/>
          <w:b/>
          <w:bCs/>
          <w:color w:val="FFFFFF"/>
          <w:sz w:val="28"/>
          <w:szCs w:val="28"/>
        </w:rPr>
        <w:t xml:space="preserve">6.  POLICIES TO BE CREATED</w:t>
      </w:r>
    </w:p>
    <w:p>
      <w:pPr>
        <w:spacing w:before="80"/>
      </w:pPr>
      <w:r>
        <w:t xml:space="preserve"/>
      </w:r>
    </w:p>
    <w:p>
      <w:pPr>
        <w:spacing w:after="60" w:before="60"/>
        <w:ind w:left="200"/>
      </w:pPr>
      <w:r>
        <w:rPr>
          <w:rFonts w:ascii="Arial" w:cs="Arial" w:eastAsia="Arial" w:hAnsi="Arial"/>
          <w:color w:val="333333"/>
          <w:sz w:val="20"/>
          <w:szCs w:val="20"/>
        </w:rPr>
        <w:t xml:space="preserve">The following policies are missing and must be created as part of Phase 1 and 2 remediation. Templates are available from SANS Institute (free) and NIST.</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Policy Name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Approves</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Cybersecurity Policy (Master)</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CEO / Board</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Acceptable Use Policy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Security Lead</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Access Control Policy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Security Lead</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Data Classification Policy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Security Lead</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Incident Response Policy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CEO / Security Lead</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Password Policy</w:t>
            </w:r>
          </w:p>
        </w:tc>
        <w:tc>
          <w:tcPr>
            <w:shd w:color="FADBD8"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P1 — Immediate</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IT Admin</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Data Retention &amp; Disposal Policy</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 — Short Term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Legal / Security</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Vendor / Third Party Risk Policy</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 — Short Term</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Security Lead</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Business Continuity Policy</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 — Short Term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CEO</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Patch Management Policy</w:t>
            </w:r>
          </w:p>
        </w:tc>
        <w:tc>
          <w:tcPr>
            <w:shd w:color="FEF9E7"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P2 — Short Term</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IT Admin</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Annual</w:t>
            </w:r>
          </w:p>
        </w:tc>
      </w:tr>
    </w:tbl>
    <w:p>
      <w:r>
        <w:br w:type="page"/>
      </w:r>
    </w:p>
    <w:p>
      <w:pPr>
        <w:shd w:color="0D1B2A" w:val="solid"/>
        <w:spacing w:after="100" w:before="300"/>
        <w:ind w:left="200"/>
      </w:pPr>
      <w:r>
        <w:rPr>
          <w:rFonts w:ascii="Arial" w:cs="Arial" w:eastAsia="Arial" w:hAnsi="Arial"/>
          <w:b/>
          <w:bCs/>
          <w:color w:val="FFFFFF"/>
          <w:sz w:val="28"/>
          <w:szCs w:val="28"/>
        </w:rPr>
        <w:t xml:space="preserve">7.  REASSESSMENT PLAN (RETAINER SCOPE)</w:t>
      </w:r>
    </w:p>
    <w:p>
      <w:pPr>
        <w:spacing w:before="80"/>
      </w:pPr>
      <w:r>
        <w:t xml:space="preserve"/>
      </w:r>
    </w:p>
    <w:p>
      <w:pPr>
        <w:spacing w:after="60" w:before="60"/>
        <w:ind w:left="200"/>
      </w:pPr>
      <w:r>
        <w:rPr>
          <w:rFonts w:ascii="Arial" w:cs="Arial" w:eastAsia="Arial" w:hAnsi="Arial"/>
          <w:color w:val="333333"/>
          <w:sz w:val="20"/>
          <w:szCs w:val="20"/>
        </w:rPr>
        <w:t xml:space="preserve">This section defines the ongoing engagement scope for a 6-month retainer arrangement to monitor remediation progress and validate control implementation.</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shd w:color="0D1B2A" w:val="solid"/>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Check-in 1</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Month 1</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Review Phase 1 completion. Spot-check MFA, encryption, policy</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Progress Report v1</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Check-in 2</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Month 2</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Review Phase 2 items. Validate asset inventory and backups</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Progress Report v2</w:t>
            </w:r>
          </w:p>
        </w:tc>
      </w:tr>
      <w:tr>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Check-in 3</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Month 3</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Review Phase 3 items. Review monitoring and vendor program</w:t>
            </w:r>
          </w:p>
        </w:tc>
        <w:tc>
          <w:tcPr>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Progress Report v3</w:t>
            </w:r>
          </w:p>
        </w:tc>
      </w:tr>
      <w:tr>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Reassessment</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Month 6</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Full re-run of NIST CSF questionnaire. Re-score all 91 controls</w:t>
            </w:r>
          </w:p>
        </w:tc>
        <w:tc>
          <w:tcPr>
            <w:shd w:color="F2F3F4" w:val="solid"/>
            <w:tcMar>
              <w:top w:type="dxa" w:w="80"/>
              <w:left w:type="dxa" w:w="120"/>
              <w:bottom w:type="dxa" w:w="80"/>
              <w:right w:type="dxa" w:w="120"/>
            </w:tcMar>
            <w:vAlign w:val="center"/>
          </w:tcPr>
          <w:p>
            <w:pPr>
              <w:jc w:val="left"/>
            </w:pPr>
            <w:r>
              <w:rPr>
                <w:rFonts w:ascii="Arial" w:cs="Arial" w:eastAsia="Arial" w:hAnsi="Arial"/>
                <w:b w:val="false"/>
                <w:bCs w:val="false"/>
                <w:color w:val="0D1B2A"/>
                <w:sz w:val="18"/>
                <w:szCs w:val="18"/>
              </w:rPr>
              <w:t xml:space="preserve">Updated Gap Assessment Report</w:t>
            </w:r>
          </w:p>
        </w:tc>
      </w:tr>
    </w:tbl>
    <w:p>
      <w:pPr>
        <w:spacing w:before="80"/>
      </w:pPr>
      <w:r>
        <w:t xml:space="preserve"/>
      </w:r>
    </w:p>
    <w:p>
      <w:pPr>
        <w:pBdr>
          <w:bottom w:val="single" w:color="1B4F72" w:sz="6"/>
        </w:pBdr>
        <w:spacing w:after="60" w:before="160"/>
      </w:pPr>
      <w:r>
        <w:rPr>
          <w:rFonts w:ascii="Arial" w:cs="Arial" w:eastAsia="Arial" w:hAnsi="Arial"/>
          <w:b/>
          <w:bCs/>
          <w:color w:val="0D1B2A"/>
          <w:sz w:val="22"/>
          <w:szCs w:val="22"/>
        </w:rPr>
        <w:t xml:space="preserve">Expected Improvement Targets</w:t>
      </w:r>
    </w:p>
    <w:p>
      <w:pPr>
        <w:spacing w:after="40" w:before="40"/>
        <w:ind w:left="400"/>
      </w:pPr>
      <w:r>
        <w:rPr>
          <w:rFonts w:ascii="Arial" w:cs="Arial" w:eastAsia="Arial" w:hAnsi="Arial"/>
          <w:color w:val="333333"/>
          <w:sz w:val="20"/>
          <w:szCs w:val="20"/>
        </w:rPr>
        <w:t xml:space="preserve">• Month 1: Overall score 9% → 25% (Tier 1 upper range)</w:t>
      </w:r>
    </w:p>
    <w:p>
      <w:pPr>
        <w:spacing w:after="40" w:before="40"/>
        <w:ind w:left="400"/>
      </w:pPr>
      <w:r>
        <w:rPr>
          <w:rFonts w:ascii="Arial" w:cs="Arial" w:eastAsia="Arial" w:hAnsi="Arial"/>
          <w:color w:val="333333"/>
          <w:sz w:val="20"/>
          <w:szCs w:val="20"/>
        </w:rPr>
        <w:t xml:space="preserve">• Month 3: Overall score 25% → 45% (Tier 2 entry)</w:t>
      </w:r>
    </w:p>
    <w:p>
      <w:pPr>
        <w:spacing w:after="40" w:before="40"/>
        <w:ind w:left="400"/>
      </w:pPr>
      <w:r>
        <w:rPr>
          <w:rFonts w:ascii="Arial" w:cs="Arial" w:eastAsia="Arial" w:hAnsi="Arial"/>
          <w:color w:val="333333"/>
          <w:sz w:val="20"/>
          <w:szCs w:val="20"/>
        </w:rPr>
        <w:t xml:space="preserve">• Month 6: Overall score 45% → 65% (Tier 3 entry)</w:t>
      </w:r>
    </w:p>
    <w:p>
      <w:pPr>
        <w:spacing w:before="80"/>
      </w:pPr>
      <w:r>
        <w:t xml:space="preserve"/>
      </w:r>
    </w:p>
    <w:p>
      <w:r>
        <w:br w:type="page"/>
      </w:r>
    </w:p>
    <w:p>
      <w:pPr>
        <w:shd w:color="0D1B2A" w:val="solid"/>
        <w:spacing w:after="100" w:before="300"/>
        <w:ind w:left="200"/>
      </w:pPr>
      <w:r>
        <w:rPr>
          <w:rFonts w:ascii="Arial" w:cs="Arial" w:eastAsia="Arial" w:hAnsi="Arial"/>
          <w:b/>
          <w:bCs/>
          <w:color w:val="FFFFFF"/>
          <w:sz w:val="28"/>
          <w:szCs w:val="28"/>
        </w:rPr>
        <w:t xml:space="preserve">8.  CONSULTANT DECLARATION</w:t>
      </w:r>
    </w:p>
    <w:p>
      <w:pPr>
        <w:spacing w:before="80"/>
      </w:pPr>
      <w:r>
        <w:t xml:space="preserve"/>
      </w:r>
    </w:p>
    <w:p>
      <w:pPr>
        <w:spacing w:after="60" w:before="60"/>
        <w:ind w:left="200"/>
      </w:pPr>
      <w:r>
        <w:rPr>
          <w:rFonts w:ascii="Arial" w:cs="Arial" w:eastAsia="Arial" w:hAnsi="Arial"/>
          <w:color w:val="333333"/>
          <w:sz w:val="20"/>
          <w:szCs w:val="20"/>
        </w:rPr>
        <w:t xml:space="preserve">This assessment was conducted independently and objectively based on information provided by NovaPay Inc. during the assessment period. Findings are based on evidence reviewed at the time of assessment and may not reflect conditions before or after the assessment window.</w:t>
      </w:r>
    </w:p>
    <w:p>
      <w:pPr>
        <w:spacing w:before="80"/>
      </w:pPr>
      <w:r>
        <w:t xml:space="preserve"/>
      </w:r>
    </w:p>
    <w:p>
      <w:pPr>
        <w:spacing w:after="60" w:before="60"/>
        <w:ind w:left="200"/>
      </w:pPr>
      <w:r>
        <w:rPr>
          <w:rFonts w:ascii="Arial" w:cs="Arial" w:eastAsia="Arial" w:hAnsi="Arial"/>
          <w:color w:val="333333"/>
          <w:sz w:val="20"/>
          <w:szCs w:val="20"/>
        </w:rPr>
        <w:t xml:space="preserve">The recommendations in this report are provided in good faith based on current cybersecurity best practices and applicable frameworks. Implementation of recommendations is the responsibility of NovaPay Inc. management.</w:t>
      </w:r>
    </w:p>
    <w:p>
      <w:pPr>
        <w:spacing w:before="160"/>
      </w:pPr>
      <w:r>
        <w:t xml:space="preserve"/>
      </w:r>
    </w:p>
    <w:p>
      <w:pPr>
        <w:spacing w:after="60" w:before="60"/>
        <w:ind w:left="200"/>
      </w:pPr>
      <w:r>
        <w:rPr>
          <w:rFonts w:ascii="Arial" w:cs="Arial" w:eastAsia="Arial" w:hAnsi="Arial"/>
          <w:color w:val="333333"/>
          <w:sz w:val="20"/>
          <w:szCs w:val="20"/>
        </w:rPr>
        <w:t xml:space="preserve">Prepared By: ___________________________________</w:t>
      </w:r>
    </w:p>
    <w:p>
      <w:pPr>
        <w:spacing w:after="60" w:before="60"/>
        <w:ind w:left="200"/>
      </w:pPr>
      <w:r>
        <w:rPr>
          <w:rFonts w:ascii="Arial" w:cs="Arial" w:eastAsia="Arial" w:hAnsi="Arial"/>
          <w:color w:val="333333"/>
          <w:sz w:val="20"/>
          <w:szCs w:val="20"/>
        </w:rPr>
        <w:t xml:space="preserve">Name: ___________________________________</w:t>
      </w:r>
    </w:p>
    <w:p>
      <w:pPr>
        <w:spacing w:after="60" w:before="60"/>
        <w:ind w:left="200"/>
      </w:pPr>
      <w:r>
        <w:rPr>
          <w:rFonts w:ascii="Arial" w:cs="Arial" w:eastAsia="Arial" w:hAnsi="Arial"/>
          <w:color w:val="333333"/>
          <w:sz w:val="20"/>
          <w:szCs w:val="20"/>
        </w:rPr>
        <w:t xml:space="preserve">Title: GRC Consultant</w:t>
      </w:r>
    </w:p>
    <w:p>
      <w:pPr>
        <w:spacing w:after="60" w:before="60"/>
        <w:ind w:left="200"/>
      </w:pPr>
      <w:r>
        <w:rPr>
          <w:rFonts w:ascii="Arial" w:cs="Arial" w:eastAsia="Arial" w:hAnsi="Arial"/>
          <w:color w:val="333333"/>
          <w:sz w:val="20"/>
          <w:szCs w:val="20"/>
        </w:rPr>
        <w:t xml:space="preserve">Date: ___________________________________</w:t>
      </w:r>
    </w:p>
    <w:p>
      <w:pPr>
        <w:spacing w:after="60" w:before="60"/>
        <w:ind w:left="200"/>
      </w:pPr>
      <w:r>
        <w:rPr>
          <w:rFonts w:ascii="Arial" w:cs="Arial" w:eastAsia="Arial" w:hAnsi="Arial"/>
          <w:color w:val="333333"/>
          <w:sz w:val="20"/>
          <w:szCs w:val="20"/>
        </w:rPr>
        <w:t xml:space="preserve">Signature: ___________________________________</w:t>
      </w:r>
    </w:p>
    <w:p>
      <w:pPr>
        <w:spacing w:before="160"/>
      </w:pPr>
      <w:r>
        <w:t xml:space="preserve"/>
      </w:r>
    </w:p>
    <w:p>
      <w:pPr>
        <w:spacing w:after="60" w:before="60"/>
        <w:ind w:left="200"/>
      </w:pPr>
      <w:r>
        <w:rPr>
          <w:rFonts w:ascii="Arial" w:cs="Arial" w:eastAsia="Arial" w:hAnsi="Arial"/>
          <w:color w:val="333333"/>
          <w:sz w:val="20"/>
          <w:szCs w:val="20"/>
        </w:rPr>
        <w:t xml:space="preserve">Reviewed By (Client): ___________________________________</w:t>
      </w:r>
    </w:p>
    <w:p>
      <w:pPr>
        <w:spacing w:after="60" w:before="60"/>
        <w:ind w:left="200"/>
      </w:pPr>
      <w:r>
        <w:rPr>
          <w:rFonts w:ascii="Arial" w:cs="Arial" w:eastAsia="Arial" w:hAnsi="Arial"/>
          <w:color w:val="333333"/>
          <w:sz w:val="20"/>
          <w:szCs w:val="20"/>
        </w:rPr>
        <w:t xml:space="preserve">Name: ___________________________________</w:t>
      </w:r>
    </w:p>
    <w:p>
      <w:pPr>
        <w:spacing w:after="60" w:before="60"/>
        <w:ind w:left="200"/>
      </w:pPr>
      <w:r>
        <w:rPr>
          <w:rFonts w:ascii="Arial" w:cs="Arial" w:eastAsia="Arial" w:hAnsi="Arial"/>
          <w:color w:val="333333"/>
          <w:sz w:val="20"/>
          <w:szCs w:val="20"/>
        </w:rPr>
        <w:t xml:space="preserve">Title: ___________________________________</w:t>
      </w:r>
    </w:p>
    <w:p>
      <w:pPr>
        <w:spacing w:after="60" w:before="60"/>
        <w:ind w:left="200"/>
      </w:pPr>
      <w:r>
        <w:rPr>
          <w:rFonts w:ascii="Arial" w:cs="Arial" w:eastAsia="Arial" w:hAnsi="Arial"/>
          <w:color w:val="333333"/>
          <w:sz w:val="20"/>
          <w:szCs w:val="20"/>
        </w:rPr>
        <w:t xml:space="preserve">Date: 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pBdr>
    </w:pPr>
    <w:r>
      <w:rPr>
        <w:rFonts w:ascii="Arial" w:cs="Arial" w:eastAsia="Arial" w:hAnsi="Arial"/>
        <w:color w:val="888888"/>
        <w:sz w:val="16"/>
        <w:szCs w:val="16"/>
      </w:rPr>
      <w:t xml:space="preserve">© 2024 [Your Consulting Name] — Confidential &amp; Proprietary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pBdr>
    </w:pPr>
    <w:r>
      <w:rPr>
        <w:rFonts w:ascii="Arial" w:cs="Arial" w:eastAsia="Arial" w:hAnsi="Arial"/>
        <w:b/>
        <w:bCs/>
        <w:color w:val="1B4F72"/>
        <w:sz w:val="18"/>
        <w:szCs w:val="18"/>
      </w:rPr>
      <w:t xml:space="preserve">NIST CSF 2.0 GAP ASSESSMENT REPORT</w:t>
    </w:r>
    <w:r>
      <w:rPr>
        <w:rFonts w:ascii="Arial" w:cs="Arial" w:eastAsia="Arial" w:hAnsi="Arial"/>
        <w:color w:val="888888"/>
        <w:sz w:val="18"/>
        <w:szCs w:val="18"/>
      </w:rPr>
      <w:t xml:space="preserve">   |   NovaPay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2026-05-31T10:34:26.342Z</dcterms:created>
  <dcterms:modified xsi:type="dcterms:W3CDTF">2026-05-31T10:34:26.343Z</dcterms:modified>
</cp:coreProperties>
</file>

<file path=docProps/custom.xml><?xml version="1.0" encoding="utf-8"?>
<Properties xmlns="http://schemas.openxmlformats.org/officeDocument/2006/custom-properties" xmlns:vt="http://schemas.openxmlformats.org/officeDocument/2006/docPropsVTypes"/>
</file>