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E02" w:rsidRDefault="00C12E02"/>
    <w:p w:rsidR="00C12E02" w:rsidRPr="007D6F02" w:rsidRDefault="007D6F02">
      <w:pPr>
        <w:rPr>
          <w:rFonts w:ascii="Courier New" w:hAnsi="Courier New" w:cs="Courier New"/>
          <w:b/>
          <w:bCs/>
        </w:rPr>
      </w:pPr>
      <w:r w:rsidRPr="007D6F02">
        <w:rPr>
          <w:rFonts w:ascii="Courier New" w:hAnsi="Courier New" w:cs="Courier New"/>
          <w:b/>
          <w:bCs/>
        </w:rPr>
        <w:t xml:space="preserve">INTRODUCTION </w:t>
      </w:r>
    </w:p>
    <w:p w:rsidR="007D6F02" w:rsidRDefault="007D6F02" w:rsidP="00C12E02">
      <w:pPr>
        <w:pStyle w:val="PlainText"/>
        <w:jc w:val="both"/>
        <w:rPr>
          <w:rFonts w:ascii="Courier New" w:hAnsi="Courier New" w:cs="Courier New"/>
          <w:b/>
          <w:bCs/>
        </w:rPr>
      </w:pPr>
    </w:p>
    <w:p w:rsidR="00C12E02" w:rsidRDefault="00C12E02" w:rsidP="00C12E02">
      <w:pPr>
        <w:pStyle w:val="PlainText"/>
        <w:jc w:val="both"/>
        <w:rPr>
          <w:rFonts w:ascii="Courier New" w:hAnsi="Courier New" w:cs="Courier New"/>
          <w:b/>
          <w:bCs/>
        </w:rPr>
      </w:pPr>
      <w:r w:rsidRPr="00C12E02">
        <w:rPr>
          <w:rFonts w:ascii="Courier New" w:hAnsi="Courier New" w:cs="Courier New"/>
          <w:b/>
          <w:bCs/>
        </w:rPr>
        <w:t>Title</w:t>
      </w:r>
      <w:r w:rsidRPr="00C12E02">
        <w:rPr>
          <w:rFonts w:ascii="Courier New" w:hAnsi="Courier New" w:cs="Courier New"/>
          <w:b/>
          <w:bCs/>
          <w:lang w:val="en-US"/>
        </w:rPr>
        <w:t xml:space="preserve"> of the data</w:t>
      </w:r>
      <w:r w:rsidRPr="00C12E02">
        <w:rPr>
          <w:rFonts w:ascii="Courier New" w:hAnsi="Courier New" w:cs="Courier New"/>
          <w:b/>
          <w:bCs/>
        </w:rPr>
        <w:t>: Haberman's Survival Data</w:t>
      </w:r>
    </w:p>
    <w:p w:rsidR="002F6F36" w:rsidRPr="00C12E02" w:rsidRDefault="002F6F36" w:rsidP="00C12E02">
      <w:pPr>
        <w:pStyle w:val="PlainText"/>
        <w:jc w:val="both"/>
        <w:rPr>
          <w:rFonts w:ascii="Courier New" w:hAnsi="Courier New" w:cs="Courier New"/>
          <w:b/>
          <w:bCs/>
        </w:rPr>
      </w:pPr>
    </w:p>
    <w:p w:rsidR="00C12E02" w:rsidRPr="00300382" w:rsidRDefault="00C12E02" w:rsidP="00C12E02">
      <w:pPr>
        <w:pStyle w:val="PlainText"/>
        <w:jc w:val="both"/>
        <w:rPr>
          <w:rFonts w:ascii="Courier New" w:hAnsi="Courier New" w:cs="Courier New"/>
        </w:rPr>
      </w:pPr>
      <w:r w:rsidRPr="00300382">
        <w:rPr>
          <w:rFonts w:ascii="Courier New" w:hAnsi="Courier New" w:cs="Courier New"/>
        </w:rPr>
        <w:t>The dataset contains cases from a study that was conducted between 1958 and 1970 at the University of Chicago's Billings Hospital on</w:t>
      </w:r>
    </w:p>
    <w:p w:rsidR="00C12E02" w:rsidRPr="00300382" w:rsidRDefault="00C12E02" w:rsidP="00C12E02">
      <w:pPr>
        <w:pStyle w:val="PlainText"/>
        <w:jc w:val="both"/>
        <w:rPr>
          <w:rFonts w:ascii="Courier New" w:hAnsi="Courier New" w:cs="Courier New"/>
        </w:rPr>
      </w:pPr>
      <w:r w:rsidRPr="00300382">
        <w:rPr>
          <w:rFonts w:ascii="Courier New" w:hAnsi="Courier New" w:cs="Courier New"/>
        </w:rPr>
        <w:t>the survival of patients who had undergone surgery for breast</w:t>
      </w:r>
    </w:p>
    <w:p w:rsidR="00C12E02" w:rsidRDefault="00C12E02" w:rsidP="00C12E02">
      <w:pPr>
        <w:pStyle w:val="PlainText"/>
        <w:jc w:val="both"/>
        <w:rPr>
          <w:rFonts w:ascii="Courier New" w:hAnsi="Courier New" w:cs="Courier New"/>
          <w:lang w:val="en-US"/>
        </w:rPr>
      </w:pPr>
      <w:r w:rsidRPr="00300382">
        <w:rPr>
          <w:rFonts w:ascii="Courier New" w:hAnsi="Courier New" w:cs="Courier New"/>
        </w:rPr>
        <w:t>cancer.</w:t>
      </w:r>
      <w:r>
        <w:rPr>
          <w:rFonts w:ascii="Courier New" w:hAnsi="Courier New" w:cs="Courier New"/>
          <w:lang w:val="en-US"/>
        </w:rPr>
        <w:t xml:space="preserve"> </w:t>
      </w:r>
    </w:p>
    <w:p w:rsidR="00C12E02" w:rsidRDefault="003C5E38" w:rsidP="00C12E02">
      <w:pPr>
        <w:pStyle w:val="PlainText"/>
        <w:rPr>
          <w:rFonts w:ascii="Courier New" w:hAnsi="Courier New" w:cs="Courier New"/>
        </w:rPr>
      </w:pPr>
      <w:r>
        <w:rPr>
          <w:rFonts w:ascii="Courier New" w:hAnsi="Courier New" w:cs="Courier New"/>
          <w:lang w:val="en-US"/>
        </w:rPr>
        <w:t>Analyzing cancer survival data over time allows researchers to track progress in cancer treatment and management. By comparing survival rates from different time periods, researchers can identify improvements or gaps in cancer care and develop strategies to address them.</w:t>
      </w:r>
    </w:p>
    <w:p w:rsidR="00C12E02" w:rsidRPr="00C12E02" w:rsidRDefault="00C12E02" w:rsidP="00C12E02">
      <w:pPr>
        <w:pStyle w:val="PlainText"/>
        <w:rPr>
          <w:rFonts w:ascii="Courier New" w:hAnsi="Courier New" w:cs="Courier New"/>
          <w:lang w:val="en-US"/>
        </w:rPr>
      </w:pPr>
    </w:p>
    <w:p w:rsidR="00C12E02" w:rsidRPr="00300382" w:rsidRDefault="00C12E02" w:rsidP="00C12E02">
      <w:pPr>
        <w:pStyle w:val="PlainText"/>
        <w:rPr>
          <w:rFonts w:ascii="Courier New" w:hAnsi="Courier New" w:cs="Courier New"/>
        </w:rPr>
      </w:pPr>
      <w:r w:rsidRPr="00300382">
        <w:rPr>
          <w:rFonts w:ascii="Courier New" w:hAnsi="Courier New" w:cs="Courier New"/>
        </w:rPr>
        <w:t>5. Number of Instances: 306</w:t>
      </w:r>
    </w:p>
    <w:p w:rsidR="00C12E02" w:rsidRPr="00300382" w:rsidRDefault="00C12E02" w:rsidP="00C12E02">
      <w:pPr>
        <w:pStyle w:val="PlainText"/>
        <w:rPr>
          <w:rFonts w:ascii="Courier New" w:hAnsi="Courier New" w:cs="Courier New"/>
        </w:rPr>
      </w:pPr>
    </w:p>
    <w:p w:rsidR="00C12E02" w:rsidRPr="00300382" w:rsidRDefault="00C12E02" w:rsidP="00C12E02">
      <w:pPr>
        <w:pStyle w:val="PlainText"/>
        <w:rPr>
          <w:rFonts w:ascii="Courier New" w:hAnsi="Courier New" w:cs="Courier New"/>
        </w:rPr>
      </w:pPr>
      <w:r w:rsidRPr="00300382">
        <w:rPr>
          <w:rFonts w:ascii="Courier New" w:hAnsi="Courier New" w:cs="Courier New"/>
        </w:rPr>
        <w:t>6. Number of Attributes: 4 (including the class attribute)</w:t>
      </w:r>
    </w:p>
    <w:p w:rsidR="00C12E02" w:rsidRPr="00300382" w:rsidRDefault="00C12E02" w:rsidP="00C12E02">
      <w:pPr>
        <w:pStyle w:val="PlainText"/>
        <w:rPr>
          <w:rFonts w:ascii="Courier New" w:hAnsi="Courier New" w:cs="Courier New"/>
        </w:rPr>
      </w:pPr>
    </w:p>
    <w:p w:rsidR="00C12E02" w:rsidRPr="00300382" w:rsidRDefault="00C12E02" w:rsidP="00C12E02">
      <w:pPr>
        <w:pStyle w:val="PlainText"/>
        <w:rPr>
          <w:rFonts w:ascii="Courier New" w:hAnsi="Courier New" w:cs="Courier New"/>
        </w:rPr>
      </w:pPr>
      <w:r w:rsidRPr="00300382">
        <w:rPr>
          <w:rFonts w:ascii="Courier New" w:hAnsi="Courier New" w:cs="Courier New"/>
        </w:rPr>
        <w:t>7. Attribute Information:</w:t>
      </w:r>
    </w:p>
    <w:p w:rsidR="00C12E02" w:rsidRPr="00300382" w:rsidRDefault="00C12E02" w:rsidP="00C12E02">
      <w:pPr>
        <w:pStyle w:val="PlainText"/>
        <w:rPr>
          <w:rFonts w:ascii="Courier New" w:hAnsi="Courier New" w:cs="Courier New"/>
        </w:rPr>
      </w:pPr>
      <w:r w:rsidRPr="00300382">
        <w:rPr>
          <w:rFonts w:ascii="Courier New" w:hAnsi="Courier New" w:cs="Courier New"/>
        </w:rPr>
        <w:t xml:space="preserve">   1. Age of patient at time of operation (numerical)</w:t>
      </w:r>
    </w:p>
    <w:p w:rsidR="00C12E02" w:rsidRPr="00300382" w:rsidRDefault="00C12E02" w:rsidP="00C12E02">
      <w:pPr>
        <w:pStyle w:val="PlainText"/>
        <w:rPr>
          <w:rFonts w:ascii="Courier New" w:hAnsi="Courier New" w:cs="Courier New"/>
        </w:rPr>
      </w:pPr>
      <w:r w:rsidRPr="00300382">
        <w:rPr>
          <w:rFonts w:ascii="Courier New" w:hAnsi="Courier New" w:cs="Courier New"/>
        </w:rPr>
        <w:t xml:space="preserve">   2. Patient's year of operation (year - 1900, numerical)</w:t>
      </w:r>
    </w:p>
    <w:p w:rsidR="00C12E02" w:rsidRPr="00300382" w:rsidRDefault="00C12E02" w:rsidP="00C12E02">
      <w:pPr>
        <w:pStyle w:val="PlainText"/>
        <w:rPr>
          <w:rFonts w:ascii="Courier New" w:hAnsi="Courier New" w:cs="Courier New"/>
        </w:rPr>
      </w:pPr>
      <w:r w:rsidRPr="00300382">
        <w:rPr>
          <w:rFonts w:ascii="Courier New" w:hAnsi="Courier New" w:cs="Courier New"/>
        </w:rPr>
        <w:t xml:space="preserve">   3. Number of positive axillary nodes detected (numerical)</w:t>
      </w:r>
    </w:p>
    <w:p w:rsidR="00C12E02" w:rsidRPr="00300382" w:rsidRDefault="00C12E02" w:rsidP="00C12E02">
      <w:pPr>
        <w:pStyle w:val="PlainText"/>
        <w:rPr>
          <w:rFonts w:ascii="Courier New" w:hAnsi="Courier New" w:cs="Courier New"/>
        </w:rPr>
      </w:pPr>
      <w:r w:rsidRPr="00300382">
        <w:rPr>
          <w:rFonts w:ascii="Courier New" w:hAnsi="Courier New" w:cs="Courier New"/>
        </w:rPr>
        <w:t xml:space="preserve">   4. Survival status (class attribute)</w:t>
      </w:r>
    </w:p>
    <w:p w:rsidR="00C12E02" w:rsidRPr="00300382" w:rsidRDefault="00C12E02" w:rsidP="00C12E02">
      <w:pPr>
        <w:pStyle w:val="PlainText"/>
        <w:rPr>
          <w:rFonts w:ascii="Courier New" w:hAnsi="Courier New" w:cs="Courier New"/>
        </w:rPr>
      </w:pPr>
      <w:r w:rsidRPr="00300382">
        <w:rPr>
          <w:rFonts w:ascii="Courier New" w:hAnsi="Courier New" w:cs="Courier New"/>
        </w:rPr>
        <w:t xml:space="preserve">         1 = the patient survived 5 years or longer</w:t>
      </w:r>
    </w:p>
    <w:p w:rsidR="00C12E02" w:rsidRPr="00300382" w:rsidRDefault="00C12E02" w:rsidP="00C12E02">
      <w:pPr>
        <w:pStyle w:val="PlainText"/>
        <w:rPr>
          <w:rFonts w:ascii="Courier New" w:hAnsi="Courier New" w:cs="Courier New"/>
        </w:rPr>
      </w:pPr>
      <w:r w:rsidRPr="00300382">
        <w:rPr>
          <w:rFonts w:ascii="Courier New" w:hAnsi="Courier New" w:cs="Courier New"/>
        </w:rPr>
        <w:t xml:space="preserve">         2 = the patient died within 5 year</w:t>
      </w:r>
    </w:p>
    <w:p w:rsidR="00C12E02" w:rsidRPr="00300382" w:rsidRDefault="00C12E02" w:rsidP="00C12E02">
      <w:pPr>
        <w:pStyle w:val="PlainText"/>
        <w:rPr>
          <w:rFonts w:ascii="Courier New" w:hAnsi="Courier New" w:cs="Courier New"/>
        </w:rPr>
      </w:pPr>
    </w:p>
    <w:p w:rsidR="00C12E02" w:rsidRDefault="00C12E02" w:rsidP="00C12E02">
      <w:pPr>
        <w:pStyle w:val="PlainText"/>
        <w:rPr>
          <w:rFonts w:ascii="Courier New" w:hAnsi="Courier New" w:cs="Courier New"/>
        </w:rPr>
      </w:pPr>
      <w:r w:rsidRPr="00300382">
        <w:rPr>
          <w:rFonts w:ascii="Courier New" w:hAnsi="Courier New" w:cs="Courier New"/>
        </w:rPr>
        <w:t>8. Missing Attribute Values: None</w:t>
      </w:r>
    </w:p>
    <w:p w:rsidR="005C6021" w:rsidRDefault="005C6021" w:rsidP="00C12E02">
      <w:pPr>
        <w:pStyle w:val="PlainText"/>
        <w:rPr>
          <w:rFonts w:ascii="Courier New" w:hAnsi="Courier New" w:cs="Courier New"/>
        </w:rPr>
      </w:pPr>
    </w:p>
    <w:p w:rsidR="005C6021" w:rsidRPr="002F6F36" w:rsidRDefault="009112E5" w:rsidP="002F6F36">
      <w:pPr>
        <w:pStyle w:val="PlainText"/>
        <w:jc w:val="center"/>
        <w:rPr>
          <w:rFonts w:ascii="Courier New" w:hAnsi="Courier New" w:cs="Courier New"/>
          <w:b/>
          <w:bCs/>
          <w:lang w:val="en-US"/>
        </w:rPr>
      </w:pPr>
      <w:r w:rsidRPr="002F6F36">
        <w:rPr>
          <w:rFonts w:ascii="Courier New" w:hAnsi="Courier New" w:cs="Courier New"/>
          <w:b/>
          <w:bCs/>
          <w:lang w:val="en-US"/>
        </w:rPr>
        <w:t>Description of the data set.</w:t>
      </w:r>
    </w:p>
    <w:tbl>
      <w:tblPr>
        <w:tblW w:w="9736" w:type="dxa"/>
        <w:tblInd w:w="-347" w:type="dxa"/>
        <w:tblLook w:val="04A0" w:firstRow="1" w:lastRow="0" w:firstColumn="1" w:lastColumn="0" w:noHBand="0" w:noVBand="1"/>
      </w:tblPr>
      <w:tblGrid>
        <w:gridCol w:w="1255"/>
        <w:gridCol w:w="1179"/>
        <w:gridCol w:w="1255"/>
        <w:gridCol w:w="1179"/>
        <w:gridCol w:w="1255"/>
        <w:gridCol w:w="1179"/>
        <w:gridCol w:w="1255"/>
        <w:gridCol w:w="1179"/>
      </w:tblGrid>
      <w:tr w:rsidR="005C6021" w:rsidRPr="005C6021" w:rsidTr="005C6021">
        <w:trPr>
          <w:trHeight w:val="13"/>
        </w:trPr>
        <w:tc>
          <w:tcPr>
            <w:tcW w:w="1255"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Age</w:t>
            </w:r>
          </w:p>
        </w:tc>
        <w:tc>
          <w:tcPr>
            <w:tcW w:w="1179"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 </w:t>
            </w:r>
          </w:p>
        </w:tc>
        <w:tc>
          <w:tcPr>
            <w:tcW w:w="1255"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Year of Operation</w:t>
            </w:r>
          </w:p>
        </w:tc>
        <w:tc>
          <w:tcPr>
            <w:tcW w:w="1179"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 </w:t>
            </w:r>
          </w:p>
        </w:tc>
        <w:tc>
          <w:tcPr>
            <w:tcW w:w="1255"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No of positive axillary nodes detected</w:t>
            </w:r>
          </w:p>
        </w:tc>
        <w:tc>
          <w:tcPr>
            <w:tcW w:w="1179"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 </w:t>
            </w:r>
          </w:p>
        </w:tc>
        <w:tc>
          <w:tcPr>
            <w:tcW w:w="1255"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Survival Status</w:t>
            </w:r>
          </w:p>
        </w:tc>
        <w:tc>
          <w:tcPr>
            <w:tcW w:w="1179" w:type="dxa"/>
            <w:tcBorders>
              <w:top w:val="single" w:sz="8" w:space="0" w:color="auto"/>
              <w:left w:val="nil"/>
              <w:bottom w:val="single" w:sz="4" w:space="0" w:color="auto"/>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r w:rsidRPr="005C6021">
              <w:rPr>
                <w:rFonts w:ascii="Calibri" w:eastAsia="Times New Roman" w:hAnsi="Calibri" w:cs="Calibri"/>
                <w:i/>
                <w:iCs/>
                <w:color w:val="000000"/>
                <w:kern w:val="0"/>
                <w:sz w:val="20"/>
                <w:szCs w:val="20"/>
                <w:lang w:eastAsia="en-GB"/>
                <w14:ligatures w14:val="none"/>
              </w:rPr>
              <w:t> </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jc w:val="center"/>
              <w:rPr>
                <w:rFonts w:ascii="Calibri" w:eastAsia="Times New Roman" w:hAnsi="Calibri" w:cs="Calibri"/>
                <w:i/>
                <w:iCs/>
                <w:color w:val="000000"/>
                <w:kern w:val="0"/>
                <w:sz w:val="20"/>
                <w:szCs w:val="20"/>
                <w:lang w:eastAsia="en-GB"/>
                <w14:ligatures w14:val="none"/>
              </w:rPr>
            </w:pPr>
          </w:p>
        </w:tc>
        <w:tc>
          <w:tcPr>
            <w:tcW w:w="1179" w:type="dxa"/>
            <w:tcBorders>
              <w:top w:val="nil"/>
              <w:left w:val="nil"/>
              <w:bottom w:val="nil"/>
              <w:right w:val="nil"/>
            </w:tcBorders>
            <w:shd w:val="clear" w:color="auto" w:fill="auto"/>
            <w:noWrap/>
            <w:vAlign w:val="bottom"/>
            <w:hideMark/>
          </w:tcPr>
          <w:p w:rsidR="005C6021" w:rsidRPr="005C6021" w:rsidRDefault="005C6021" w:rsidP="005C6021">
            <w:pPr>
              <w:rPr>
                <w:rFonts w:ascii="Times New Roman" w:eastAsia="Times New Roman" w:hAnsi="Times New Roman" w:cs="Times New Roman"/>
                <w:kern w:val="0"/>
                <w:sz w:val="20"/>
                <w:szCs w:val="20"/>
                <w:lang w:eastAsia="en-GB"/>
                <w14:ligatures w14:val="none"/>
              </w:rPr>
            </w:pP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Times New Roman" w:eastAsia="Times New Roman" w:hAnsi="Times New Roman" w:cs="Times New Roman"/>
                <w:kern w:val="0"/>
                <w:sz w:val="20"/>
                <w:szCs w:val="20"/>
                <w:lang w:eastAsia="en-GB"/>
                <w14:ligatures w14:val="none"/>
              </w:rPr>
            </w:pPr>
          </w:p>
        </w:tc>
        <w:tc>
          <w:tcPr>
            <w:tcW w:w="1179" w:type="dxa"/>
            <w:tcBorders>
              <w:top w:val="nil"/>
              <w:left w:val="nil"/>
              <w:bottom w:val="nil"/>
              <w:right w:val="nil"/>
            </w:tcBorders>
            <w:shd w:val="clear" w:color="auto" w:fill="auto"/>
            <w:noWrap/>
            <w:vAlign w:val="bottom"/>
            <w:hideMark/>
          </w:tcPr>
          <w:p w:rsidR="005C6021" w:rsidRPr="005C6021" w:rsidRDefault="005C6021" w:rsidP="005C6021">
            <w:pPr>
              <w:rPr>
                <w:rFonts w:ascii="Times New Roman" w:eastAsia="Times New Roman" w:hAnsi="Times New Roman" w:cs="Times New Roman"/>
                <w:kern w:val="0"/>
                <w:sz w:val="20"/>
                <w:szCs w:val="20"/>
                <w:lang w:eastAsia="en-GB"/>
                <w14:ligatures w14:val="none"/>
              </w:rPr>
            </w:pP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Times New Roman" w:eastAsia="Times New Roman" w:hAnsi="Times New Roman" w:cs="Times New Roman"/>
                <w:kern w:val="0"/>
                <w:sz w:val="20"/>
                <w:szCs w:val="20"/>
                <w:lang w:eastAsia="en-GB"/>
                <w14:ligatures w14:val="none"/>
              </w:rPr>
            </w:pPr>
          </w:p>
        </w:tc>
        <w:tc>
          <w:tcPr>
            <w:tcW w:w="1179" w:type="dxa"/>
            <w:tcBorders>
              <w:top w:val="nil"/>
              <w:left w:val="nil"/>
              <w:bottom w:val="nil"/>
              <w:right w:val="nil"/>
            </w:tcBorders>
            <w:shd w:val="clear" w:color="auto" w:fill="auto"/>
            <w:noWrap/>
            <w:vAlign w:val="bottom"/>
            <w:hideMark/>
          </w:tcPr>
          <w:p w:rsidR="005C6021" w:rsidRPr="005C6021" w:rsidRDefault="005C6021" w:rsidP="005C6021">
            <w:pPr>
              <w:rPr>
                <w:rFonts w:ascii="Times New Roman" w:eastAsia="Times New Roman" w:hAnsi="Times New Roman" w:cs="Times New Roman"/>
                <w:kern w:val="0"/>
                <w:sz w:val="20"/>
                <w:szCs w:val="20"/>
                <w:lang w:eastAsia="en-GB"/>
                <w14:ligatures w14:val="none"/>
              </w:rPr>
            </w:pP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Times New Roman" w:eastAsia="Times New Roman" w:hAnsi="Times New Roman" w:cs="Times New Roman"/>
                <w:kern w:val="0"/>
                <w:sz w:val="20"/>
                <w:szCs w:val="20"/>
                <w:lang w:eastAsia="en-GB"/>
                <w14:ligatures w14:val="none"/>
              </w:rPr>
            </w:pPr>
          </w:p>
        </w:tc>
        <w:tc>
          <w:tcPr>
            <w:tcW w:w="1179" w:type="dxa"/>
            <w:tcBorders>
              <w:top w:val="nil"/>
              <w:left w:val="nil"/>
              <w:bottom w:val="nil"/>
              <w:right w:val="nil"/>
            </w:tcBorders>
            <w:shd w:val="clear" w:color="auto" w:fill="auto"/>
            <w:noWrap/>
            <w:vAlign w:val="bottom"/>
            <w:hideMark/>
          </w:tcPr>
          <w:p w:rsidR="005C6021" w:rsidRPr="005C6021" w:rsidRDefault="005C6021" w:rsidP="005C6021">
            <w:pPr>
              <w:rPr>
                <w:rFonts w:ascii="Times New Roman" w:eastAsia="Times New Roman" w:hAnsi="Times New Roman" w:cs="Times New Roman"/>
                <w:kern w:val="0"/>
                <w:sz w:val="20"/>
                <w:szCs w:val="20"/>
                <w:lang w:eastAsia="en-GB"/>
                <w14:ligatures w14:val="none"/>
              </w:rPr>
            </w:pP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52.4575163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62.8529412</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4.02614379</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1.26470588</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Error</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0.61759226</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Error</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0.1857561</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Error</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0.41100513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Error</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0.02526169</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Median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52</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Median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63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Median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Median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Mode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52</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Mode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58</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Mode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Mode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Deviation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10.8034523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Deviation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3.24940466</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Deviation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7.18965351</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Standard Deviation</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0.44189912</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Sample Variance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116.714583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Sample Variance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10.5586307</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Sample Variance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51.6911175</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Sample Variance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0.19527483</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Kurtosis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-0.589393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Kurtosis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-1.1188257</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Kurtosis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11.7308769</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Kurtosis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-0.8566113</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Skewness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0.14650506</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Skewness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0.07875486</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Skewness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2.9838229</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Skewness</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1.07192839</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Range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Range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11</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Range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52</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Range</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Minimum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30</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Minimum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58</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Minimum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Minimum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Maximum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83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Maximum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69</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Maximum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52</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Maximum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2</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16052</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19233</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1232</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Sum</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387</w:t>
            </w:r>
          </w:p>
        </w:tc>
      </w:tr>
      <w:tr w:rsidR="005C6021" w:rsidRPr="005C6021" w:rsidTr="005C6021">
        <w:trPr>
          <w:trHeight w:val="13"/>
        </w:trPr>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Count</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306</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Count</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306</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Count</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306</w:t>
            </w:r>
          </w:p>
        </w:tc>
        <w:tc>
          <w:tcPr>
            <w:tcW w:w="1255" w:type="dxa"/>
            <w:tcBorders>
              <w:top w:val="nil"/>
              <w:left w:val="nil"/>
              <w:bottom w:val="nil"/>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Count</w:t>
            </w:r>
          </w:p>
        </w:tc>
        <w:tc>
          <w:tcPr>
            <w:tcW w:w="1179" w:type="dxa"/>
            <w:tcBorders>
              <w:top w:val="nil"/>
              <w:left w:val="nil"/>
              <w:bottom w:val="nil"/>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306</w:t>
            </w:r>
          </w:p>
        </w:tc>
      </w:tr>
      <w:tr w:rsidR="005C6021" w:rsidRPr="005C6021" w:rsidTr="005C6021">
        <w:trPr>
          <w:trHeight w:val="13"/>
        </w:trPr>
        <w:tc>
          <w:tcPr>
            <w:tcW w:w="1255" w:type="dxa"/>
            <w:tcBorders>
              <w:top w:val="nil"/>
              <w:left w:val="nil"/>
              <w:bottom w:val="single" w:sz="8" w:space="0" w:color="auto"/>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Confidence Level(95.0%)</w:t>
            </w:r>
          </w:p>
        </w:tc>
        <w:tc>
          <w:tcPr>
            <w:tcW w:w="1179" w:type="dxa"/>
            <w:tcBorders>
              <w:top w:val="nil"/>
              <w:left w:val="nil"/>
              <w:bottom w:val="single" w:sz="8" w:space="0" w:color="auto"/>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1.21528098</w:t>
            </w:r>
          </w:p>
        </w:tc>
        <w:tc>
          <w:tcPr>
            <w:tcW w:w="1255" w:type="dxa"/>
            <w:tcBorders>
              <w:top w:val="nil"/>
              <w:left w:val="nil"/>
              <w:bottom w:val="single" w:sz="8" w:space="0" w:color="auto"/>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Confidence Level(95.0%)</w:t>
            </w:r>
          </w:p>
        </w:tc>
        <w:tc>
          <w:tcPr>
            <w:tcW w:w="1179" w:type="dxa"/>
            <w:tcBorders>
              <w:top w:val="nil"/>
              <w:left w:val="nil"/>
              <w:bottom w:val="single" w:sz="8" w:space="0" w:color="auto"/>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0.36552572</w:t>
            </w:r>
          </w:p>
        </w:tc>
        <w:tc>
          <w:tcPr>
            <w:tcW w:w="1255" w:type="dxa"/>
            <w:tcBorders>
              <w:top w:val="nil"/>
              <w:left w:val="nil"/>
              <w:bottom w:val="single" w:sz="8" w:space="0" w:color="auto"/>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Confidence Level(95.0%)</w:t>
            </w:r>
          </w:p>
        </w:tc>
        <w:tc>
          <w:tcPr>
            <w:tcW w:w="1179" w:type="dxa"/>
            <w:tcBorders>
              <w:top w:val="nil"/>
              <w:left w:val="nil"/>
              <w:bottom w:val="single" w:sz="8" w:space="0" w:color="auto"/>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0.80876454</w:t>
            </w:r>
          </w:p>
        </w:tc>
        <w:tc>
          <w:tcPr>
            <w:tcW w:w="1255" w:type="dxa"/>
            <w:tcBorders>
              <w:top w:val="nil"/>
              <w:left w:val="nil"/>
              <w:bottom w:val="single" w:sz="8" w:space="0" w:color="auto"/>
              <w:right w:val="nil"/>
            </w:tcBorders>
            <w:shd w:val="clear" w:color="auto" w:fill="auto"/>
            <w:noWrap/>
            <w:vAlign w:val="bottom"/>
            <w:hideMark/>
          </w:tcPr>
          <w:p w:rsidR="005C6021" w:rsidRPr="005C6021" w:rsidRDefault="005C6021" w:rsidP="005C6021">
            <w:pPr>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Confidence Level(95.0%)</w:t>
            </w:r>
          </w:p>
        </w:tc>
        <w:tc>
          <w:tcPr>
            <w:tcW w:w="1179" w:type="dxa"/>
            <w:tcBorders>
              <w:top w:val="nil"/>
              <w:left w:val="nil"/>
              <w:bottom w:val="single" w:sz="8" w:space="0" w:color="auto"/>
              <w:right w:val="nil"/>
            </w:tcBorders>
            <w:shd w:val="clear" w:color="auto" w:fill="auto"/>
            <w:noWrap/>
            <w:vAlign w:val="bottom"/>
            <w:hideMark/>
          </w:tcPr>
          <w:p w:rsidR="005C6021" w:rsidRPr="005C6021" w:rsidRDefault="005C6021" w:rsidP="005C6021">
            <w:pPr>
              <w:jc w:val="right"/>
              <w:rPr>
                <w:rFonts w:ascii="Calibri" w:eastAsia="Times New Roman" w:hAnsi="Calibri" w:cs="Calibri"/>
                <w:color w:val="000000"/>
                <w:kern w:val="0"/>
                <w:sz w:val="20"/>
                <w:szCs w:val="20"/>
                <w:lang w:eastAsia="en-GB"/>
                <w14:ligatures w14:val="none"/>
              </w:rPr>
            </w:pPr>
            <w:r w:rsidRPr="005C6021">
              <w:rPr>
                <w:rFonts w:ascii="Calibri" w:eastAsia="Times New Roman" w:hAnsi="Calibri" w:cs="Calibri"/>
                <w:color w:val="000000"/>
                <w:kern w:val="0"/>
                <w:sz w:val="20"/>
                <w:szCs w:val="20"/>
                <w:lang w:eastAsia="en-GB"/>
                <w14:ligatures w14:val="none"/>
              </w:rPr>
              <w:t>0.04970926</w:t>
            </w:r>
          </w:p>
        </w:tc>
      </w:tr>
    </w:tbl>
    <w:p w:rsidR="005C6021" w:rsidRPr="00300382" w:rsidRDefault="005C6021" w:rsidP="00C12E02">
      <w:pPr>
        <w:pStyle w:val="PlainText"/>
        <w:rPr>
          <w:rFonts w:ascii="Courier New" w:hAnsi="Courier New" w:cs="Courier New"/>
        </w:rPr>
      </w:pPr>
    </w:p>
    <w:p w:rsidR="00C12E02" w:rsidRPr="00300382" w:rsidRDefault="00C12E02" w:rsidP="00C12E02">
      <w:pPr>
        <w:pStyle w:val="PlainText"/>
        <w:rPr>
          <w:rFonts w:ascii="Courier New" w:hAnsi="Courier New" w:cs="Courier New"/>
        </w:rPr>
      </w:pPr>
    </w:p>
    <w:p w:rsidR="005C6021" w:rsidRDefault="005C6021" w:rsidP="003C5E38">
      <w:pPr>
        <w:pStyle w:val="PlainText"/>
        <w:rPr>
          <w:rFonts w:ascii="Courier New" w:hAnsi="Courier New" w:cs="Courier New"/>
          <w:lang w:val="en-US"/>
        </w:rPr>
      </w:pPr>
    </w:p>
    <w:p w:rsidR="005C6021" w:rsidRDefault="005C6021" w:rsidP="003C5E38">
      <w:pPr>
        <w:pStyle w:val="PlainText"/>
        <w:rPr>
          <w:rFonts w:ascii="Courier New" w:hAnsi="Courier New" w:cs="Courier New"/>
          <w:lang w:val="en-US"/>
        </w:rPr>
      </w:pPr>
    </w:p>
    <w:p w:rsidR="005C6021" w:rsidRDefault="005C6021" w:rsidP="003C5E38">
      <w:pPr>
        <w:pStyle w:val="PlainText"/>
        <w:rPr>
          <w:rFonts w:ascii="Courier New" w:hAnsi="Courier New" w:cs="Courier New"/>
          <w:lang w:val="en-US"/>
        </w:rPr>
      </w:pPr>
    </w:p>
    <w:p w:rsidR="005C6021" w:rsidRDefault="005C6021" w:rsidP="003C5E38">
      <w:pPr>
        <w:pStyle w:val="PlainText"/>
        <w:rPr>
          <w:rFonts w:ascii="Courier New" w:hAnsi="Courier New" w:cs="Courier New"/>
          <w:lang w:val="en-US"/>
        </w:rPr>
      </w:pPr>
    </w:p>
    <w:p w:rsidR="003C5E38" w:rsidRPr="007D6F02" w:rsidRDefault="007D6F02" w:rsidP="003C5E38">
      <w:pPr>
        <w:pStyle w:val="PlainText"/>
        <w:rPr>
          <w:rFonts w:ascii="Courier New" w:hAnsi="Courier New" w:cs="Courier New"/>
          <w:b/>
          <w:bCs/>
          <w:sz w:val="24"/>
          <w:szCs w:val="24"/>
          <w:lang w:val="en-US"/>
        </w:rPr>
      </w:pPr>
      <w:r w:rsidRPr="007D6F02">
        <w:rPr>
          <w:rFonts w:ascii="Courier New" w:hAnsi="Courier New" w:cs="Courier New"/>
          <w:b/>
          <w:bCs/>
          <w:sz w:val="24"/>
          <w:szCs w:val="24"/>
          <w:lang w:val="en-US"/>
        </w:rPr>
        <w:t>RESEARCH QUESTION &amp; HYPOTHESIS</w:t>
      </w:r>
    </w:p>
    <w:p w:rsidR="00C12E02" w:rsidRDefault="00C12E02">
      <w:pPr>
        <w:rPr>
          <w:lang w:val="en-US"/>
        </w:rPr>
      </w:pPr>
    </w:p>
    <w:p w:rsidR="003C5E38" w:rsidRPr="002F6F36" w:rsidRDefault="003C5E38" w:rsidP="009112E5">
      <w:pPr>
        <w:pStyle w:val="PlainText"/>
        <w:numPr>
          <w:ilvl w:val="0"/>
          <w:numId w:val="3"/>
        </w:numPr>
        <w:rPr>
          <w:rFonts w:ascii="Courier New" w:hAnsi="Courier New" w:cs="Courier New"/>
          <w:b/>
          <w:bCs/>
          <w:lang w:val="en-US"/>
        </w:rPr>
      </w:pPr>
      <w:r w:rsidRPr="002F6F36">
        <w:rPr>
          <w:rFonts w:ascii="Courier New" w:hAnsi="Courier New" w:cs="Courier New"/>
          <w:b/>
          <w:bCs/>
          <w:lang w:val="en-US"/>
        </w:rPr>
        <w:t>Are younger patients at the time of operation likely to survive?</w:t>
      </w:r>
    </w:p>
    <w:p w:rsidR="007C4959" w:rsidRPr="009112E5" w:rsidRDefault="007C4959" w:rsidP="009112E5">
      <w:pPr>
        <w:pStyle w:val="PlainText"/>
        <w:rPr>
          <w:rFonts w:ascii="Courier New" w:hAnsi="Courier New" w:cs="Courier New"/>
          <w:lang w:val="en-US"/>
        </w:rPr>
      </w:pPr>
      <w:r w:rsidRPr="007D6F02">
        <w:rPr>
          <w:rFonts w:ascii="Courier New" w:hAnsi="Courier New" w:cs="Courier New"/>
          <w:b/>
          <w:bCs/>
          <w:lang w:val="en-US"/>
        </w:rPr>
        <w:t>H</w:t>
      </w:r>
      <w:r w:rsidRPr="007D6F02">
        <w:rPr>
          <w:rFonts w:ascii="Courier New" w:hAnsi="Courier New" w:cs="Courier New"/>
          <w:b/>
          <w:bCs/>
          <w:vertAlign w:val="subscript"/>
          <w:lang w:val="en-US"/>
        </w:rPr>
        <w:t>0</w:t>
      </w:r>
      <w:r w:rsidRPr="009112E5">
        <w:rPr>
          <w:rFonts w:ascii="Courier New" w:hAnsi="Courier New" w:cs="Courier New"/>
          <w:lang w:val="en-US"/>
        </w:rPr>
        <w:t xml:space="preserve">: There is no relationship between the age of the patient at the time of operation and the survival status. </w:t>
      </w:r>
      <w:r w:rsidR="007D6F02">
        <w:rPr>
          <w:rFonts w:ascii="Courier New" w:hAnsi="Courier New" w:cs="Courier New"/>
          <w:lang w:val="en-US"/>
        </w:rPr>
        <w:t>µ</w:t>
      </w:r>
      <w:r w:rsidRPr="002F6F36">
        <w:rPr>
          <w:rFonts w:ascii="Courier New" w:hAnsi="Courier New" w:cs="Courier New"/>
          <w:vertAlign w:val="subscript"/>
          <w:lang w:val="en-US"/>
        </w:rPr>
        <w:t>1</w:t>
      </w:r>
      <w:r w:rsidRPr="009112E5">
        <w:rPr>
          <w:rFonts w:ascii="Courier New" w:hAnsi="Courier New" w:cs="Courier New"/>
          <w:lang w:val="en-US"/>
        </w:rPr>
        <w:t>-</w:t>
      </w:r>
      <w:r w:rsidR="007D6F02">
        <w:rPr>
          <w:rFonts w:ascii="Courier New" w:hAnsi="Courier New" w:cs="Courier New"/>
          <w:lang w:val="en-US"/>
        </w:rPr>
        <w:t>µ</w:t>
      </w:r>
      <w:r w:rsidRPr="002F6F36">
        <w:rPr>
          <w:rFonts w:ascii="Courier New" w:hAnsi="Courier New" w:cs="Courier New"/>
          <w:vertAlign w:val="subscript"/>
          <w:lang w:val="en-US"/>
        </w:rPr>
        <w:t>2</w:t>
      </w:r>
      <w:r w:rsidRPr="009112E5">
        <w:rPr>
          <w:rFonts w:ascii="Courier New" w:hAnsi="Courier New" w:cs="Courier New"/>
          <w:lang w:val="en-US"/>
        </w:rPr>
        <w:t xml:space="preserve"> = 0</w:t>
      </w:r>
    </w:p>
    <w:p w:rsidR="007C4959" w:rsidRPr="009112E5" w:rsidRDefault="007C4959" w:rsidP="009112E5">
      <w:pPr>
        <w:pStyle w:val="PlainText"/>
        <w:rPr>
          <w:rFonts w:ascii="Courier New" w:hAnsi="Courier New" w:cs="Courier New"/>
          <w:lang w:val="en-US"/>
        </w:rPr>
      </w:pPr>
      <w:r w:rsidRPr="007D6F02">
        <w:rPr>
          <w:rFonts w:ascii="Courier New" w:hAnsi="Courier New" w:cs="Courier New"/>
          <w:b/>
          <w:bCs/>
          <w:lang w:val="en-US"/>
        </w:rPr>
        <w:t>H</w:t>
      </w:r>
      <w:r w:rsidRPr="007D6F02">
        <w:rPr>
          <w:rFonts w:ascii="Courier New" w:hAnsi="Courier New" w:cs="Courier New"/>
          <w:b/>
          <w:bCs/>
          <w:vertAlign w:val="subscript"/>
          <w:lang w:val="en-US"/>
        </w:rPr>
        <w:t>a</w:t>
      </w:r>
      <w:r w:rsidRPr="009112E5">
        <w:rPr>
          <w:rFonts w:ascii="Courier New" w:hAnsi="Courier New" w:cs="Courier New"/>
          <w:lang w:val="en-US"/>
        </w:rPr>
        <w:t xml:space="preserve">: Patients with younger age at the time of the operation are more likely to survive. </w:t>
      </w:r>
      <w:r w:rsidR="007D6F02">
        <w:rPr>
          <w:rFonts w:ascii="Courier New" w:hAnsi="Courier New" w:cs="Courier New"/>
          <w:lang w:val="en-US"/>
        </w:rPr>
        <w:t>µ</w:t>
      </w:r>
      <w:r w:rsidR="007D6F02" w:rsidRPr="007D6F02">
        <w:rPr>
          <w:rFonts w:ascii="Courier New" w:hAnsi="Courier New" w:cs="Courier New"/>
          <w:vertAlign w:val="subscript"/>
          <w:lang w:val="en-US"/>
        </w:rPr>
        <w:t>1</w:t>
      </w:r>
      <w:r w:rsidRPr="009112E5">
        <w:rPr>
          <w:rFonts w:ascii="Courier New" w:hAnsi="Courier New" w:cs="Courier New"/>
          <w:lang w:val="en-US"/>
        </w:rPr>
        <w:t>-</w:t>
      </w:r>
      <w:r w:rsidR="007D6F02">
        <w:rPr>
          <w:rFonts w:ascii="Courier New" w:hAnsi="Courier New" w:cs="Courier New"/>
          <w:lang w:val="en-US"/>
        </w:rPr>
        <w:t>µ</w:t>
      </w:r>
      <w:r w:rsidRPr="007D6F02">
        <w:rPr>
          <w:rFonts w:ascii="Courier New" w:hAnsi="Courier New" w:cs="Courier New"/>
          <w:vertAlign w:val="subscript"/>
          <w:lang w:val="en-US"/>
        </w:rPr>
        <w:t>2</w:t>
      </w:r>
      <w:r w:rsidRPr="009112E5">
        <w:rPr>
          <w:rFonts w:ascii="Courier New" w:hAnsi="Courier New" w:cs="Courier New"/>
          <w:lang w:val="en-US"/>
        </w:rPr>
        <w:t>&lt;0</w:t>
      </w:r>
      <w:r w:rsidR="007D6F02">
        <w:rPr>
          <w:rFonts w:ascii="Courier New" w:hAnsi="Courier New" w:cs="Courier New"/>
          <w:lang w:val="en-US"/>
        </w:rPr>
        <w:t xml:space="preserve"> </w:t>
      </w:r>
    </w:p>
    <w:p w:rsidR="007C4959" w:rsidRPr="009112E5" w:rsidRDefault="007C4959" w:rsidP="009112E5">
      <w:pPr>
        <w:pStyle w:val="PlainText"/>
        <w:rPr>
          <w:rFonts w:ascii="Courier New" w:hAnsi="Courier New" w:cs="Courier New"/>
          <w:lang w:val="en-US"/>
        </w:rPr>
      </w:pPr>
    </w:p>
    <w:p w:rsidR="00581080" w:rsidRPr="009112E5" w:rsidRDefault="00581080" w:rsidP="009112E5">
      <w:pPr>
        <w:pStyle w:val="PlainText"/>
        <w:rPr>
          <w:rFonts w:ascii="Courier New" w:hAnsi="Courier New" w:cs="Courier New"/>
          <w:lang w:val="en-US"/>
        </w:rPr>
      </w:pPr>
      <w:r w:rsidRPr="009112E5">
        <w:rPr>
          <w:rFonts w:ascii="Courier New" w:hAnsi="Courier New" w:cs="Courier New"/>
          <w:lang w:val="en-US"/>
        </w:rPr>
        <w:t>We would need to perform</w:t>
      </w:r>
      <w:r w:rsidR="001458A3" w:rsidRPr="009112E5">
        <w:rPr>
          <w:rFonts w:ascii="Courier New" w:hAnsi="Courier New" w:cs="Courier New"/>
          <w:lang w:val="en-US"/>
        </w:rPr>
        <w:t xml:space="preserve"> </w:t>
      </w:r>
      <w:r w:rsidRPr="009112E5">
        <w:rPr>
          <w:rFonts w:ascii="Courier New" w:hAnsi="Courier New" w:cs="Courier New"/>
          <w:lang w:val="en-US"/>
        </w:rPr>
        <w:t xml:space="preserve">a </w:t>
      </w:r>
      <w:r w:rsidR="001458A3" w:rsidRPr="009112E5">
        <w:rPr>
          <w:rFonts w:ascii="Courier New" w:hAnsi="Courier New" w:cs="Courier New"/>
          <w:lang w:val="en-US"/>
        </w:rPr>
        <w:t>two-sample</w:t>
      </w:r>
      <w:r w:rsidRPr="009112E5">
        <w:rPr>
          <w:rFonts w:ascii="Courier New" w:hAnsi="Courier New" w:cs="Courier New"/>
          <w:lang w:val="en-US"/>
        </w:rPr>
        <w:t xml:space="preserve"> t-test in order to determine if the di</w:t>
      </w:r>
      <w:r w:rsidR="001458A3" w:rsidRPr="009112E5">
        <w:rPr>
          <w:rFonts w:ascii="Courier New" w:hAnsi="Courier New" w:cs="Courier New"/>
          <w:lang w:val="en-US"/>
        </w:rPr>
        <w:t>fferen</w:t>
      </w:r>
      <w:r w:rsidRPr="009112E5">
        <w:rPr>
          <w:rFonts w:ascii="Courier New" w:hAnsi="Courier New" w:cs="Courier New"/>
          <w:lang w:val="en-US"/>
        </w:rPr>
        <w:t>ce between the two samples mean is statistically significant or not. The samples are</w:t>
      </w:r>
      <w:r w:rsidR="001458A3" w:rsidRPr="009112E5">
        <w:rPr>
          <w:rFonts w:ascii="Courier New" w:hAnsi="Courier New" w:cs="Courier New"/>
          <w:lang w:val="en-US"/>
        </w:rPr>
        <w:t xml:space="preserve"> </w:t>
      </w:r>
      <w:r w:rsidRPr="009112E5">
        <w:rPr>
          <w:rFonts w:ascii="Courier New" w:hAnsi="Courier New" w:cs="Courier New"/>
          <w:lang w:val="en-US"/>
        </w:rPr>
        <w:t xml:space="preserve">independent </w:t>
      </w:r>
      <w:r w:rsidR="001458A3" w:rsidRPr="009112E5">
        <w:rPr>
          <w:rFonts w:ascii="Courier New" w:hAnsi="Courier New" w:cs="Courier New"/>
          <w:lang w:val="en-US"/>
        </w:rPr>
        <w:t>s</w:t>
      </w:r>
      <w:r w:rsidRPr="009112E5">
        <w:rPr>
          <w:rFonts w:ascii="Courier New" w:hAnsi="Courier New" w:cs="Courier New"/>
          <w:lang w:val="en-US"/>
        </w:rPr>
        <w:t xml:space="preserve">o </w:t>
      </w:r>
      <w:r w:rsidR="001458A3" w:rsidRPr="009112E5">
        <w:rPr>
          <w:rFonts w:ascii="Courier New" w:hAnsi="Courier New" w:cs="Courier New"/>
          <w:lang w:val="en-US"/>
        </w:rPr>
        <w:t xml:space="preserve">a </w:t>
      </w:r>
      <w:r w:rsidRPr="009112E5">
        <w:rPr>
          <w:rFonts w:ascii="Courier New" w:hAnsi="Courier New" w:cs="Courier New"/>
          <w:lang w:val="en-US"/>
        </w:rPr>
        <w:t xml:space="preserve">two samples independent t-test would be appropriate. </w:t>
      </w:r>
    </w:p>
    <w:p w:rsidR="001458A3" w:rsidRDefault="001458A3" w:rsidP="00581080">
      <w:pPr>
        <w:rPr>
          <w:lang w:val="en-US"/>
        </w:rPr>
      </w:pPr>
    </w:p>
    <w:tbl>
      <w:tblPr>
        <w:tblW w:w="4080" w:type="dxa"/>
        <w:tblLook w:val="04A0" w:firstRow="1" w:lastRow="0" w:firstColumn="1" w:lastColumn="0" w:noHBand="0" w:noVBand="1"/>
      </w:tblPr>
      <w:tblGrid>
        <w:gridCol w:w="1560"/>
        <w:gridCol w:w="2520"/>
      </w:tblGrid>
      <w:tr w:rsidR="00561B48" w:rsidRPr="00561B48" w:rsidTr="00561B48">
        <w:trPr>
          <w:trHeight w:val="320"/>
        </w:trPr>
        <w:tc>
          <w:tcPr>
            <w:tcW w:w="1560" w:type="dxa"/>
            <w:tcBorders>
              <w:top w:val="nil"/>
              <w:left w:val="nil"/>
              <w:bottom w:val="single" w:sz="4" w:space="0" w:color="8EA9DB"/>
              <w:right w:val="nil"/>
            </w:tcBorders>
            <w:shd w:val="clear" w:color="D9E1F2" w:fill="D9E1F2"/>
            <w:noWrap/>
            <w:vAlign w:val="bottom"/>
            <w:hideMark/>
          </w:tcPr>
          <w:p w:rsidR="00561B48" w:rsidRPr="00561B48" w:rsidRDefault="00561B48" w:rsidP="00561B48">
            <w:pPr>
              <w:rPr>
                <w:rFonts w:ascii="Calibri" w:eastAsia="Times New Roman" w:hAnsi="Calibri" w:cs="Calibri"/>
                <w:b/>
                <w:bCs/>
                <w:color w:val="000000"/>
                <w:kern w:val="0"/>
                <w:lang w:eastAsia="en-GB"/>
                <w14:ligatures w14:val="none"/>
              </w:rPr>
            </w:pPr>
            <w:r w:rsidRPr="00561B48">
              <w:rPr>
                <w:rFonts w:ascii="Calibri" w:eastAsia="Times New Roman" w:hAnsi="Calibri" w:cs="Calibri"/>
                <w:b/>
                <w:bCs/>
                <w:color w:val="000000"/>
                <w:kern w:val="0"/>
                <w:lang w:eastAsia="en-GB"/>
                <w14:ligatures w14:val="none"/>
              </w:rPr>
              <w:t>Row Labels</w:t>
            </w:r>
          </w:p>
        </w:tc>
        <w:tc>
          <w:tcPr>
            <w:tcW w:w="2520" w:type="dxa"/>
            <w:tcBorders>
              <w:top w:val="nil"/>
              <w:left w:val="nil"/>
              <w:bottom w:val="single" w:sz="4" w:space="0" w:color="8EA9DB"/>
              <w:right w:val="nil"/>
            </w:tcBorders>
            <w:shd w:val="clear" w:color="D9E1F2" w:fill="D9E1F2"/>
            <w:noWrap/>
            <w:vAlign w:val="bottom"/>
            <w:hideMark/>
          </w:tcPr>
          <w:p w:rsidR="00561B48" w:rsidRPr="00561B48" w:rsidRDefault="00561B48" w:rsidP="00561B48">
            <w:pPr>
              <w:rPr>
                <w:rFonts w:ascii="Calibri" w:eastAsia="Times New Roman" w:hAnsi="Calibri" w:cs="Calibri"/>
                <w:b/>
                <w:bCs/>
                <w:color w:val="000000"/>
                <w:kern w:val="0"/>
                <w:lang w:eastAsia="en-GB"/>
                <w14:ligatures w14:val="none"/>
              </w:rPr>
            </w:pPr>
            <w:r w:rsidRPr="00561B48">
              <w:rPr>
                <w:rFonts w:ascii="Calibri" w:eastAsia="Times New Roman" w:hAnsi="Calibri" w:cs="Calibri"/>
                <w:b/>
                <w:bCs/>
                <w:color w:val="000000"/>
                <w:kern w:val="0"/>
                <w:lang w:eastAsia="en-GB"/>
                <w14:ligatures w14:val="none"/>
              </w:rPr>
              <w:t>Survival Status</w:t>
            </w:r>
          </w:p>
        </w:tc>
      </w:tr>
      <w:tr w:rsidR="00561B48" w:rsidRPr="00561B48" w:rsidTr="00561B48">
        <w:trPr>
          <w:trHeight w:val="320"/>
        </w:trPr>
        <w:tc>
          <w:tcPr>
            <w:tcW w:w="1560" w:type="dxa"/>
            <w:tcBorders>
              <w:top w:val="nil"/>
              <w:left w:val="nil"/>
              <w:bottom w:val="nil"/>
              <w:right w:val="nil"/>
            </w:tcBorders>
            <w:shd w:val="clear" w:color="auto" w:fill="auto"/>
            <w:noWrap/>
            <w:vAlign w:val="bottom"/>
            <w:hideMark/>
          </w:tcPr>
          <w:p w:rsidR="00561B48" w:rsidRPr="00561B48" w:rsidRDefault="00561B48" w:rsidP="00561B48">
            <w:pPr>
              <w:rPr>
                <w:rFonts w:ascii="Calibri" w:eastAsia="Times New Roman" w:hAnsi="Calibri" w:cs="Calibri"/>
                <w:color w:val="000000"/>
                <w:kern w:val="0"/>
                <w:lang w:eastAsia="en-GB"/>
                <w14:ligatures w14:val="none"/>
              </w:rPr>
            </w:pPr>
            <w:r w:rsidRPr="00561B48">
              <w:rPr>
                <w:rFonts w:ascii="Calibri" w:eastAsia="Times New Roman" w:hAnsi="Calibri" w:cs="Calibri"/>
                <w:color w:val="000000"/>
                <w:kern w:val="0"/>
                <w:lang w:eastAsia="en-GB"/>
                <w14:ligatures w14:val="none"/>
              </w:rPr>
              <w:t>1</w:t>
            </w:r>
          </w:p>
        </w:tc>
        <w:tc>
          <w:tcPr>
            <w:tcW w:w="2520" w:type="dxa"/>
            <w:tcBorders>
              <w:top w:val="nil"/>
              <w:left w:val="nil"/>
              <w:bottom w:val="nil"/>
              <w:right w:val="nil"/>
            </w:tcBorders>
            <w:shd w:val="clear" w:color="auto" w:fill="auto"/>
            <w:noWrap/>
            <w:vAlign w:val="bottom"/>
            <w:hideMark/>
          </w:tcPr>
          <w:p w:rsidR="00561B48" w:rsidRPr="00561B48" w:rsidRDefault="00561B48" w:rsidP="00561B48">
            <w:pPr>
              <w:jc w:val="right"/>
              <w:rPr>
                <w:rFonts w:ascii="Calibri" w:eastAsia="Times New Roman" w:hAnsi="Calibri" w:cs="Calibri"/>
                <w:color w:val="000000"/>
                <w:kern w:val="0"/>
                <w:lang w:eastAsia="en-GB"/>
                <w14:ligatures w14:val="none"/>
              </w:rPr>
            </w:pPr>
            <w:r w:rsidRPr="00561B48">
              <w:rPr>
                <w:rFonts w:ascii="Calibri" w:eastAsia="Times New Roman" w:hAnsi="Calibri" w:cs="Calibri"/>
                <w:color w:val="000000"/>
                <w:kern w:val="0"/>
                <w:lang w:eastAsia="en-GB"/>
                <w14:ligatures w14:val="none"/>
              </w:rPr>
              <w:t>225</w:t>
            </w:r>
          </w:p>
        </w:tc>
      </w:tr>
      <w:tr w:rsidR="00561B48" w:rsidRPr="00561B48" w:rsidTr="00561B48">
        <w:trPr>
          <w:trHeight w:val="320"/>
        </w:trPr>
        <w:tc>
          <w:tcPr>
            <w:tcW w:w="1560" w:type="dxa"/>
            <w:tcBorders>
              <w:top w:val="nil"/>
              <w:left w:val="nil"/>
              <w:bottom w:val="nil"/>
              <w:right w:val="nil"/>
            </w:tcBorders>
            <w:shd w:val="clear" w:color="auto" w:fill="auto"/>
            <w:noWrap/>
            <w:vAlign w:val="bottom"/>
            <w:hideMark/>
          </w:tcPr>
          <w:p w:rsidR="00561B48" w:rsidRPr="00561B48" w:rsidRDefault="00561B48" w:rsidP="00561B48">
            <w:pPr>
              <w:rPr>
                <w:rFonts w:ascii="Calibri" w:eastAsia="Times New Roman" w:hAnsi="Calibri" w:cs="Calibri"/>
                <w:color w:val="000000"/>
                <w:kern w:val="0"/>
                <w:lang w:eastAsia="en-GB"/>
                <w14:ligatures w14:val="none"/>
              </w:rPr>
            </w:pPr>
            <w:r w:rsidRPr="00561B48">
              <w:rPr>
                <w:rFonts w:ascii="Calibri" w:eastAsia="Times New Roman" w:hAnsi="Calibri" w:cs="Calibri"/>
                <w:color w:val="000000"/>
                <w:kern w:val="0"/>
                <w:lang w:eastAsia="en-GB"/>
                <w14:ligatures w14:val="none"/>
              </w:rPr>
              <w:t>2</w:t>
            </w:r>
          </w:p>
        </w:tc>
        <w:tc>
          <w:tcPr>
            <w:tcW w:w="2520" w:type="dxa"/>
            <w:tcBorders>
              <w:top w:val="nil"/>
              <w:left w:val="nil"/>
              <w:bottom w:val="nil"/>
              <w:right w:val="nil"/>
            </w:tcBorders>
            <w:shd w:val="clear" w:color="auto" w:fill="auto"/>
            <w:noWrap/>
            <w:vAlign w:val="bottom"/>
            <w:hideMark/>
          </w:tcPr>
          <w:p w:rsidR="00561B48" w:rsidRPr="00561B48" w:rsidRDefault="00561B48" w:rsidP="00561B48">
            <w:pPr>
              <w:jc w:val="right"/>
              <w:rPr>
                <w:rFonts w:ascii="Calibri" w:eastAsia="Times New Roman" w:hAnsi="Calibri" w:cs="Calibri"/>
                <w:color w:val="000000"/>
                <w:kern w:val="0"/>
                <w:lang w:eastAsia="en-GB"/>
                <w14:ligatures w14:val="none"/>
              </w:rPr>
            </w:pPr>
            <w:r w:rsidRPr="00561B48">
              <w:rPr>
                <w:rFonts w:ascii="Calibri" w:eastAsia="Times New Roman" w:hAnsi="Calibri" w:cs="Calibri"/>
                <w:color w:val="000000"/>
                <w:kern w:val="0"/>
                <w:lang w:eastAsia="en-GB"/>
                <w14:ligatures w14:val="none"/>
              </w:rPr>
              <w:t>81</w:t>
            </w:r>
          </w:p>
        </w:tc>
      </w:tr>
      <w:tr w:rsidR="00561B48" w:rsidRPr="00561B48" w:rsidTr="00561B48">
        <w:trPr>
          <w:trHeight w:val="320"/>
        </w:trPr>
        <w:tc>
          <w:tcPr>
            <w:tcW w:w="1560" w:type="dxa"/>
            <w:tcBorders>
              <w:top w:val="single" w:sz="4" w:space="0" w:color="8EA9DB"/>
              <w:left w:val="nil"/>
              <w:bottom w:val="nil"/>
              <w:right w:val="nil"/>
            </w:tcBorders>
            <w:shd w:val="clear" w:color="D9E1F2" w:fill="D9E1F2"/>
            <w:noWrap/>
            <w:vAlign w:val="bottom"/>
            <w:hideMark/>
          </w:tcPr>
          <w:p w:rsidR="00561B48" w:rsidRPr="00561B48" w:rsidRDefault="00561B48" w:rsidP="00561B48">
            <w:pPr>
              <w:rPr>
                <w:rFonts w:ascii="Calibri" w:eastAsia="Times New Roman" w:hAnsi="Calibri" w:cs="Calibri"/>
                <w:b/>
                <w:bCs/>
                <w:color w:val="000000"/>
                <w:kern w:val="0"/>
                <w:lang w:eastAsia="en-GB"/>
                <w14:ligatures w14:val="none"/>
              </w:rPr>
            </w:pPr>
            <w:r w:rsidRPr="00561B48">
              <w:rPr>
                <w:rFonts w:ascii="Calibri" w:eastAsia="Times New Roman" w:hAnsi="Calibri" w:cs="Calibri"/>
                <w:b/>
                <w:bCs/>
                <w:color w:val="000000"/>
                <w:kern w:val="0"/>
                <w:lang w:eastAsia="en-GB"/>
                <w14:ligatures w14:val="none"/>
              </w:rPr>
              <w:t>Grand Total</w:t>
            </w:r>
          </w:p>
        </w:tc>
        <w:tc>
          <w:tcPr>
            <w:tcW w:w="2520" w:type="dxa"/>
            <w:tcBorders>
              <w:top w:val="single" w:sz="4" w:space="0" w:color="8EA9DB"/>
              <w:left w:val="nil"/>
              <w:bottom w:val="nil"/>
              <w:right w:val="nil"/>
            </w:tcBorders>
            <w:shd w:val="clear" w:color="D9E1F2" w:fill="D9E1F2"/>
            <w:noWrap/>
            <w:vAlign w:val="bottom"/>
            <w:hideMark/>
          </w:tcPr>
          <w:p w:rsidR="00561B48" w:rsidRPr="00561B48" w:rsidRDefault="00561B48" w:rsidP="00561B48">
            <w:pPr>
              <w:jc w:val="right"/>
              <w:rPr>
                <w:rFonts w:ascii="Calibri" w:eastAsia="Times New Roman" w:hAnsi="Calibri" w:cs="Calibri"/>
                <w:b/>
                <w:bCs/>
                <w:color w:val="000000"/>
                <w:kern w:val="0"/>
                <w:lang w:eastAsia="en-GB"/>
                <w14:ligatures w14:val="none"/>
              </w:rPr>
            </w:pPr>
            <w:r w:rsidRPr="00561B48">
              <w:rPr>
                <w:rFonts w:ascii="Calibri" w:eastAsia="Times New Roman" w:hAnsi="Calibri" w:cs="Calibri"/>
                <w:b/>
                <w:bCs/>
                <w:color w:val="000000"/>
                <w:kern w:val="0"/>
                <w:lang w:eastAsia="en-GB"/>
                <w14:ligatures w14:val="none"/>
              </w:rPr>
              <w:t>306</w:t>
            </w:r>
          </w:p>
        </w:tc>
      </w:tr>
    </w:tbl>
    <w:p w:rsidR="001458A3" w:rsidRDefault="001458A3" w:rsidP="00581080">
      <w:pPr>
        <w:rPr>
          <w:lang w:val="en-US"/>
        </w:rPr>
      </w:pPr>
    </w:p>
    <w:p w:rsidR="007C4959" w:rsidRPr="009112E5" w:rsidRDefault="00BD136B" w:rsidP="009112E5">
      <w:pPr>
        <w:pStyle w:val="PlainText"/>
        <w:rPr>
          <w:rFonts w:ascii="Courier New" w:hAnsi="Courier New" w:cs="Courier New"/>
          <w:lang w:val="en-US"/>
        </w:rPr>
      </w:pPr>
      <w:r w:rsidRPr="009112E5">
        <w:rPr>
          <w:rFonts w:ascii="Courier New" w:hAnsi="Courier New" w:cs="Courier New"/>
          <w:lang w:val="en-US"/>
        </w:rPr>
        <w:t xml:space="preserve">The mean of the survival status </w:t>
      </w:r>
      <w:r w:rsidR="009112E5">
        <w:rPr>
          <w:rFonts w:ascii="Courier New" w:hAnsi="Courier New" w:cs="Courier New"/>
          <w:lang w:val="en-US"/>
        </w:rPr>
        <w:t>is</w:t>
      </w:r>
    </w:p>
    <w:tbl>
      <w:tblPr>
        <w:tblW w:w="9026" w:type="dxa"/>
        <w:tblLook w:val="04A0" w:firstRow="1" w:lastRow="0" w:firstColumn="1" w:lastColumn="0" w:noHBand="0" w:noVBand="1"/>
      </w:tblPr>
      <w:tblGrid>
        <w:gridCol w:w="4495"/>
        <w:gridCol w:w="4531"/>
      </w:tblGrid>
      <w:tr w:rsidR="007C4959" w:rsidRPr="007C4959" w:rsidTr="002F6F36">
        <w:trPr>
          <w:trHeight w:val="320"/>
        </w:trPr>
        <w:tc>
          <w:tcPr>
            <w:tcW w:w="4495" w:type="dxa"/>
            <w:tcBorders>
              <w:top w:val="nil"/>
              <w:left w:val="nil"/>
              <w:bottom w:val="nil"/>
              <w:right w:val="nil"/>
            </w:tcBorders>
            <w:shd w:val="clear" w:color="auto" w:fill="auto"/>
            <w:noWrap/>
            <w:vAlign w:val="bottom"/>
            <w:hideMark/>
          </w:tcPr>
          <w:p w:rsidR="007C4959" w:rsidRPr="007C4959" w:rsidRDefault="007C4959" w:rsidP="009112E5">
            <w:pPr>
              <w:pStyle w:val="PlainText"/>
              <w:rPr>
                <w:rFonts w:ascii="Courier New" w:hAnsi="Courier New" w:cs="Courier New"/>
                <w:lang w:val="en-US"/>
              </w:rPr>
            </w:pPr>
            <w:r w:rsidRPr="007C4959">
              <w:rPr>
                <w:rFonts w:ascii="Courier New" w:hAnsi="Courier New" w:cs="Courier New"/>
                <w:lang w:val="en-US"/>
              </w:rPr>
              <w:t xml:space="preserve">Mean </w:t>
            </w:r>
            <w:r w:rsidRPr="009112E5">
              <w:rPr>
                <w:rFonts w:ascii="Courier New" w:hAnsi="Courier New" w:cs="Courier New"/>
                <w:lang w:val="en-US"/>
              </w:rPr>
              <w:t>(1)</w:t>
            </w:r>
          </w:p>
        </w:tc>
        <w:tc>
          <w:tcPr>
            <w:tcW w:w="4531" w:type="dxa"/>
            <w:tcBorders>
              <w:top w:val="nil"/>
              <w:left w:val="nil"/>
              <w:bottom w:val="nil"/>
              <w:right w:val="nil"/>
            </w:tcBorders>
            <w:shd w:val="clear" w:color="auto" w:fill="auto"/>
            <w:noWrap/>
            <w:vAlign w:val="bottom"/>
            <w:hideMark/>
          </w:tcPr>
          <w:p w:rsidR="007C4959" w:rsidRPr="007C4959" w:rsidRDefault="007C4959" w:rsidP="009112E5">
            <w:pPr>
              <w:pStyle w:val="PlainText"/>
              <w:rPr>
                <w:rFonts w:ascii="Courier New" w:hAnsi="Courier New" w:cs="Courier New"/>
                <w:lang w:val="en-US"/>
              </w:rPr>
            </w:pPr>
            <w:r w:rsidRPr="007C4959">
              <w:rPr>
                <w:rFonts w:ascii="Courier New" w:hAnsi="Courier New" w:cs="Courier New"/>
                <w:lang w:val="en-US"/>
              </w:rPr>
              <w:t>52.0177778</w:t>
            </w:r>
          </w:p>
        </w:tc>
      </w:tr>
      <w:tr w:rsidR="007C4959" w:rsidRPr="007C4959" w:rsidTr="002F6F36">
        <w:trPr>
          <w:trHeight w:val="320"/>
        </w:trPr>
        <w:tc>
          <w:tcPr>
            <w:tcW w:w="4495" w:type="dxa"/>
            <w:tcBorders>
              <w:top w:val="nil"/>
              <w:left w:val="nil"/>
              <w:bottom w:val="nil"/>
              <w:right w:val="nil"/>
            </w:tcBorders>
            <w:shd w:val="clear" w:color="auto" w:fill="auto"/>
            <w:noWrap/>
            <w:vAlign w:val="bottom"/>
            <w:hideMark/>
          </w:tcPr>
          <w:p w:rsidR="007C4959" w:rsidRPr="007C4959" w:rsidRDefault="007C4959" w:rsidP="009112E5">
            <w:pPr>
              <w:pStyle w:val="PlainText"/>
              <w:rPr>
                <w:rFonts w:ascii="Courier New" w:hAnsi="Courier New" w:cs="Courier New"/>
                <w:lang w:val="en-US"/>
              </w:rPr>
            </w:pPr>
            <w:r w:rsidRPr="007C4959">
              <w:rPr>
                <w:rFonts w:ascii="Courier New" w:hAnsi="Courier New" w:cs="Courier New"/>
                <w:lang w:val="en-US"/>
              </w:rPr>
              <w:t xml:space="preserve">Mean </w:t>
            </w:r>
            <w:r w:rsidRPr="009112E5">
              <w:rPr>
                <w:rFonts w:ascii="Courier New" w:hAnsi="Courier New" w:cs="Courier New"/>
                <w:lang w:val="en-US"/>
              </w:rPr>
              <w:t>(2)</w:t>
            </w:r>
          </w:p>
        </w:tc>
        <w:tc>
          <w:tcPr>
            <w:tcW w:w="4531" w:type="dxa"/>
            <w:tcBorders>
              <w:top w:val="nil"/>
              <w:left w:val="nil"/>
              <w:bottom w:val="nil"/>
              <w:right w:val="nil"/>
            </w:tcBorders>
            <w:shd w:val="clear" w:color="auto" w:fill="auto"/>
            <w:noWrap/>
            <w:vAlign w:val="bottom"/>
            <w:hideMark/>
          </w:tcPr>
          <w:p w:rsidR="007C4959" w:rsidRPr="007C4959" w:rsidRDefault="007C4959" w:rsidP="009112E5">
            <w:pPr>
              <w:pStyle w:val="PlainText"/>
              <w:rPr>
                <w:rFonts w:ascii="Courier New" w:hAnsi="Courier New" w:cs="Courier New"/>
                <w:lang w:val="en-US"/>
              </w:rPr>
            </w:pPr>
            <w:r w:rsidRPr="007C4959">
              <w:rPr>
                <w:rFonts w:ascii="Courier New" w:hAnsi="Courier New" w:cs="Courier New"/>
                <w:lang w:val="en-US"/>
              </w:rPr>
              <w:t>53.6790123</w:t>
            </w:r>
          </w:p>
        </w:tc>
      </w:tr>
      <w:tr w:rsidR="002F6F36" w:rsidRPr="007C4959" w:rsidTr="002F6F36">
        <w:trPr>
          <w:trHeight w:val="320"/>
        </w:trPr>
        <w:tc>
          <w:tcPr>
            <w:tcW w:w="4495" w:type="dxa"/>
            <w:tcBorders>
              <w:top w:val="nil"/>
              <w:left w:val="nil"/>
              <w:bottom w:val="nil"/>
              <w:right w:val="nil"/>
            </w:tcBorders>
            <w:shd w:val="clear" w:color="auto" w:fill="auto"/>
            <w:noWrap/>
            <w:vAlign w:val="bottom"/>
          </w:tcPr>
          <w:p w:rsidR="002F6F36" w:rsidRDefault="002F6F36" w:rsidP="009112E5">
            <w:pPr>
              <w:pStyle w:val="PlainText"/>
              <w:rPr>
                <w:rFonts w:ascii="Courier New" w:hAnsi="Courier New" w:cs="Courier New"/>
                <w:lang w:val="en-US"/>
              </w:rPr>
            </w:pPr>
          </w:p>
          <w:p w:rsidR="002F6F36" w:rsidRDefault="002F6F36" w:rsidP="009112E5">
            <w:pPr>
              <w:pStyle w:val="PlainText"/>
              <w:rPr>
                <w:rFonts w:ascii="Courier New" w:hAnsi="Courier New" w:cs="Courier New"/>
                <w:lang w:val="en-US"/>
              </w:rPr>
            </w:pPr>
          </w:p>
          <w:p w:rsidR="002F6F36" w:rsidRDefault="002F6F36" w:rsidP="009112E5">
            <w:pPr>
              <w:pStyle w:val="PlainText"/>
              <w:rPr>
                <w:rFonts w:ascii="Courier New" w:hAnsi="Courier New" w:cs="Courier New"/>
                <w:lang w:val="en-US"/>
              </w:rPr>
            </w:pPr>
          </w:p>
          <w:p w:rsidR="002F6F36" w:rsidRDefault="002F6F36" w:rsidP="009112E5">
            <w:pPr>
              <w:pStyle w:val="PlainText"/>
              <w:rPr>
                <w:rFonts w:ascii="Courier New" w:hAnsi="Courier New" w:cs="Courier New"/>
                <w:lang w:val="en-US"/>
              </w:rPr>
            </w:pPr>
          </w:p>
          <w:p w:rsidR="002F6F36" w:rsidRDefault="002F6F36" w:rsidP="009112E5">
            <w:pPr>
              <w:pStyle w:val="PlainText"/>
              <w:rPr>
                <w:rFonts w:ascii="Courier New" w:hAnsi="Courier New" w:cs="Courier New"/>
                <w:lang w:val="en-US"/>
              </w:rPr>
            </w:pPr>
            <w:r>
              <w:rPr>
                <w:noProof/>
              </w:rPr>
              <w:drawing>
                <wp:inline distT="0" distB="0" distL="0" distR="0" wp14:anchorId="300A968F" wp14:editId="67B19670">
                  <wp:extent cx="2540000" cy="3695700"/>
                  <wp:effectExtent l="0" t="0" r="12700" b="12700"/>
                  <wp:docPr id="1869499550" name="Chart 1">
                    <a:extLst xmlns:a="http://schemas.openxmlformats.org/drawingml/2006/main">
                      <a:ext uri="{FF2B5EF4-FFF2-40B4-BE49-F238E27FC236}">
                        <a16:creationId xmlns:a16="http://schemas.microsoft.com/office/drawing/2014/main" id="{807E2D23-FBF2-37F7-64DF-4EF78C87A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6F36" w:rsidRPr="007C4959" w:rsidRDefault="002F6F36" w:rsidP="009112E5">
            <w:pPr>
              <w:pStyle w:val="PlainText"/>
              <w:rPr>
                <w:rFonts w:ascii="Courier New" w:hAnsi="Courier New" w:cs="Courier New"/>
                <w:lang w:val="en-US"/>
              </w:rPr>
            </w:pPr>
          </w:p>
        </w:tc>
        <w:tc>
          <w:tcPr>
            <w:tcW w:w="4531" w:type="dxa"/>
            <w:tcBorders>
              <w:top w:val="nil"/>
              <w:left w:val="nil"/>
              <w:bottom w:val="nil"/>
              <w:right w:val="nil"/>
            </w:tcBorders>
            <w:shd w:val="clear" w:color="auto" w:fill="auto"/>
            <w:noWrap/>
            <w:vAlign w:val="bottom"/>
          </w:tcPr>
          <w:p w:rsidR="002F6F36" w:rsidRPr="007C4959" w:rsidRDefault="002F6F36" w:rsidP="009112E5">
            <w:pPr>
              <w:pStyle w:val="PlainText"/>
              <w:rPr>
                <w:rFonts w:ascii="Courier New" w:hAnsi="Courier New" w:cs="Courier New"/>
                <w:lang w:val="en-US"/>
              </w:rPr>
            </w:pPr>
            <w:r>
              <w:rPr>
                <w:noProof/>
              </w:rPr>
              <w:drawing>
                <wp:inline distT="0" distB="0" distL="0" distR="0" wp14:anchorId="09EF4E74" wp14:editId="5C1D2F8F">
                  <wp:extent cx="2679700" cy="3848100"/>
                  <wp:effectExtent l="0" t="0" r="12700" b="12700"/>
                  <wp:docPr id="1911265872" name="Chart 1">
                    <a:extLst xmlns:a="http://schemas.openxmlformats.org/drawingml/2006/main">
                      <a:ext uri="{FF2B5EF4-FFF2-40B4-BE49-F238E27FC236}">
                        <a16:creationId xmlns:a16="http://schemas.microsoft.com/office/drawing/2014/main" id="{3DD04221-0B1A-5857-06D2-5F7493DE18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BD136B" w:rsidRPr="009112E5" w:rsidRDefault="00BD136B" w:rsidP="009112E5">
      <w:pPr>
        <w:pStyle w:val="PlainText"/>
        <w:rPr>
          <w:rFonts w:ascii="Courier New" w:hAnsi="Courier New" w:cs="Courier New"/>
          <w:lang w:val="en-US"/>
        </w:rPr>
      </w:pPr>
    </w:p>
    <w:p w:rsidR="005C6021" w:rsidRPr="009112E5" w:rsidRDefault="007C4959" w:rsidP="009112E5">
      <w:pPr>
        <w:pStyle w:val="PlainText"/>
        <w:rPr>
          <w:rFonts w:ascii="Courier New" w:hAnsi="Courier New" w:cs="Courier New"/>
          <w:lang w:val="en-US"/>
        </w:rPr>
      </w:pPr>
      <w:r w:rsidRPr="009112E5">
        <w:rPr>
          <w:rFonts w:ascii="Courier New" w:hAnsi="Courier New" w:cs="Courier New"/>
          <w:lang w:val="en-US"/>
        </w:rPr>
        <w:lastRenderedPageBreak/>
        <w:t>T</w:t>
      </w:r>
      <w:r w:rsidR="005C6021" w:rsidRPr="009112E5">
        <w:rPr>
          <w:rFonts w:ascii="Courier New" w:hAnsi="Courier New" w:cs="Courier New"/>
          <w:lang w:val="en-US"/>
        </w:rPr>
        <w:t>he two samples have larger than 30 number of observations. The mean age of patients who survived is slightly smaller than those who did not.</w:t>
      </w:r>
    </w:p>
    <w:p w:rsidR="005C6021" w:rsidRDefault="00BD136B" w:rsidP="009112E5">
      <w:pPr>
        <w:pStyle w:val="PlainText"/>
        <w:rPr>
          <w:rFonts w:ascii="Courier New" w:hAnsi="Courier New" w:cs="Courier New"/>
          <w:lang w:val="en-US"/>
        </w:rPr>
      </w:pPr>
      <w:r w:rsidRPr="009112E5">
        <w:rPr>
          <w:rFonts w:ascii="Courier New" w:hAnsi="Courier New" w:cs="Courier New"/>
          <w:lang w:val="en-US"/>
        </w:rPr>
        <w:t xml:space="preserve">I will </w:t>
      </w:r>
      <w:r w:rsidR="005C6021" w:rsidRPr="009112E5">
        <w:rPr>
          <w:rFonts w:ascii="Courier New" w:hAnsi="Courier New" w:cs="Courier New"/>
          <w:lang w:val="en-US"/>
        </w:rPr>
        <w:t>now check if this is due to real difference between the two means or due to sampling variability. We are going to use 5% as our significance level.</w:t>
      </w:r>
    </w:p>
    <w:p w:rsidR="009112E5" w:rsidRPr="009112E5" w:rsidRDefault="009112E5" w:rsidP="009112E5">
      <w:pPr>
        <w:pStyle w:val="PlainText"/>
        <w:rPr>
          <w:rFonts w:ascii="Courier New" w:hAnsi="Courier New" w:cs="Courier New"/>
          <w:lang w:val="en-US"/>
        </w:rPr>
      </w:pPr>
    </w:p>
    <w:tbl>
      <w:tblPr>
        <w:tblW w:w="5616" w:type="dxa"/>
        <w:tblLook w:val="04A0" w:firstRow="1" w:lastRow="0" w:firstColumn="1" w:lastColumn="0" w:noHBand="0" w:noVBand="1"/>
      </w:tblPr>
      <w:tblGrid>
        <w:gridCol w:w="3049"/>
        <w:gridCol w:w="1603"/>
        <w:gridCol w:w="1477"/>
      </w:tblGrid>
      <w:tr w:rsidR="00BD136B" w:rsidRPr="00BD136B" w:rsidTr="00BD136B">
        <w:trPr>
          <w:trHeight w:val="320"/>
        </w:trPr>
        <w:tc>
          <w:tcPr>
            <w:tcW w:w="5616" w:type="dxa"/>
            <w:gridSpan w:val="3"/>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t-Test: Two-Sample Assuming Equal Variances</w:t>
            </w:r>
          </w:p>
        </w:tc>
      </w:tr>
      <w:tr w:rsidR="00BD136B" w:rsidRPr="00BD136B" w:rsidTr="00BD136B">
        <w:trPr>
          <w:trHeight w:val="34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p>
        </w:tc>
        <w:tc>
          <w:tcPr>
            <w:tcW w:w="1381"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p>
        </w:tc>
        <w:tc>
          <w:tcPr>
            <w:tcW w:w="1186"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p>
        </w:tc>
      </w:tr>
      <w:tr w:rsidR="00BD136B" w:rsidRPr="00BD136B" w:rsidTr="00BD136B">
        <w:trPr>
          <w:trHeight w:val="320"/>
        </w:trPr>
        <w:tc>
          <w:tcPr>
            <w:tcW w:w="3049" w:type="dxa"/>
            <w:tcBorders>
              <w:top w:val="single" w:sz="8" w:space="0" w:color="auto"/>
              <w:left w:val="nil"/>
              <w:bottom w:val="single" w:sz="4" w:space="0" w:color="auto"/>
              <w:right w:val="nil"/>
            </w:tcBorders>
            <w:shd w:val="clear" w:color="auto" w:fill="auto"/>
            <w:noWrap/>
            <w:vAlign w:val="bottom"/>
            <w:hideMark/>
          </w:tcPr>
          <w:p w:rsidR="00BD136B" w:rsidRPr="00BD136B" w:rsidRDefault="00BD136B" w:rsidP="00BD136B">
            <w:pPr>
              <w:jc w:val="center"/>
              <w:rPr>
                <w:rFonts w:ascii="Courier New" w:hAnsi="Courier New" w:cs="Courier New"/>
                <w:sz w:val="21"/>
                <w:szCs w:val="21"/>
                <w:lang w:val="en-US"/>
              </w:rPr>
            </w:pPr>
            <w:r w:rsidRPr="00BD136B">
              <w:rPr>
                <w:rFonts w:ascii="Courier New" w:hAnsi="Courier New" w:cs="Courier New"/>
                <w:sz w:val="21"/>
                <w:szCs w:val="21"/>
                <w:lang w:val="en-US"/>
              </w:rPr>
              <w:t> </w:t>
            </w:r>
          </w:p>
        </w:tc>
        <w:tc>
          <w:tcPr>
            <w:tcW w:w="1381" w:type="dxa"/>
            <w:tcBorders>
              <w:top w:val="single" w:sz="8" w:space="0" w:color="auto"/>
              <w:left w:val="nil"/>
              <w:bottom w:val="single" w:sz="4" w:space="0" w:color="auto"/>
              <w:right w:val="nil"/>
            </w:tcBorders>
            <w:shd w:val="clear" w:color="auto" w:fill="auto"/>
            <w:noWrap/>
            <w:vAlign w:val="bottom"/>
            <w:hideMark/>
          </w:tcPr>
          <w:p w:rsidR="00BD136B" w:rsidRPr="00BD136B" w:rsidRDefault="00BD136B" w:rsidP="00BD136B">
            <w:pPr>
              <w:jc w:val="center"/>
              <w:rPr>
                <w:rFonts w:ascii="Courier New" w:hAnsi="Courier New" w:cs="Courier New"/>
                <w:sz w:val="21"/>
                <w:szCs w:val="21"/>
                <w:lang w:val="en-US"/>
              </w:rPr>
            </w:pPr>
            <w:r w:rsidRPr="00BD136B">
              <w:rPr>
                <w:rFonts w:ascii="Courier New" w:hAnsi="Courier New" w:cs="Courier New"/>
                <w:sz w:val="21"/>
                <w:szCs w:val="21"/>
                <w:lang w:val="en-US"/>
              </w:rPr>
              <w:t>Variable 1</w:t>
            </w:r>
          </w:p>
        </w:tc>
        <w:tc>
          <w:tcPr>
            <w:tcW w:w="1186" w:type="dxa"/>
            <w:tcBorders>
              <w:top w:val="single" w:sz="8" w:space="0" w:color="auto"/>
              <w:left w:val="nil"/>
              <w:bottom w:val="single" w:sz="4" w:space="0" w:color="auto"/>
              <w:right w:val="nil"/>
            </w:tcBorders>
            <w:shd w:val="clear" w:color="auto" w:fill="auto"/>
            <w:noWrap/>
            <w:vAlign w:val="bottom"/>
            <w:hideMark/>
          </w:tcPr>
          <w:p w:rsidR="00BD136B" w:rsidRPr="00BD136B" w:rsidRDefault="00BD136B" w:rsidP="00BD136B">
            <w:pPr>
              <w:jc w:val="center"/>
              <w:rPr>
                <w:rFonts w:ascii="Courier New" w:hAnsi="Courier New" w:cs="Courier New"/>
                <w:sz w:val="21"/>
                <w:szCs w:val="21"/>
                <w:lang w:val="en-US"/>
              </w:rPr>
            </w:pPr>
            <w:r w:rsidRPr="00BD136B">
              <w:rPr>
                <w:rFonts w:ascii="Courier New" w:hAnsi="Courier New" w:cs="Courier New"/>
                <w:sz w:val="21"/>
                <w:szCs w:val="21"/>
                <w:lang w:val="en-US"/>
              </w:rPr>
              <w:t>Variable 2</w:t>
            </w: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Mean</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52.01777778</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53.6790123</w:t>
            </w: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Variance</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121.2675397</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103.370679</w:t>
            </w: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Observations</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225</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81</w:t>
            </w: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Pooled Variance</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116.5578395</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Hypothesized Mean Difference</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0</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df</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304</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t Stat</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-1.187499049</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P(T&lt;=t) one-tail</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0.117978926</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t Critical one-tail</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1.649881428</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p>
        </w:tc>
      </w:tr>
      <w:tr w:rsidR="00BD136B" w:rsidRPr="00BD136B" w:rsidTr="00BD136B">
        <w:trPr>
          <w:trHeight w:val="320"/>
        </w:trPr>
        <w:tc>
          <w:tcPr>
            <w:tcW w:w="3049" w:type="dxa"/>
            <w:tcBorders>
              <w:top w:val="nil"/>
              <w:left w:val="nil"/>
              <w:bottom w:val="nil"/>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P(T&lt;=t) two-tail</w:t>
            </w:r>
          </w:p>
        </w:tc>
        <w:tc>
          <w:tcPr>
            <w:tcW w:w="1381"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0.235957851</w:t>
            </w:r>
          </w:p>
        </w:tc>
        <w:tc>
          <w:tcPr>
            <w:tcW w:w="1186" w:type="dxa"/>
            <w:tcBorders>
              <w:top w:val="nil"/>
              <w:left w:val="nil"/>
              <w:bottom w:val="nil"/>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p>
        </w:tc>
      </w:tr>
      <w:tr w:rsidR="00BD136B" w:rsidRPr="00BD136B" w:rsidTr="00BD136B">
        <w:trPr>
          <w:trHeight w:val="340"/>
        </w:trPr>
        <w:tc>
          <w:tcPr>
            <w:tcW w:w="3049" w:type="dxa"/>
            <w:tcBorders>
              <w:top w:val="nil"/>
              <w:left w:val="nil"/>
              <w:bottom w:val="single" w:sz="8" w:space="0" w:color="auto"/>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t Critical two-tail</w:t>
            </w:r>
          </w:p>
        </w:tc>
        <w:tc>
          <w:tcPr>
            <w:tcW w:w="1381" w:type="dxa"/>
            <w:tcBorders>
              <w:top w:val="nil"/>
              <w:left w:val="nil"/>
              <w:bottom w:val="single" w:sz="8" w:space="0" w:color="auto"/>
              <w:right w:val="nil"/>
            </w:tcBorders>
            <w:shd w:val="clear" w:color="auto" w:fill="auto"/>
            <w:noWrap/>
            <w:vAlign w:val="bottom"/>
            <w:hideMark/>
          </w:tcPr>
          <w:p w:rsidR="00BD136B" w:rsidRPr="00BD136B" w:rsidRDefault="00BD136B" w:rsidP="00BD136B">
            <w:pPr>
              <w:jc w:val="right"/>
              <w:rPr>
                <w:rFonts w:ascii="Courier New" w:hAnsi="Courier New" w:cs="Courier New"/>
                <w:sz w:val="21"/>
                <w:szCs w:val="21"/>
                <w:lang w:val="en-US"/>
              </w:rPr>
            </w:pPr>
            <w:r w:rsidRPr="00BD136B">
              <w:rPr>
                <w:rFonts w:ascii="Courier New" w:hAnsi="Courier New" w:cs="Courier New"/>
                <w:sz w:val="21"/>
                <w:szCs w:val="21"/>
                <w:lang w:val="en-US"/>
              </w:rPr>
              <w:t>1.967798141</w:t>
            </w:r>
          </w:p>
        </w:tc>
        <w:tc>
          <w:tcPr>
            <w:tcW w:w="1186" w:type="dxa"/>
            <w:tcBorders>
              <w:top w:val="nil"/>
              <w:left w:val="nil"/>
              <w:bottom w:val="single" w:sz="8" w:space="0" w:color="auto"/>
              <w:right w:val="nil"/>
            </w:tcBorders>
            <w:shd w:val="clear" w:color="auto" w:fill="auto"/>
            <w:noWrap/>
            <w:vAlign w:val="bottom"/>
            <w:hideMark/>
          </w:tcPr>
          <w:p w:rsidR="00BD136B" w:rsidRPr="00BD136B" w:rsidRDefault="00BD136B" w:rsidP="00BD136B">
            <w:pPr>
              <w:rPr>
                <w:rFonts w:ascii="Courier New" w:hAnsi="Courier New" w:cs="Courier New"/>
                <w:sz w:val="21"/>
                <w:szCs w:val="21"/>
                <w:lang w:val="en-US"/>
              </w:rPr>
            </w:pPr>
            <w:r w:rsidRPr="00BD136B">
              <w:rPr>
                <w:rFonts w:ascii="Courier New" w:hAnsi="Courier New" w:cs="Courier New"/>
                <w:sz w:val="21"/>
                <w:szCs w:val="21"/>
                <w:lang w:val="en-US"/>
              </w:rPr>
              <w:t> </w:t>
            </w:r>
          </w:p>
        </w:tc>
      </w:tr>
    </w:tbl>
    <w:p w:rsidR="005C6021" w:rsidRPr="009112E5" w:rsidRDefault="005C6021" w:rsidP="00581080">
      <w:pPr>
        <w:rPr>
          <w:rFonts w:ascii="Courier New" w:hAnsi="Courier New" w:cs="Courier New"/>
          <w:sz w:val="21"/>
          <w:szCs w:val="21"/>
          <w:lang w:val="en-US"/>
        </w:rPr>
      </w:pPr>
    </w:p>
    <w:p w:rsidR="00BD136B" w:rsidRPr="009112E5" w:rsidRDefault="00BD136B" w:rsidP="00581080">
      <w:pPr>
        <w:rPr>
          <w:rFonts w:ascii="Courier New" w:hAnsi="Courier New" w:cs="Courier New"/>
          <w:sz w:val="21"/>
          <w:szCs w:val="21"/>
          <w:lang w:val="en-US"/>
        </w:rPr>
      </w:pPr>
      <w:r w:rsidRPr="009112E5">
        <w:rPr>
          <w:rFonts w:ascii="Courier New" w:hAnsi="Courier New" w:cs="Courier New"/>
          <w:sz w:val="21"/>
          <w:szCs w:val="21"/>
          <w:lang w:val="en-US"/>
        </w:rPr>
        <w:t>With a 5% level of significance and a p-value of 0.1179 and a t-statistic that is not extreme we can conclude that there is insufficient evidence to reject the null hypothesis.</w:t>
      </w:r>
    </w:p>
    <w:p w:rsidR="007C4959" w:rsidRPr="009112E5" w:rsidRDefault="007C4959" w:rsidP="00581080">
      <w:pPr>
        <w:rPr>
          <w:rFonts w:ascii="Courier New" w:hAnsi="Courier New" w:cs="Courier New"/>
          <w:sz w:val="21"/>
          <w:szCs w:val="21"/>
          <w:lang w:val="en-US"/>
        </w:rPr>
      </w:pPr>
    </w:p>
    <w:p w:rsidR="002F6F36" w:rsidRDefault="002F6F36">
      <w:pPr>
        <w:rPr>
          <w:rFonts w:ascii="Courier New" w:hAnsi="Courier New" w:cs="Courier New"/>
          <w:sz w:val="21"/>
          <w:szCs w:val="21"/>
          <w:lang w:val="en-US"/>
        </w:rPr>
      </w:pPr>
      <w:r>
        <w:rPr>
          <w:rFonts w:ascii="Courier New" w:hAnsi="Courier New" w:cs="Courier New"/>
          <w:sz w:val="21"/>
          <w:szCs w:val="21"/>
          <w:lang w:val="en-US"/>
        </w:rPr>
        <w:br w:type="page"/>
      </w:r>
    </w:p>
    <w:p w:rsidR="007C4959" w:rsidRDefault="007C4959" w:rsidP="002F6F36">
      <w:pPr>
        <w:pStyle w:val="ListParagraph"/>
        <w:numPr>
          <w:ilvl w:val="0"/>
          <w:numId w:val="3"/>
        </w:numPr>
        <w:rPr>
          <w:rFonts w:ascii="Courier New" w:hAnsi="Courier New" w:cs="Courier New"/>
          <w:b/>
          <w:bCs/>
          <w:sz w:val="21"/>
          <w:szCs w:val="21"/>
          <w:lang w:val="en-US"/>
        </w:rPr>
      </w:pPr>
      <w:r w:rsidRPr="002F6F36">
        <w:rPr>
          <w:rFonts w:ascii="Courier New" w:hAnsi="Courier New" w:cs="Courier New"/>
          <w:b/>
          <w:bCs/>
          <w:sz w:val="21"/>
          <w:szCs w:val="21"/>
          <w:lang w:val="en-US"/>
        </w:rPr>
        <w:lastRenderedPageBreak/>
        <w:t>Are patients with lower number of positive axillary nodes</w:t>
      </w:r>
      <w:r w:rsidR="009112E5" w:rsidRPr="002F6F36">
        <w:rPr>
          <w:rFonts w:ascii="Courier New" w:hAnsi="Courier New" w:cs="Courier New"/>
          <w:b/>
          <w:bCs/>
          <w:sz w:val="21"/>
          <w:szCs w:val="21"/>
          <w:lang w:val="en-US"/>
        </w:rPr>
        <w:t xml:space="preserve"> </w:t>
      </w:r>
      <w:r w:rsidRPr="002F6F36">
        <w:rPr>
          <w:rFonts w:ascii="Courier New" w:hAnsi="Courier New" w:cs="Courier New"/>
          <w:b/>
          <w:bCs/>
          <w:sz w:val="21"/>
          <w:szCs w:val="21"/>
          <w:lang w:val="en-US"/>
        </w:rPr>
        <w:t>detected before operation more likely to survive?</w:t>
      </w:r>
    </w:p>
    <w:p w:rsidR="002F6F36" w:rsidRPr="002F6F36" w:rsidRDefault="002F6F36" w:rsidP="002F6F36">
      <w:pPr>
        <w:pStyle w:val="ListParagraph"/>
        <w:rPr>
          <w:rFonts w:ascii="Courier New" w:hAnsi="Courier New" w:cs="Courier New"/>
          <w:b/>
          <w:bCs/>
          <w:sz w:val="21"/>
          <w:szCs w:val="21"/>
          <w:lang w:val="en-US"/>
        </w:rPr>
      </w:pPr>
    </w:p>
    <w:p w:rsidR="007C4959" w:rsidRPr="009112E5" w:rsidRDefault="007C4959" w:rsidP="00581080">
      <w:pPr>
        <w:rPr>
          <w:rFonts w:ascii="Courier New" w:hAnsi="Courier New" w:cs="Courier New"/>
          <w:sz w:val="21"/>
          <w:szCs w:val="21"/>
          <w:lang w:val="en-US"/>
        </w:rPr>
      </w:pPr>
      <w:r w:rsidRPr="007D6F02">
        <w:rPr>
          <w:rFonts w:ascii="Courier New" w:hAnsi="Courier New" w:cs="Courier New"/>
          <w:b/>
          <w:bCs/>
          <w:sz w:val="21"/>
          <w:szCs w:val="21"/>
          <w:lang w:val="en-US"/>
        </w:rPr>
        <w:t>H</w:t>
      </w:r>
      <w:r w:rsidRPr="007D6F02">
        <w:rPr>
          <w:rFonts w:ascii="Courier New" w:hAnsi="Courier New" w:cs="Courier New"/>
          <w:b/>
          <w:bCs/>
          <w:sz w:val="21"/>
          <w:szCs w:val="21"/>
          <w:vertAlign w:val="subscript"/>
          <w:lang w:val="en-US"/>
        </w:rPr>
        <w:t>o</w:t>
      </w:r>
      <w:r w:rsidRPr="007D6F02">
        <w:rPr>
          <w:rFonts w:ascii="Courier New" w:hAnsi="Courier New" w:cs="Courier New"/>
          <w:b/>
          <w:bCs/>
          <w:sz w:val="21"/>
          <w:szCs w:val="21"/>
          <w:lang w:val="en-US"/>
        </w:rPr>
        <w:t>:</w:t>
      </w:r>
      <w:r w:rsidRPr="009112E5">
        <w:rPr>
          <w:rFonts w:ascii="Courier New" w:hAnsi="Courier New" w:cs="Courier New"/>
          <w:sz w:val="21"/>
          <w:szCs w:val="21"/>
          <w:lang w:val="en-US"/>
        </w:rPr>
        <w:t xml:space="preserve"> There no relationship between the number of positive </w:t>
      </w:r>
      <w:r w:rsidR="005C3A52" w:rsidRPr="009112E5">
        <w:rPr>
          <w:rFonts w:ascii="Courier New" w:hAnsi="Courier New" w:cs="Courier New"/>
          <w:sz w:val="21"/>
          <w:szCs w:val="21"/>
          <w:lang w:val="en-US"/>
        </w:rPr>
        <w:t>axillary</w:t>
      </w:r>
      <w:r w:rsidRPr="009112E5">
        <w:rPr>
          <w:rFonts w:ascii="Courier New" w:hAnsi="Courier New" w:cs="Courier New"/>
          <w:sz w:val="21"/>
          <w:szCs w:val="21"/>
          <w:lang w:val="en-US"/>
        </w:rPr>
        <w:t xml:space="preserve"> nodes detected and survival status.</w:t>
      </w:r>
      <w:r w:rsidR="007D6F02">
        <w:rPr>
          <w:rFonts w:ascii="Courier New" w:hAnsi="Courier New" w:cs="Courier New"/>
          <w:sz w:val="21"/>
          <w:szCs w:val="21"/>
          <w:lang w:val="en-US"/>
        </w:rPr>
        <w:t>µ</w:t>
      </w:r>
      <w:r w:rsidR="007D6F02" w:rsidRPr="007D6F02">
        <w:rPr>
          <w:rFonts w:ascii="Courier New" w:hAnsi="Courier New" w:cs="Courier New"/>
          <w:sz w:val="21"/>
          <w:szCs w:val="21"/>
          <w:vertAlign w:val="subscript"/>
          <w:lang w:val="en-US"/>
        </w:rPr>
        <w:t>1</w:t>
      </w:r>
      <w:r w:rsidRPr="009112E5">
        <w:rPr>
          <w:rFonts w:ascii="Courier New" w:hAnsi="Courier New" w:cs="Courier New"/>
          <w:sz w:val="21"/>
          <w:szCs w:val="21"/>
          <w:lang w:val="en-US"/>
        </w:rPr>
        <w:t>-</w:t>
      </w:r>
      <w:r w:rsidR="007D6F02">
        <w:rPr>
          <w:rFonts w:ascii="Courier New" w:hAnsi="Courier New" w:cs="Courier New"/>
          <w:sz w:val="21"/>
          <w:szCs w:val="21"/>
          <w:lang w:val="en-US"/>
        </w:rPr>
        <w:t>µ</w:t>
      </w:r>
      <w:r w:rsidRPr="007D6F02">
        <w:rPr>
          <w:rFonts w:ascii="Courier New" w:hAnsi="Courier New" w:cs="Courier New"/>
          <w:sz w:val="21"/>
          <w:szCs w:val="21"/>
          <w:vertAlign w:val="subscript"/>
          <w:lang w:val="en-US"/>
        </w:rPr>
        <w:t>2</w:t>
      </w:r>
      <w:r w:rsidRPr="009112E5">
        <w:rPr>
          <w:rFonts w:ascii="Courier New" w:hAnsi="Courier New" w:cs="Courier New"/>
          <w:sz w:val="21"/>
          <w:szCs w:val="21"/>
          <w:lang w:val="en-US"/>
        </w:rPr>
        <w:t xml:space="preserve"> = 0</w:t>
      </w:r>
    </w:p>
    <w:p w:rsidR="007C4959" w:rsidRDefault="007C4959" w:rsidP="00581080">
      <w:pPr>
        <w:rPr>
          <w:rFonts w:ascii="Courier New" w:hAnsi="Courier New" w:cs="Courier New"/>
          <w:sz w:val="21"/>
          <w:szCs w:val="21"/>
          <w:lang w:val="en-US"/>
        </w:rPr>
      </w:pPr>
      <w:r w:rsidRPr="007D6F02">
        <w:rPr>
          <w:rFonts w:ascii="Courier New" w:hAnsi="Courier New" w:cs="Courier New"/>
          <w:b/>
          <w:bCs/>
          <w:sz w:val="21"/>
          <w:szCs w:val="21"/>
          <w:lang w:val="en-US"/>
        </w:rPr>
        <w:t>H</w:t>
      </w:r>
      <w:r w:rsidR="002F6F36" w:rsidRPr="007D6F02">
        <w:rPr>
          <w:rFonts w:ascii="Courier New" w:hAnsi="Courier New" w:cs="Courier New"/>
          <w:b/>
          <w:bCs/>
          <w:sz w:val="21"/>
          <w:szCs w:val="21"/>
          <w:vertAlign w:val="subscript"/>
          <w:lang w:val="en-US"/>
        </w:rPr>
        <w:t>a</w:t>
      </w:r>
      <w:r w:rsidRPr="007D6F02">
        <w:rPr>
          <w:rFonts w:ascii="Courier New" w:hAnsi="Courier New" w:cs="Courier New"/>
          <w:b/>
          <w:bCs/>
          <w:sz w:val="21"/>
          <w:szCs w:val="21"/>
          <w:lang w:val="en-US"/>
        </w:rPr>
        <w:t>:</w:t>
      </w:r>
      <w:r w:rsidRPr="009112E5">
        <w:rPr>
          <w:rFonts w:ascii="Courier New" w:hAnsi="Courier New" w:cs="Courier New"/>
          <w:sz w:val="21"/>
          <w:szCs w:val="21"/>
          <w:lang w:val="en-US"/>
        </w:rPr>
        <w:t xml:space="preserve"> </w:t>
      </w:r>
      <w:r w:rsidR="005C3A52" w:rsidRPr="009112E5">
        <w:rPr>
          <w:rFonts w:ascii="Courier New" w:hAnsi="Courier New" w:cs="Courier New"/>
          <w:sz w:val="21"/>
          <w:szCs w:val="21"/>
          <w:lang w:val="en-US"/>
        </w:rPr>
        <w:t>Patients</w:t>
      </w:r>
      <w:r w:rsidRPr="009112E5">
        <w:rPr>
          <w:rFonts w:ascii="Courier New" w:hAnsi="Courier New" w:cs="Courier New"/>
          <w:sz w:val="21"/>
          <w:szCs w:val="21"/>
          <w:lang w:val="en-US"/>
        </w:rPr>
        <w:t xml:space="preserve"> with lower number of positive axillary nodes detected before operation more likely to survive. </w:t>
      </w:r>
      <w:r w:rsidR="007D6F02">
        <w:rPr>
          <w:rFonts w:ascii="Courier New" w:hAnsi="Courier New" w:cs="Courier New"/>
          <w:sz w:val="21"/>
          <w:szCs w:val="21"/>
          <w:lang w:val="en-US"/>
        </w:rPr>
        <w:t>µ</w:t>
      </w:r>
      <w:r w:rsidRPr="007D6F02">
        <w:rPr>
          <w:rFonts w:ascii="Courier New" w:hAnsi="Courier New" w:cs="Courier New"/>
          <w:sz w:val="21"/>
          <w:szCs w:val="21"/>
          <w:vertAlign w:val="subscript"/>
          <w:lang w:val="en-US"/>
        </w:rPr>
        <w:t>1</w:t>
      </w:r>
      <w:r w:rsidRPr="009112E5">
        <w:rPr>
          <w:rFonts w:ascii="Courier New" w:hAnsi="Courier New" w:cs="Courier New"/>
          <w:sz w:val="21"/>
          <w:szCs w:val="21"/>
          <w:lang w:val="en-US"/>
        </w:rPr>
        <w:t>-</w:t>
      </w:r>
      <w:r w:rsidR="007D6F02">
        <w:rPr>
          <w:rFonts w:ascii="Courier New" w:hAnsi="Courier New" w:cs="Courier New"/>
          <w:sz w:val="21"/>
          <w:szCs w:val="21"/>
          <w:lang w:val="en-US"/>
        </w:rPr>
        <w:t>µ</w:t>
      </w:r>
      <w:r w:rsidRPr="007D6F02">
        <w:rPr>
          <w:rFonts w:ascii="Courier New" w:hAnsi="Courier New" w:cs="Courier New"/>
          <w:sz w:val="21"/>
          <w:szCs w:val="21"/>
          <w:vertAlign w:val="subscript"/>
          <w:lang w:val="en-US"/>
        </w:rPr>
        <w:t>2</w:t>
      </w:r>
      <w:r w:rsidRPr="009112E5">
        <w:rPr>
          <w:rFonts w:ascii="Courier New" w:hAnsi="Courier New" w:cs="Courier New"/>
          <w:sz w:val="21"/>
          <w:szCs w:val="21"/>
          <w:lang w:val="en-US"/>
        </w:rPr>
        <w:t xml:space="preserve"> &lt; 2</w:t>
      </w:r>
    </w:p>
    <w:p w:rsidR="009A74A6" w:rsidRDefault="009A74A6" w:rsidP="00581080">
      <w:pPr>
        <w:rPr>
          <w:rFonts w:ascii="Courier New" w:hAnsi="Courier New" w:cs="Courier New"/>
          <w:sz w:val="21"/>
          <w:szCs w:val="21"/>
          <w:lang w:val="en-US"/>
        </w:rPr>
      </w:pPr>
    </w:p>
    <w:p w:rsidR="009A74A6" w:rsidRPr="009112E5" w:rsidRDefault="009A74A6" w:rsidP="009A74A6">
      <w:pPr>
        <w:rPr>
          <w:rFonts w:ascii="Courier New" w:hAnsi="Courier New" w:cs="Courier New"/>
          <w:sz w:val="21"/>
          <w:szCs w:val="21"/>
          <w:lang w:val="en-US"/>
        </w:rPr>
      </w:pPr>
      <w:r w:rsidRPr="009112E5">
        <w:rPr>
          <w:rFonts w:ascii="Courier New" w:hAnsi="Courier New" w:cs="Courier New"/>
          <w:sz w:val="21"/>
          <w:szCs w:val="21"/>
          <w:lang w:val="en-US"/>
        </w:rPr>
        <w:t xml:space="preserve">I would need to perform two sample t-test in order to determine of the difference between the two-sample means is stat significant or not. A two-sample independent test would be appropriate since the samples are independent. </w:t>
      </w:r>
    </w:p>
    <w:p w:rsidR="009A74A6" w:rsidRPr="009112E5" w:rsidRDefault="009A74A6" w:rsidP="00581080">
      <w:pPr>
        <w:rPr>
          <w:rFonts w:ascii="Courier New" w:hAnsi="Courier New" w:cs="Courier New"/>
          <w:sz w:val="21"/>
          <w:szCs w:val="21"/>
          <w:lang w:val="en-US"/>
        </w:rPr>
      </w:pPr>
    </w:p>
    <w:p w:rsidR="007C4959" w:rsidRDefault="007C4959" w:rsidP="00581080">
      <w:pPr>
        <w:rPr>
          <w:rFonts w:ascii="Courier New" w:hAnsi="Courier New" w:cs="Courier New"/>
          <w:sz w:val="21"/>
          <w:szCs w:val="21"/>
          <w:lang w:val="en-US"/>
        </w:rPr>
      </w:pPr>
    </w:p>
    <w:p w:rsidR="009A74A6" w:rsidRDefault="009A74A6" w:rsidP="00581080">
      <w:pPr>
        <w:rPr>
          <w:rFonts w:ascii="Courier New" w:hAnsi="Courier New" w:cs="Courier New"/>
          <w:sz w:val="21"/>
          <w:szCs w:val="21"/>
          <w:lang w:val="en-US"/>
        </w:rPr>
      </w:pPr>
      <w:r>
        <w:rPr>
          <w:noProof/>
        </w:rPr>
        <w:drawing>
          <wp:inline distT="0" distB="0" distL="0" distR="0" wp14:anchorId="1B607471" wp14:editId="0D930C38">
            <wp:extent cx="3035300" cy="4305300"/>
            <wp:effectExtent l="0" t="0" r="12700" b="12700"/>
            <wp:docPr id="1130641037" name="Chart 1">
              <a:extLst xmlns:a="http://schemas.openxmlformats.org/drawingml/2006/main">
                <a:ext uri="{FF2B5EF4-FFF2-40B4-BE49-F238E27FC236}">
                  <a16:creationId xmlns:a16="http://schemas.microsoft.com/office/drawing/2014/main" id="{853E3AFE-E84C-CE99-64C2-42AB4FA7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Courier New" w:hAnsi="Courier New" w:cs="Courier New"/>
          <w:sz w:val="21"/>
          <w:szCs w:val="21"/>
          <w:lang w:val="en-US"/>
        </w:rPr>
        <w:t xml:space="preserve"> </w:t>
      </w:r>
      <w:r>
        <w:rPr>
          <w:noProof/>
        </w:rPr>
        <w:drawing>
          <wp:inline distT="0" distB="0" distL="0" distR="0" wp14:anchorId="4DA88D89" wp14:editId="0ADF19D9">
            <wp:extent cx="2489200" cy="4305300"/>
            <wp:effectExtent l="0" t="0" r="12700" b="12700"/>
            <wp:docPr id="119252259" name="Chart 1">
              <a:extLst xmlns:a="http://schemas.openxmlformats.org/drawingml/2006/main">
                <a:ext uri="{FF2B5EF4-FFF2-40B4-BE49-F238E27FC236}">
                  <a16:creationId xmlns:a16="http://schemas.microsoft.com/office/drawing/2014/main" id="{1A60BCFE-0141-95A2-A3B7-75BDF913AA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74A6" w:rsidRPr="009112E5" w:rsidRDefault="009A74A6" w:rsidP="00581080">
      <w:pPr>
        <w:rPr>
          <w:rFonts w:ascii="Courier New" w:hAnsi="Courier New" w:cs="Courier New"/>
          <w:sz w:val="21"/>
          <w:szCs w:val="21"/>
          <w:lang w:val="en-US"/>
        </w:rPr>
      </w:pPr>
    </w:p>
    <w:p w:rsidR="000B74CE" w:rsidRPr="009112E5" w:rsidRDefault="000B74CE" w:rsidP="00581080">
      <w:pPr>
        <w:rPr>
          <w:rFonts w:ascii="Courier New" w:hAnsi="Courier New" w:cs="Courier New"/>
          <w:sz w:val="21"/>
          <w:szCs w:val="21"/>
          <w:lang w:val="en-US"/>
        </w:rPr>
      </w:pPr>
    </w:p>
    <w:p w:rsidR="000B74CE" w:rsidRPr="009112E5" w:rsidRDefault="000B74CE" w:rsidP="00581080">
      <w:pPr>
        <w:rPr>
          <w:rFonts w:ascii="Courier New" w:hAnsi="Courier New" w:cs="Courier New"/>
          <w:sz w:val="21"/>
          <w:szCs w:val="21"/>
          <w:lang w:val="en-US"/>
        </w:rPr>
      </w:pPr>
    </w:p>
    <w:tbl>
      <w:tblPr>
        <w:tblW w:w="2600" w:type="dxa"/>
        <w:tblLook w:val="04A0" w:firstRow="1" w:lastRow="0" w:firstColumn="1" w:lastColumn="0" w:noHBand="0" w:noVBand="1"/>
      </w:tblPr>
      <w:tblGrid>
        <w:gridCol w:w="1300"/>
        <w:gridCol w:w="1477"/>
      </w:tblGrid>
      <w:tr w:rsidR="000B74CE" w:rsidRPr="000B74CE" w:rsidTr="000B74CE">
        <w:trPr>
          <w:trHeight w:val="320"/>
        </w:trPr>
        <w:tc>
          <w:tcPr>
            <w:tcW w:w="1300" w:type="dxa"/>
            <w:tcBorders>
              <w:top w:val="nil"/>
              <w:left w:val="nil"/>
              <w:bottom w:val="nil"/>
              <w:right w:val="nil"/>
            </w:tcBorders>
            <w:shd w:val="clear" w:color="auto" w:fill="auto"/>
            <w:noWrap/>
            <w:vAlign w:val="bottom"/>
            <w:hideMark/>
          </w:tcPr>
          <w:p w:rsidR="000B74CE" w:rsidRPr="000B74CE" w:rsidRDefault="000B74CE" w:rsidP="000B74CE">
            <w:pPr>
              <w:rPr>
                <w:rFonts w:ascii="Courier New" w:hAnsi="Courier New" w:cs="Courier New"/>
                <w:sz w:val="21"/>
                <w:szCs w:val="21"/>
                <w:lang w:val="en-US"/>
              </w:rPr>
            </w:pPr>
            <w:r w:rsidRPr="000B74CE">
              <w:rPr>
                <w:rFonts w:ascii="Courier New" w:hAnsi="Courier New" w:cs="Courier New"/>
                <w:sz w:val="21"/>
                <w:szCs w:val="21"/>
                <w:lang w:val="en-US"/>
              </w:rPr>
              <w:t>Mean (1)</w:t>
            </w:r>
          </w:p>
        </w:tc>
        <w:tc>
          <w:tcPr>
            <w:tcW w:w="1300" w:type="dxa"/>
            <w:tcBorders>
              <w:top w:val="nil"/>
              <w:left w:val="nil"/>
              <w:bottom w:val="nil"/>
              <w:right w:val="nil"/>
            </w:tcBorders>
            <w:shd w:val="clear" w:color="auto" w:fill="auto"/>
            <w:noWrap/>
            <w:vAlign w:val="bottom"/>
            <w:hideMark/>
          </w:tcPr>
          <w:p w:rsidR="000B74CE" w:rsidRPr="000B74CE" w:rsidRDefault="000B74CE" w:rsidP="000B74CE">
            <w:pPr>
              <w:jc w:val="right"/>
              <w:rPr>
                <w:rFonts w:ascii="Courier New" w:hAnsi="Courier New" w:cs="Courier New"/>
                <w:sz w:val="21"/>
                <w:szCs w:val="21"/>
                <w:lang w:val="en-US"/>
              </w:rPr>
            </w:pPr>
            <w:r w:rsidRPr="000B74CE">
              <w:rPr>
                <w:rFonts w:ascii="Courier New" w:hAnsi="Courier New" w:cs="Courier New"/>
                <w:sz w:val="21"/>
                <w:szCs w:val="21"/>
                <w:lang w:val="en-US"/>
              </w:rPr>
              <w:t>2.79111111</w:t>
            </w:r>
          </w:p>
        </w:tc>
      </w:tr>
      <w:tr w:rsidR="000B74CE" w:rsidRPr="000B74CE" w:rsidTr="000B74CE">
        <w:trPr>
          <w:trHeight w:val="320"/>
        </w:trPr>
        <w:tc>
          <w:tcPr>
            <w:tcW w:w="1300" w:type="dxa"/>
            <w:tcBorders>
              <w:top w:val="nil"/>
              <w:left w:val="nil"/>
              <w:bottom w:val="nil"/>
              <w:right w:val="nil"/>
            </w:tcBorders>
            <w:shd w:val="clear" w:color="auto" w:fill="auto"/>
            <w:noWrap/>
            <w:vAlign w:val="bottom"/>
            <w:hideMark/>
          </w:tcPr>
          <w:p w:rsidR="000B74CE" w:rsidRPr="000B74CE" w:rsidRDefault="000B74CE" w:rsidP="000B74CE">
            <w:pPr>
              <w:rPr>
                <w:rFonts w:ascii="Courier New" w:hAnsi="Courier New" w:cs="Courier New"/>
                <w:sz w:val="21"/>
                <w:szCs w:val="21"/>
                <w:lang w:val="en-US"/>
              </w:rPr>
            </w:pPr>
            <w:r w:rsidRPr="000B74CE">
              <w:rPr>
                <w:rFonts w:ascii="Courier New" w:hAnsi="Courier New" w:cs="Courier New"/>
                <w:sz w:val="21"/>
                <w:szCs w:val="21"/>
                <w:lang w:val="en-US"/>
              </w:rPr>
              <w:t>Mean(2)</w:t>
            </w:r>
          </w:p>
        </w:tc>
        <w:tc>
          <w:tcPr>
            <w:tcW w:w="1300" w:type="dxa"/>
            <w:tcBorders>
              <w:top w:val="nil"/>
              <w:left w:val="nil"/>
              <w:bottom w:val="nil"/>
              <w:right w:val="nil"/>
            </w:tcBorders>
            <w:shd w:val="clear" w:color="auto" w:fill="auto"/>
            <w:noWrap/>
            <w:vAlign w:val="bottom"/>
            <w:hideMark/>
          </w:tcPr>
          <w:p w:rsidR="000B74CE" w:rsidRPr="000B74CE" w:rsidRDefault="000B74CE" w:rsidP="000B74CE">
            <w:pPr>
              <w:jc w:val="right"/>
              <w:rPr>
                <w:rFonts w:ascii="Courier New" w:hAnsi="Courier New" w:cs="Courier New"/>
                <w:sz w:val="21"/>
                <w:szCs w:val="21"/>
                <w:lang w:val="en-US"/>
              </w:rPr>
            </w:pPr>
            <w:r w:rsidRPr="000B74CE">
              <w:rPr>
                <w:rFonts w:ascii="Courier New" w:hAnsi="Courier New" w:cs="Courier New"/>
                <w:sz w:val="21"/>
                <w:szCs w:val="21"/>
                <w:lang w:val="en-US"/>
              </w:rPr>
              <w:t>7.45679012</w:t>
            </w:r>
          </w:p>
        </w:tc>
      </w:tr>
    </w:tbl>
    <w:p w:rsidR="000B74CE" w:rsidRPr="009112E5" w:rsidRDefault="000B74CE" w:rsidP="00581080">
      <w:pPr>
        <w:rPr>
          <w:rFonts w:ascii="Courier New" w:hAnsi="Courier New" w:cs="Courier New"/>
          <w:sz w:val="21"/>
          <w:szCs w:val="21"/>
          <w:lang w:val="en-US"/>
        </w:rPr>
      </w:pPr>
    </w:p>
    <w:p w:rsidR="000B74CE" w:rsidRPr="009112E5" w:rsidRDefault="000B74CE" w:rsidP="00581080">
      <w:pPr>
        <w:rPr>
          <w:rFonts w:ascii="Courier New" w:hAnsi="Courier New" w:cs="Courier New"/>
          <w:sz w:val="21"/>
          <w:szCs w:val="21"/>
          <w:lang w:val="en-US"/>
        </w:rPr>
      </w:pPr>
      <w:r w:rsidRPr="009112E5">
        <w:rPr>
          <w:rFonts w:ascii="Courier New" w:hAnsi="Courier New" w:cs="Courier New"/>
          <w:sz w:val="21"/>
          <w:szCs w:val="21"/>
          <w:lang w:val="en-US"/>
        </w:rPr>
        <w:t xml:space="preserve">The mean number of positive axillary nodes of </w:t>
      </w:r>
      <w:r w:rsidR="005C3A52" w:rsidRPr="009112E5">
        <w:rPr>
          <w:rFonts w:ascii="Courier New" w:hAnsi="Courier New" w:cs="Courier New"/>
          <w:sz w:val="21"/>
          <w:szCs w:val="21"/>
          <w:lang w:val="en-US"/>
        </w:rPr>
        <w:t>patients</w:t>
      </w:r>
      <w:r w:rsidRPr="009112E5">
        <w:rPr>
          <w:rFonts w:ascii="Courier New" w:hAnsi="Courier New" w:cs="Courier New"/>
          <w:sz w:val="21"/>
          <w:szCs w:val="21"/>
          <w:lang w:val="en-US"/>
        </w:rPr>
        <w:t xml:space="preserve"> who survived is smaller than those who did not. </w:t>
      </w:r>
    </w:p>
    <w:p w:rsidR="000B74CE" w:rsidRPr="009112E5" w:rsidRDefault="000B74CE" w:rsidP="00581080">
      <w:pPr>
        <w:rPr>
          <w:rFonts w:ascii="Courier New" w:hAnsi="Courier New" w:cs="Courier New"/>
          <w:sz w:val="21"/>
          <w:szCs w:val="21"/>
          <w:lang w:val="en-US"/>
        </w:rPr>
      </w:pPr>
      <w:r w:rsidRPr="009112E5">
        <w:rPr>
          <w:rFonts w:ascii="Courier New" w:hAnsi="Courier New" w:cs="Courier New"/>
          <w:sz w:val="21"/>
          <w:szCs w:val="21"/>
          <w:lang w:val="en-US"/>
        </w:rPr>
        <w:t xml:space="preserve">I would now check to see if these is due to real difference or due to sampling variability </w:t>
      </w:r>
      <w:r w:rsidR="005C3A52" w:rsidRPr="009112E5">
        <w:rPr>
          <w:rFonts w:ascii="Courier New" w:hAnsi="Courier New" w:cs="Courier New"/>
          <w:sz w:val="21"/>
          <w:szCs w:val="21"/>
          <w:lang w:val="en-US"/>
        </w:rPr>
        <w:t>using</w:t>
      </w:r>
      <w:r w:rsidRPr="009112E5">
        <w:rPr>
          <w:rFonts w:ascii="Courier New" w:hAnsi="Courier New" w:cs="Courier New"/>
          <w:sz w:val="21"/>
          <w:szCs w:val="21"/>
          <w:lang w:val="en-US"/>
        </w:rPr>
        <w:t xml:space="preserve"> 5% as the significance level</w:t>
      </w:r>
    </w:p>
    <w:p w:rsidR="000B74CE" w:rsidRPr="009112E5" w:rsidRDefault="000B74CE" w:rsidP="00581080">
      <w:pPr>
        <w:rPr>
          <w:rFonts w:ascii="Courier New" w:hAnsi="Courier New" w:cs="Courier New"/>
          <w:sz w:val="21"/>
          <w:szCs w:val="21"/>
          <w:lang w:val="en-US"/>
        </w:rPr>
      </w:pPr>
    </w:p>
    <w:p w:rsidR="000B74CE" w:rsidRDefault="000B74CE" w:rsidP="00581080">
      <w:pPr>
        <w:rPr>
          <w:rFonts w:ascii="Courier New" w:hAnsi="Courier New" w:cs="Courier New"/>
          <w:sz w:val="21"/>
          <w:szCs w:val="21"/>
          <w:lang w:val="en-US"/>
        </w:rPr>
      </w:pPr>
    </w:p>
    <w:p w:rsidR="009A74A6" w:rsidRDefault="009A74A6" w:rsidP="00581080">
      <w:pPr>
        <w:rPr>
          <w:rFonts w:ascii="Courier New" w:hAnsi="Courier New" w:cs="Courier New"/>
          <w:sz w:val="21"/>
          <w:szCs w:val="21"/>
          <w:lang w:val="en-US"/>
        </w:rPr>
      </w:pPr>
    </w:p>
    <w:p w:rsidR="009A74A6" w:rsidRDefault="009A74A6" w:rsidP="00581080">
      <w:pPr>
        <w:rPr>
          <w:rFonts w:ascii="Courier New" w:hAnsi="Courier New" w:cs="Courier New"/>
          <w:sz w:val="21"/>
          <w:szCs w:val="21"/>
          <w:lang w:val="en-US"/>
        </w:rPr>
      </w:pPr>
    </w:p>
    <w:p w:rsidR="009A74A6" w:rsidRDefault="009A74A6" w:rsidP="00581080">
      <w:pPr>
        <w:rPr>
          <w:rFonts w:ascii="Courier New" w:hAnsi="Courier New" w:cs="Courier New"/>
          <w:sz w:val="21"/>
          <w:szCs w:val="21"/>
          <w:lang w:val="en-US"/>
        </w:rPr>
      </w:pPr>
      <w:r>
        <w:rPr>
          <w:rFonts w:ascii="Courier New" w:hAnsi="Courier New" w:cs="Courier New"/>
          <w:sz w:val="21"/>
          <w:szCs w:val="21"/>
          <w:lang w:val="en-US"/>
        </w:rPr>
        <w:br w:type="page"/>
      </w:r>
    </w:p>
    <w:p w:rsidR="009A74A6" w:rsidRPr="009112E5" w:rsidRDefault="009A74A6" w:rsidP="00581080">
      <w:pPr>
        <w:rPr>
          <w:rFonts w:ascii="Courier New" w:hAnsi="Courier New" w:cs="Courier New"/>
          <w:sz w:val="21"/>
          <w:szCs w:val="21"/>
          <w:lang w:val="en-US"/>
        </w:rPr>
      </w:pPr>
    </w:p>
    <w:p w:rsidR="000B74CE" w:rsidRPr="009112E5" w:rsidRDefault="000B74CE" w:rsidP="00581080">
      <w:pPr>
        <w:rPr>
          <w:rFonts w:ascii="Courier New" w:hAnsi="Courier New" w:cs="Courier New"/>
          <w:sz w:val="21"/>
          <w:szCs w:val="21"/>
          <w:lang w:val="en-US"/>
        </w:rPr>
      </w:pPr>
    </w:p>
    <w:tbl>
      <w:tblPr>
        <w:tblW w:w="4530" w:type="dxa"/>
        <w:tblLook w:val="04A0" w:firstRow="1" w:lastRow="0" w:firstColumn="1" w:lastColumn="0" w:noHBand="0" w:noVBand="1"/>
      </w:tblPr>
      <w:tblGrid>
        <w:gridCol w:w="2384"/>
        <w:gridCol w:w="1477"/>
        <w:gridCol w:w="1477"/>
      </w:tblGrid>
      <w:tr w:rsidR="005C3A52" w:rsidRPr="005C3A52" w:rsidTr="005C3A52">
        <w:trPr>
          <w:trHeight w:val="297"/>
        </w:trPr>
        <w:tc>
          <w:tcPr>
            <w:tcW w:w="4530" w:type="dxa"/>
            <w:gridSpan w:val="3"/>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t-Test: Two-Sample Assuming Equal Variances</w:t>
            </w:r>
          </w:p>
        </w:tc>
      </w:tr>
      <w:tr w:rsidR="005C3A52" w:rsidRPr="005C3A52" w:rsidTr="005C3A52">
        <w:trPr>
          <w:trHeight w:val="315"/>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p>
        </w:tc>
        <w:tc>
          <w:tcPr>
            <w:tcW w:w="1072"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p>
        </w:tc>
        <w:tc>
          <w:tcPr>
            <w:tcW w:w="1072"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p>
        </w:tc>
      </w:tr>
      <w:tr w:rsidR="005C3A52" w:rsidRPr="005C3A52" w:rsidTr="005C3A52">
        <w:trPr>
          <w:trHeight w:val="297"/>
        </w:trPr>
        <w:tc>
          <w:tcPr>
            <w:tcW w:w="2384" w:type="dxa"/>
            <w:tcBorders>
              <w:top w:val="single" w:sz="8" w:space="0" w:color="auto"/>
              <w:left w:val="nil"/>
              <w:bottom w:val="single" w:sz="4" w:space="0" w:color="auto"/>
              <w:right w:val="nil"/>
            </w:tcBorders>
            <w:shd w:val="clear" w:color="auto" w:fill="auto"/>
            <w:noWrap/>
            <w:vAlign w:val="bottom"/>
            <w:hideMark/>
          </w:tcPr>
          <w:p w:rsidR="005C3A52" w:rsidRPr="005C3A52" w:rsidRDefault="005C3A52" w:rsidP="005C3A52">
            <w:pPr>
              <w:jc w:val="center"/>
              <w:rPr>
                <w:rFonts w:ascii="Courier New" w:hAnsi="Courier New" w:cs="Courier New"/>
                <w:sz w:val="21"/>
                <w:szCs w:val="21"/>
                <w:lang w:val="en-US"/>
              </w:rPr>
            </w:pPr>
            <w:r w:rsidRPr="005C3A52">
              <w:rPr>
                <w:rFonts w:ascii="Courier New" w:hAnsi="Courier New" w:cs="Courier New"/>
                <w:sz w:val="21"/>
                <w:szCs w:val="21"/>
                <w:lang w:val="en-US"/>
              </w:rPr>
              <w:t> </w:t>
            </w:r>
          </w:p>
        </w:tc>
        <w:tc>
          <w:tcPr>
            <w:tcW w:w="1072" w:type="dxa"/>
            <w:tcBorders>
              <w:top w:val="single" w:sz="8" w:space="0" w:color="auto"/>
              <w:left w:val="nil"/>
              <w:bottom w:val="single" w:sz="4" w:space="0" w:color="auto"/>
              <w:right w:val="nil"/>
            </w:tcBorders>
            <w:shd w:val="clear" w:color="auto" w:fill="auto"/>
            <w:noWrap/>
            <w:vAlign w:val="bottom"/>
            <w:hideMark/>
          </w:tcPr>
          <w:p w:rsidR="005C3A52" w:rsidRPr="005C3A52" w:rsidRDefault="005C3A52" w:rsidP="005C3A52">
            <w:pPr>
              <w:jc w:val="center"/>
              <w:rPr>
                <w:rFonts w:ascii="Courier New" w:hAnsi="Courier New" w:cs="Courier New"/>
                <w:sz w:val="21"/>
                <w:szCs w:val="21"/>
                <w:lang w:val="en-US"/>
              </w:rPr>
            </w:pPr>
            <w:r w:rsidRPr="005C3A52">
              <w:rPr>
                <w:rFonts w:ascii="Courier New" w:hAnsi="Courier New" w:cs="Courier New"/>
                <w:sz w:val="21"/>
                <w:szCs w:val="21"/>
                <w:lang w:val="en-US"/>
              </w:rPr>
              <w:t>Variable 1</w:t>
            </w:r>
          </w:p>
        </w:tc>
        <w:tc>
          <w:tcPr>
            <w:tcW w:w="1072" w:type="dxa"/>
            <w:tcBorders>
              <w:top w:val="single" w:sz="8" w:space="0" w:color="auto"/>
              <w:left w:val="nil"/>
              <w:bottom w:val="single" w:sz="4" w:space="0" w:color="auto"/>
              <w:right w:val="nil"/>
            </w:tcBorders>
            <w:shd w:val="clear" w:color="auto" w:fill="auto"/>
            <w:noWrap/>
            <w:vAlign w:val="bottom"/>
            <w:hideMark/>
          </w:tcPr>
          <w:p w:rsidR="005C3A52" w:rsidRPr="005C3A52" w:rsidRDefault="005C3A52" w:rsidP="005C3A52">
            <w:pPr>
              <w:jc w:val="center"/>
              <w:rPr>
                <w:rFonts w:ascii="Courier New" w:hAnsi="Courier New" w:cs="Courier New"/>
                <w:sz w:val="21"/>
                <w:szCs w:val="21"/>
                <w:lang w:val="en-US"/>
              </w:rPr>
            </w:pPr>
            <w:r w:rsidRPr="005C3A52">
              <w:rPr>
                <w:rFonts w:ascii="Courier New" w:hAnsi="Courier New" w:cs="Courier New"/>
                <w:sz w:val="21"/>
                <w:szCs w:val="21"/>
                <w:lang w:val="en-US"/>
              </w:rPr>
              <w:t>Variable 2</w:t>
            </w: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Mean</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2.79111111</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7.45679012</w:t>
            </w: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Variance</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34.4606349</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84.3762346</w:t>
            </w: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Observations</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225</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81</w:t>
            </w: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Pooled Variance</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47.596319</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Hypothesized Mean Difference</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0</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df</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304</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t Stat</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-5.2191674</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P(T&lt;=t) one-tail</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1.6677E-07</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t Critical one-tail</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1.64988143</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p>
        </w:tc>
      </w:tr>
      <w:tr w:rsidR="005C3A52" w:rsidRPr="005C3A52" w:rsidTr="005C3A52">
        <w:trPr>
          <w:trHeight w:val="297"/>
        </w:trPr>
        <w:tc>
          <w:tcPr>
            <w:tcW w:w="2384" w:type="dxa"/>
            <w:tcBorders>
              <w:top w:val="nil"/>
              <w:left w:val="nil"/>
              <w:bottom w:val="nil"/>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P(T&lt;=t) two-tail</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3.3354E-07</w:t>
            </w:r>
          </w:p>
        </w:tc>
        <w:tc>
          <w:tcPr>
            <w:tcW w:w="1072" w:type="dxa"/>
            <w:tcBorders>
              <w:top w:val="nil"/>
              <w:left w:val="nil"/>
              <w:bottom w:val="nil"/>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p>
        </w:tc>
      </w:tr>
      <w:tr w:rsidR="005C3A52" w:rsidRPr="005C3A52" w:rsidTr="005C3A52">
        <w:trPr>
          <w:trHeight w:val="315"/>
        </w:trPr>
        <w:tc>
          <w:tcPr>
            <w:tcW w:w="2384" w:type="dxa"/>
            <w:tcBorders>
              <w:top w:val="nil"/>
              <w:left w:val="nil"/>
              <w:bottom w:val="single" w:sz="8" w:space="0" w:color="auto"/>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t Critical two-tail</w:t>
            </w:r>
          </w:p>
        </w:tc>
        <w:tc>
          <w:tcPr>
            <w:tcW w:w="1072" w:type="dxa"/>
            <w:tcBorders>
              <w:top w:val="nil"/>
              <w:left w:val="nil"/>
              <w:bottom w:val="single" w:sz="8" w:space="0" w:color="auto"/>
              <w:right w:val="nil"/>
            </w:tcBorders>
            <w:shd w:val="clear" w:color="auto" w:fill="auto"/>
            <w:noWrap/>
            <w:vAlign w:val="bottom"/>
            <w:hideMark/>
          </w:tcPr>
          <w:p w:rsidR="005C3A52" w:rsidRPr="005C3A52" w:rsidRDefault="005C3A52" w:rsidP="005C3A52">
            <w:pPr>
              <w:jc w:val="right"/>
              <w:rPr>
                <w:rFonts w:ascii="Courier New" w:hAnsi="Courier New" w:cs="Courier New"/>
                <w:sz w:val="21"/>
                <w:szCs w:val="21"/>
                <w:lang w:val="en-US"/>
              </w:rPr>
            </w:pPr>
            <w:r w:rsidRPr="005C3A52">
              <w:rPr>
                <w:rFonts w:ascii="Courier New" w:hAnsi="Courier New" w:cs="Courier New"/>
                <w:sz w:val="21"/>
                <w:szCs w:val="21"/>
                <w:lang w:val="en-US"/>
              </w:rPr>
              <w:t>1.96779814</w:t>
            </w:r>
          </w:p>
        </w:tc>
        <w:tc>
          <w:tcPr>
            <w:tcW w:w="1072" w:type="dxa"/>
            <w:tcBorders>
              <w:top w:val="nil"/>
              <w:left w:val="nil"/>
              <w:bottom w:val="single" w:sz="8" w:space="0" w:color="auto"/>
              <w:right w:val="nil"/>
            </w:tcBorders>
            <w:shd w:val="clear" w:color="auto" w:fill="auto"/>
            <w:noWrap/>
            <w:vAlign w:val="bottom"/>
            <w:hideMark/>
          </w:tcPr>
          <w:p w:rsidR="005C3A52" w:rsidRPr="005C3A52" w:rsidRDefault="005C3A52" w:rsidP="005C3A52">
            <w:pPr>
              <w:rPr>
                <w:rFonts w:ascii="Courier New" w:hAnsi="Courier New" w:cs="Courier New"/>
                <w:sz w:val="21"/>
                <w:szCs w:val="21"/>
                <w:lang w:val="en-US"/>
              </w:rPr>
            </w:pPr>
            <w:r w:rsidRPr="005C3A52">
              <w:rPr>
                <w:rFonts w:ascii="Courier New" w:hAnsi="Courier New" w:cs="Courier New"/>
                <w:sz w:val="21"/>
                <w:szCs w:val="21"/>
                <w:lang w:val="en-US"/>
              </w:rPr>
              <w:t> </w:t>
            </w:r>
          </w:p>
        </w:tc>
      </w:tr>
    </w:tbl>
    <w:p w:rsidR="000B74CE" w:rsidRPr="009112E5" w:rsidRDefault="000B74CE" w:rsidP="00581080">
      <w:pPr>
        <w:rPr>
          <w:rFonts w:ascii="Courier New" w:hAnsi="Courier New" w:cs="Courier New"/>
          <w:sz w:val="21"/>
          <w:szCs w:val="21"/>
          <w:lang w:val="en-US"/>
        </w:rPr>
      </w:pPr>
    </w:p>
    <w:p w:rsidR="005C3A52" w:rsidRDefault="005C3A52" w:rsidP="00581080">
      <w:pPr>
        <w:rPr>
          <w:rFonts w:ascii="Courier New" w:hAnsi="Courier New" w:cs="Courier New"/>
          <w:sz w:val="21"/>
          <w:szCs w:val="21"/>
          <w:lang w:val="en-US"/>
        </w:rPr>
      </w:pPr>
      <w:r w:rsidRPr="009112E5">
        <w:rPr>
          <w:rFonts w:ascii="Courier New" w:hAnsi="Courier New" w:cs="Courier New"/>
          <w:sz w:val="21"/>
          <w:szCs w:val="21"/>
          <w:lang w:val="en-US"/>
        </w:rPr>
        <w:t>Given an exceptionally high t-statistic value and an extremely low p-value, we have substantial evidence to reject the null hypothesis. Consequently, we can confidently conclude that patients with a lower number of positive axillary nodes detected before surgery have a higher likelihood of survival.</w:t>
      </w:r>
    </w:p>
    <w:p w:rsidR="007D6F02" w:rsidRDefault="007D6F02" w:rsidP="00581080">
      <w:pPr>
        <w:rPr>
          <w:rFonts w:ascii="Courier New" w:hAnsi="Courier New" w:cs="Courier New"/>
          <w:sz w:val="21"/>
          <w:szCs w:val="21"/>
          <w:lang w:val="en-US"/>
        </w:rPr>
      </w:pPr>
    </w:p>
    <w:p w:rsidR="007D6F02" w:rsidRPr="007D6F02" w:rsidRDefault="007D6F02" w:rsidP="00581080">
      <w:pPr>
        <w:rPr>
          <w:rFonts w:ascii="Courier New" w:hAnsi="Courier New" w:cs="Courier New"/>
          <w:b/>
          <w:bCs/>
          <w:lang w:val="en-US"/>
        </w:rPr>
      </w:pPr>
      <w:r w:rsidRPr="007D6F02">
        <w:rPr>
          <w:rFonts w:ascii="Courier New" w:hAnsi="Courier New" w:cs="Courier New"/>
          <w:b/>
          <w:bCs/>
          <w:lang w:val="en-US"/>
        </w:rPr>
        <w:t>CONCLUSION</w:t>
      </w:r>
    </w:p>
    <w:p w:rsidR="005179F9" w:rsidRPr="009112E5" w:rsidRDefault="007D6F02" w:rsidP="005179F9">
      <w:pPr>
        <w:rPr>
          <w:rFonts w:ascii="Courier New" w:hAnsi="Courier New" w:cs="Courier New"/>
          <w:sz w:val="21"/>
          <w:szCs w:val="21"/>
          <w:lang w:val="en-US"/>
        </w:rPr>
      </w:pPr>
      <w:r>
        <w:rPr>
          <w:rFonts w:ascii="Courier New" w:hAnsi="Courier New" w:cs="Courier New"/>
          <w:sz w:val="21"/>
          <w:szCs w:val="21"/>
          <w:lang w:val="en-US"/>
        </w:rPr>
        <w:t xml:space="preserve">Considering the result from the test, we can agree that </w:t>
      </w:r>
      <w:r>
        <w:rPr>
          <w:rFonts w:ascii="Courier New" w:hAnsi="Courier New" w:cs="Courier New"/>
          <w:lang w:val="en-US"/>
        </w:rPr>
        <w:t>p</w:t>
      </w:r>
      <w:r w:rsidRPr="009112E5">
        <w:rPr>
          <w:rFonts w:ascii="Courier New" w:hAnsi="Courier New" w:cs="Courier New"/>
          <w:lang w:val="en-US"/>
        </w:rPr>
        <w:t xml:space="preserve">atients </w:t>
      </w:r>
      <w:r>
        <w:rPr>
          <w:rFonts w:ascii="Courier New" w:hAnsi="Courier New" w:cs="Courier New"/>
          <w:lang w:val="en-US"/>
        </w:rPr>
        <w:t xml:space="preserve">who are </w:t>
      </w:r>
      <w:r w:rsidRPr="009112E5">
        <w:rPr>
          <w:rFonts w:ascii="Courier New" w:hAnsi="Courier New" w:cs="Courier New"/>
          <w:lang w:val="en-US"/>
        </w:rPr>
        <w:t xml:space="preserve">younger </w:t>
      </w:r>
      <w:r>
        <w:rPr>
          <w:rFonts w:ascii="Courier New" w:hAnsi="Courier New" w:cs="Courier New"/>
          <w:lang w:val="en-US"/>
        </w:rPr>
        <w:t xml:space="preserve">in </w:t>
      </w:r>
      <w:r w:rsidRPr="009112E5">
        <w:rPr>
          <w:rFonts w:ascii="Courier New" w:hAnsi="Courier New" w:cs="Courier New"/>
          <w:lang w:val="en-US"/>
        </w:rPr>
        <w:t>age at the time of the operation are more likely to survive</w:t>
      </w:r>
      <w:r>
        <w:rPr>
          <w:rFonts w:ascii="Courier New" w:hAnsi="Courier New" w:cs="Courier New"/>
          <w:lang w:val="en-US"/>
        </w:rPr>
        <w:t xml:space="preserve"> and </w:t>
      </w:r>
      <w:r w:rsidR="005179F9">
        <w:rPr>
          <w:rFonts w:ascii="Courier New" w:hAnsi="Courier New" w:cs="Courier New"/>
          <w:lang w:val="en-US"/>
        </w:rPr>
        <w:t>w</w:t>
      </w:r>
      <w:r w:rsidR="005179F9" w:rsidRPr="009112E5">
        <w:rPr>
          <w:rFonts w:ascii="Courier New" w:hAnsi="Courier New" w:cs="Courier New"/>
          <w:sz w:val="21"/>
          <w:szCs w:val="21"/>
          <w:lang w:val="en-US"/>
        </w:rPr>
        <w:t>ith a 5% level of significance and a p-value of 0.1179 and a t-statistic that is not extreme we can conclude that there is insufficient evidence to reject the null hypothesis</w:t>
      </w:r>
      <w:r w:rsidR="005179F9">
        <w:rPr>
          <w:rFonts w:ascii="Courier New" w:hAnsi="Courier New" w:cs="Courier New"/>
          <w:sz w:val="21"/>
          <w:szCs w:val="21"/>
          <w:lang w:val="en-US"/>
        </w:rPr>
        <w:t xml:space="preserve"> in the first question</w:t>
      </w:r>
      <w:r w:rsidR="005179F9" w:rsidRPr="009112E5">
        <w:rPr>
          <w:rFonts w:ascii="Courier New" w:hAnsi="Courier New" w:cs="Courier New"/>
          <w:sz w:val="21"/>
          <w:szCs w:val="21"/>
          <w:lang w:val="en-US"/>
        </w:rPr>
        <w:t>.</w:t>
      </w:r>
    </w:p>
    <w:p w:rsidR="007D6F02" w:rsidRPr="009112E5" w:rsidRDefault="007D6F02" w:rsidP="00581080">
      <w:pPr>
        <w:rPr>
          <w:rFonts w:ascii="Courier New" w:hAnsi="Courier New" w:cs="Courier New"/>
          <w:sz w:val="21"/>
          <w:szCs w:val="21"/>
          <w:lang w:val="en-US"/>
        </w:rPr>
      </w:pPr>
    </w:p>
    <w:sectPr w:rsidR="007D6F02" w:rsidRPr="009112E5" w:rsidSect="005C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1C4"/>
    <w:multiLevelType w:val="hybridMultilevel"/>
    <w:tmpl w:val="4AA62B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0402C0"/>
    <w:multiLevelType w:val="hybridMultilevel"/>
    <w:tmpl w:val="72161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A1C76"/>
    <w:multiLevelType w:val="hybridMultilevel"/>
    <w:tmpl w:val="4AA62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7855979">
    <w:abstractNumId w:val="2"/>
  </w:num>
  <w:num w:numId="2" w16cid:durableId="911736995">
    <w:abstractNumId w:val="0"/>
  </w:num>
  <w:num w:numId="3" w16cid:durableId="1169059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02"/>
    <w:rsid w:val="000B74CE"/>
    <w:rsid w:val="001458A3"/>
    <w:rsid w:val="002F6F36"/>
    <w:rsid w:val="003C5E38"/>
    <w:rsid w:val="005179F9"/>
    <w:rsid w:val="00561B48"/>
    <w:rsid w:val="00581080"/>
    <w:rsid w:val="005C3A52"/>
    <w:rsid w:val="005C6021"/>
    <w:rsid w:val="007C4959"/>
    <w:rsid w:val="007D6F02"/>
    <w:rsid w:val="009112E5"/>
    <w:rsid w:val="00943153"/>
    <w:rsid w:val="009A74A6"/>
    <w:rsid w:val="00BD136B"/>
    <w:rsid w:val="00C12E0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F312"/>
  <w15:chartTrackingRefBased/>
  <w15:docId w15:val="{FA3253E9-FCE2-9348-A62B-E48E1DED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2E02"/>
    <w:rPr>
      <w:rFonts w:ascii="Consolas" w:hAnsi="Consolas" w:cs="Consolas"/>
      <w:sz w:val="21"/>
      <w:szCs w:val="21"/>
    </w:rPr>
  </w:style>
  <w:style w:type="character" w:customStyle="1" w:styleId="PlainTextChar">
    <w:name w:val="Plain Text Char"/>
    <w:basedOn w:val="DefaultParagraphFont"/>
    <w:link w:val="PlainText"/>
    <w:uiPriority w:val="99"/>
    <w:rsid w:val="00C12E02"/>
    <w:rPr>
      <w:rFonts w:ascii="Consolas" w:hAnsi="Consolas" w:cs="Consolas"/>
      <w:sz w:val="21"/>
      <w:szCs w:val="21"/>
    </w:rPr>
  </w:style>
  <w:style w:type="paragraph" w:styleId="ListParagraph">
    <w:name w:val="List Paragraph"/>
    <w:basedOn w:val="Normal"/>
    <w:uiPriority w:val="34"/>
    <w:qFormat/>
    <w:rsid w:val="003C5E38"/>
    <w:pPr>
      <w:ind w:left="720"/>
      <w:contextualSpacing/>
    </w:pPr>
  </w:style>
  <w:style w:type="paragraph" w:styleId="NormalWeb">
    <w:name w:val="Normal (Web)"/>
    <w:basedOn w:val="Normal"/>
    <w:uiPriority w:val="99"/>
    <w:semiHidden/>
    <w:unhideWhenUsed/>
    <w:rsid w:val="005C602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LineNumber">
    <w:name w:val="line number"/>
    <w:basedOn w:val="DefaultParagraphFont"/>
    <w:uiPriority w:val="99"/>
    <w:semiHidden/>
    <w:unhideWhenUsed/>
    <w:rsid w:val="009A7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35746">
      <w:bodyDiv w:val="1"/>
      <w:marLeft w:val="0"/>
      <w:marRight w:val="0"/>
      <w:marTop w:val="0"/>
      <w:marBottom w:val="0"/>
      <w:divBdr>
        <w:top w:val="none" w:sz="0" w:space="0" w:color="auto"/>
        <w:left w:val="none" w:sz="0" w:space="0" w:color="auto"/>
        <w:bottom w:val="none" w:sz="0" w:space="0" w:color="auto"/>
        <w:right w:val="none" w:sz="0" w:space="0" w:color="auto"/>
      </w:divBdr>
    </w:div>
    <w:div w:id="266350684">
      <w:bodyDiv w:val="1"/>
      <w:marLeft w:val="0"/>
      <w:marRight w:val="0"/>
      <w:marTop w:val="0"/>
      <w:marBottom w:val="0"/>
      <w:divBdr>
        <w:top w:val="none" w:sz="0" w:space="0" w:color="auto"/>
        <w:left w:val="none" w:sz="0" w:space="0" w:color="auto"/>
        <w:bottom w:val="none" w:sz="0" w:space="0" w:color="auto"/>
        <w:right w:val="none" w:sz="0" w:space="0" w:color="auto"/>
      </w:divBdr>
    </w:div>
    <w:div w:id="774059611">
      <w:bodyDiv w:val="1"/>
      <w:marLeft w:val="0"/>
      <w:marRight w:val="0"/>
      <w:marTop w:val="0"/>
      <w:marBottom w:val="0"/>
      <w:divBdr>
        <w:top w:val="none" w:sz="0" w:space="0" w:color="auto"/>
        <w:left w:val="none" w:sz="0" w:space="0" w:color="auto"/>
        <w:bottom w:val="none" w:sz="0" w:space="0" w:color="auto"/>
        <w:right w:val="none" w:sz="0" w:space="0" w:color="auto"/>
      </w:divBdr>
    </w:div>
    <w:div w:id="1411392284">
      <w:bodyDiv w:val="1"/>
      <w:marLeft w:val="0"/>
      <w:marRight w:val="0"/>
      <w:marTop w:val="0"/>
      <w:marBottom w:val="0"/>
      <w:divBdr>
        <w:top w:val="none" w:sz="0" w:space="0" w:color="auto"/>
        <w:left w:val="none" w:sz="0" w:space="0" w:color="auto"/>
        <w:bottom w:val="none" w:sz="0" w:space="0" w:color="auto"/>
        <w:right w:val="none" w:sz="0" w:space="0" w:color="auto"/>
      </w:divBdr>
    </w:div>
    <w:div w:id="1413820210">
      <w:bodyDiv w:val="1"/>
      <w:marLeft w:val="0"/>
      <w:marRight w:val="0"/>
      <w:marTop w:val="0"/>
      <w:marBottom w:val="0"/>
      <w:divBdr>
        <w:top w:val="none" w:sz="0" w:space="0" w:color="auto"/>
        <w:left w:val="none" w:sz="0" w:space="0" w:color="auto"/>
        <w:bottom w:val="none" w:sz="0" w:space="0" w:color="auto"/>
        <w:right w:val="none" w:sz="0" w:space="0" w:color="auto"/>
      </w:divBdr>
    </w:div>
    <w:div w:id="1422291925">
      <w:bodyDiv w:val="1"/>
      <w:marLeft w:val="0"/>
      <w:marRight w:val="0"/>
      <w:marTop w:val="0"/>
      <w:marBottom w:val="0"/>
      <w:divBdr>
        <w:top w:val="none" w:sz="0" w:space="0" w:color="auto"/>
        <w:left w:val="none" w:sz="0" w:space="0" w:color="auto"/>
        <w:bottom w:val="none" w:sz="0" w:space="0" w:color="auto"/>
        <w:right w:val="none" w:sz="0" w:space="0" w:color="auto"/>
      </w:divBdr>
    </w:div>
    <w:div w:id="1551261993">
      <w:bodyDiv w:val="1"/>
      <w:marLeft w:val="0"/>
      <w:marRight w:val="0"/>
      <w:marTop w:val="0"/>
      <w:marBottom w:val="0"/>
      <w:divBdr>
        <w:top w:val="none" w:sz="0" w:space="0" w:color="auto"/>
        <w:left w:val="none" w:sz="0" w:space="0" w:color="auto"/>
        <w:bottom w:val="none" w:sz="0" w:space="0" w:color="auto"/>
        <w:right w:val="none" w:sz="0" w:space="0" w:color="auto"/>
      </w:divBdr>
      <w:divsChild>
        <w:div w:id="1627657435">
          <w:marLeft w:val="0"/>
          <w:marRight w:val="0"/>
          <w:marTop w:val="0"/>
          <w:marBottom w:val="0"/>
          <w:divBdr>
            <w:top w:val="none" w:sz="0" w:space="0" w:color="auto"/>
            <w:left w:val="none" w:sz="0" w:space="0" w:color="auto"/>
            <w:bottom w:val="none" w:sz="0" w:space="0" w:color="auto"/>
            <w:right w:val="none" w:sz="0" w:space="0" w:color="auto"/>
          </w:divBdr>
          <w:divsChild>
            <w:div w:id="2086494574">
              <w:marLeft w:val="0"/>
              <w:marRight w:val="0"/>
              <w:marTop w:val="0"/>
              <w:marBottom w:val="0"/>
              <w:divBdr>
                <w:top w:val="none" w:sz="0" w:space="0" w:color="auto"/>
                <w:left w:val="none" w:sz="0" w:space="0" w:color="auto"/>
                <w:bottom w:val="none" w:sz="0" w:space="0" w:color="auto"/>
                <w:right w:val="none" w:sz="0" w:space="0" w:color="auto"/>
              </w:divBdr>
              <w:divsChild>
                <w:div w:id="1784837011">
                  <w:marLeft w:val="0"/>
                  <w:marRight w:val="0"/>
                  <w:marTop w:val="0"/>
                  <w:marBottom w:val="0"/>
                  <w:divBdr>
                    <w:top w:val="none" w:sz="0" w:space="0" w:color="auto"/>
                    <w:left w:val="none" w:sz="0" w:space="0" w:color="auto"/>
                    <w:bottom w:val="none" w:sz="0" w:space="0" w:color="auto"/>
                    <w:right w:val="none" w:sz="0" w:space="0" w:color="auto"/>
                  </w:divBdr>
                  <w:divsChild>
                    <w:div w:id="1602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3195">
          <w:marLeft w:val="0"/>
          <w:marRight w:val="0"/>
          <w:marTop w:val="0"/>
          <w:marBottom w:val="0"/>
          <w:divBdr>
            <w:top w:val="none" w:sz="0" w:space="0" w:color="auto"/>
            <w:left w:val="none" w:sz="0" w:space="0" w:color="auto"/>
            <w:bottom w:val="none" w:sz="0" w:space="0" w:color="auto"/>
            <w:right w:val="none" w:sz="0" w:space="0" w:color="auto"/>
          </w:divBdr>
          <w:divsChild>
            <w:div w:id="1978608172">
              <w:marLeft w:val="0"/>
              <w:marRight w:val="0"/>
              <w:marTop w:val="0"/>
              <w:marBottom w:val="0"/>
              <w:divBdr>
                <w:top w:val="none" w:sz="0" w:space="0" w:color="auto"/>
                <w:left w:val="none" w:sz="0" w:space="0" w:color="auto"/>
                <w:bottom w:val="none" w:sz="0" w:space="0" w:color="auto"/>
                <w:right w:val="none" w:sz="0" w:space="0" w:color="auto"/>
              </w:divBdr>
              <w:divsChild>
                <w:div w:id="2118594860">
                  <w:marLeft w:val="0"/>
                  <w:marRight w:val="0"/>
                  <w:marTop w:val="0"/>
                  <w:marBottom w:val="0"/>
                  <w:divBdr>
                    <w:top w:val="none" w:sz="0" w:space="0" w:color="auto"/>
                    <w:left w:val="none" w:sz="0" w:space="0" w:color="auto"/>
                    <w:bottom w:val="none" w:sz="0" w:space="0" w:color="auto"/>
                    <w:right w:val="none" w:sz="0" w:space="0" w:color="auto"/>
                  </w:divBdr>
                  <w:divsChild>
                    <w:div w:id="2904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07620">
      <w:bodyDiv w:val="1"/>
      <w:marLeft w:val="0"/>
      <w:marRight w:val="0"/>
      <w:marTop w:val="0"/>
      <w:marBottom w:val="0"/>
      <w:divBdr>
        <w:top w:val="none" w:sz="0" w:space="0" w:color="auto"/>
        <w:left w:val="none" w:sz="0" w:space="0" w:color="auto"/>
        <w:bottom w:val="none" w:sz="0" w:space="0" w:color="auto"/>
        <w:right w:val="none" w:sz="0" w:space="0" w:color="auto"/>
      </w:divBdr>
    </w:div>
    <w:div w:id="1716612475">
      <w:bodyDiv w:val="1"/>
      <w:marLeft w:val="0"/>
      <w:marRight w:val="0"/>
      <w:marTop w:val="0"/>
      <w:marBottom w:val="0"/>
      <w:divBdr>
        <w:top w:val="none" w:sz="0" w:space="0" w:color="auto"/>
        <w:left w:val="none" w:sz="0" w:space="0" w:color="auto"/>
        <w:bottom w:val="none" w:sz="0" w:space="0" w:color="auto"/>
        <w:right w:val="none" w:sz="0" w:space="0" w:color="auto"/>
      </w:divBdr>
    </w:div>
    <w:div w:id="1748454858">
      <w:bodyDiv w:val="1"/>
      <w:marLeft w:val="0"/>
      <w:marRight w:val="0"/>
      <w:marTop w:val="0"/>
      <w:marBottom w:val="0"/>
      <w:divBdr>
        <w:top w:val="none" w:sz="0" w:space="0" w:color="auto"/>
        <w:left w:val="none" w:sz="0" w:space="0" w:color="auto"/>
        <w:bottom w:val="none" w:sz="0" w:space="0" w:color="auto"/>
        <w:right w:val="none" w:sz="0" w:space="0" w:color="auto"/>
      </w:divBdr>
    </w:div>
    <w:div w:id="20338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bookair/Downloads/haberman+s+survival/Haberman%20Survival%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macbookair/Downloads/haberman+s+survival/Haberman%20Survival%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macbookair/Downloads/haberman+s+survival/Haberman%20Survival%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macbookair/Downloads/haberman+s+survival/Haberman%20Survival%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Histogram</a:t>
            </a:r>
          </a:p>
        </c:rich>
      </c:tx>
      <c:overlay val="0"/>
    </c:title>
    <c:autoTitleDeleted val="0"/>
    <c:plotArea>
      <c:layout/>
      <c:barChart>
        <c:barDir val="col"/>
        <c:grouping val="clustered"/>
        <c:varyColors val="0"/>
        <c:ser>
          <c:idx val="0"/>
          <c:order val="0"/>
          <c:tx>
            <c:v>Frequency</c:v>
          </c:tx>
          <c:invertIfNegative val="0"/>
          <c:trendline>
            <c:trendlineType val="movingAvg"/>
            <c:period val="2"/>
            <c:dispRSqr val="0"/>
            <c:dispEq val="0"/>
          </c:trendline>
          <c:cat>
            <c:strRef>
              <c:f>Sheet6!$G$28:$G$38</c:f>
              <c:strCache>
                <c:ptCount val="11"/>
                <c:pt idx="0">
                  <c:v>35</c:v>
                </c:pt>
                <c:pt idx="1">
                  <c:v>41</c:v>
                </c:pt>
                <c:pt idx="2">
                  <c:v>47</c:v>
                </c:pt>
                <c:pt idx="3">
                  <c:v>53</c:v>
                </c:pt>
                <c:pt idx="4">
                  <c:v>59</c:v>
                </c:pt>
                <c:pt idx="5">
                  <c:v>65</c:v>
                </c:pt>
                <c:pt idx="6">
                  <c:v>71</c:v>
                </c:pt>
                <c:pt idx="7">
                  <c:v>79</c:v>
                </c:pt>
                <c:pt idx="8">
                  <c:v>85</c:v>
                </c:pt>
                <c:pt idx="9">
                  <c:v>91</c:v>
                </c:pt>
                <c:pt idx="10">
                  <c:v>More</c:v>
                </c:pt>
              </c:strCache>
            </c:strRef>
          </c:cat>
          <c:val>
            <c:numRef>
              <c:f>Sheet6!$H$28:$H$38</c:f>
              <c:numCache>
                <c:formatCode>General</c:formatCode>
                <c:ptCount val="11"/>
                <c:pt idx="0">
                  <c:v>14</c:v>
                </c:pt>
                <c:pt idx="1">
                  <c:v>32</c:v>
                </c:pt>
                <c:pt idx="2">
                  <c:v>35</c:v>
                </c:pt>
                <c:pt idx="3">
                  <c:v>41</c:v>
                </c:pt>
                <c:pt idx="4">
                  <c:v>44</c:v>
                </c:pt>
                <c:pt idx="5">
                  <c:v>32</c:v>
                </c:pt>
                <c:pt idx="6">
                  <c:v>18</c:v>
                </c:pt>
                <c:pt idx="7">
                  <c:v>9</c:v>
                </c:pt>
                <c:pt idx="8">
                  <c:v>0</c:v>
                </c:pt>
                <c:pt idx="9">
                  <c:v>0</c:v>
                </c:pt>
                <c:pt idx="10">
                  <c:v>0</c:v>
                </c:pt>
              </c:numCache>
            </c:numRef>
          </c:val>
          <c:extLst>
            <c:ext xmlns:c16="http://schemas.microsoft.com/office/drawing/2014/chart" uri="{C3380CC4-5D6E-409C-BE32-E72D297353CC}">
              <c16:uniqueId val="{00000000-B1F7-6B46-8B81-0276B0612047}"/>
            </c:ext>
          </c:extLst>
        </c:ser>
        <c:dLbls>
          <c:showLegendKey val="0"/>
          <c:showVal val="0"/>
          <c:showCatName val="0"/>
          <c:showSerName val="0"/>
          <c:showPercent val="0"/>
          <c:showBubbleSize val="0"/>
        </c:dLbls>
        <c:gapWidth val="150"/>
        <c:axId val="575872928"/>
        <c:axId val="575894704"/>
      </c:barChart>
      <c:catAx>
        <c:axId val="575872928"/>
        <c:scaling>
          <c:orientation val="minMax"/>
        </c:scaling>
        <c:delete val="0"/>
        <c:axPos val="b"/>
        <c:title>
          <c:tx>
            <c:rich>
              <a:bodyPr/>
              <a:lstStyle/>
              <a:p>
                <a:pPr>
                  <a:defRPr/>
                </a:pPr>
                <a:r>
                  <a:rPr lang="en-GB"/>
                  <a:t>Bin</a:t>
                </a:r>
              </a:p>
            </c:rich>
          </c:tx>
          <c:overlay val="0"/>
        </c:title>
        <c:numFmt formatCode="General" sourceLinked="1"/>
        <c:majorTickMark val="out"/>
        <c:minorTickMark val="none"/>
        <c:tickLblPos val="nextTo"/>
        <c:crossAx val="575894704"/>
        <c:crosses val="autoZero"/>
        <c:auto val="1"/>
        <c:lblAlgn val="ctr"/>
        <c:lblOffset val="100"/>
        <c:noMultiLvlLbl val="0"/>
      </c:catAx>
      <c:valAx>
        <c:axId val="575894704"/>
        <c:scaling>
          <c:orientation val="minMax"/>
        </c:scaling>
        <c:delete val="0"/>
        <c:axPos val="l"/>
        <c:title>
          <c:tx>
            <c:rich>
              <a:bodyPr/>
              <a:lstStyle/>
              <a:p>
                <a:pPr>
                  <a:defRPr/>
                </a:pPr>
                <a:r>
                  <a:rPr lang="en-GB"/>
                  <a:t>Frequency</a:t>
                </a:r>
              </a:p>
            </c:rich>
          </c:tx>
          <c:overlay val="0"/>
        </c:title>
        <c:numFmt formatCode="General" sourceLinked="1"/>
        <c:majorTickMark val="out"/>
        <c:minorTickMark val="none"/>
        <c:tickLblPos val="nextTo"/>
        <c:crossAx val="575872928"/>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Histogram</a:t>
            </a:r>
          </a:p>
        </c:rich>
      </c:tx>
      <c:overlay val="0"/>
    </c:title>
    <c:autoTitleDeleted val="0"/>
    <c:plotArea>
      <c:layout/>
      <c:barChart>
        <c:barDir val="col"/>
        <c:grouping val="clustered"/>
        <c:varyColors val="0"/>
        <c:ser>
          <c:idx val="0"/>
          <c:order val="0"/>
          <c:tx>
            <c:v>Frequency</c:v>
          </c:tx>
          <c:invertIfNegative val="0"/>
          <c:trendline>
            <c:trendlineType val="movingAvg"/>
            <c:period val="2"/>
            <c:dispRSqr val="0"/>
            <c:dispEq val="0"/>
          </c:trendline>
          <c:cat>
            <c:strRef>
              <c:f>Sheet6!$N$27:$N$37</c:f>
              <c:strCache>
                <c:ptCount val="11"/>
                <c:pt idx="0">
                  <c:v>39</c:v>
                </c:pt>
                <c:pt idx="1">
                  <c:v>45</c:v>
                </c:pt>
                <c:pt idx="2">
                  <c:v>51</c:v>
                </c:pt>
                <c:pt idx="3">
                  <c:v>57</c:v>
                </c:pt>
                <c:pt idx="4">
                  <c:v>63</c:v>
                </c:pt>
                <c:pt idx="5">
                  <c:v>69</c:v>
                </c:pt>
                <c:pt idx="6">
                  <c:v>75</c:v>
                </c:pt>
                <c:pt idx="7">
                  <c:v>81</c:v>
                </c:pt>
                <c:pt idx="8">
                  <c:v>87</c:v>
                </c:pt>
                <c:pt idx="9">
                  <c:v>93</c:v>
                </c:pt>
                <c:pt idx="10">
                  <c:v>More</c:v>
                </c:pt>
              </c:strCache>
            </c:strRef>
          </c:cat>
          <c:val>
            <c:numRef>
              <c:f>Sheet6!$O$27:$O$37</c:f>
              <c:numCache>
                <c:formatCode>General</c:formatCode>
                <c:ptCount val="11"/>
                <c:pt idx="0">
                  <c:v>121</c:v>
                </c:pt>
                <c:pt idx="1">
                  <c:v>49</c:v>
                </c:pt>
                <c:pt idx="2">
                  <c:v>27</c:v>
                </c:pt>
                <c:pt idx="3">
                  <c:v>21</c:v>
                </c:pt>
                <c:pt idx="4">
                  <c:v>10</c:v>
                </c:pt>
                <c:pt idx="5">
                  <c:v>9</c:v>
                </c:pt>
                <c:pt idx="6">
                  <c:v>4</c:v>
                </c:pt>
                <c:pt idx="7">
                  <c:v>1</c:v>
                </c:pt>
                <c:pt idx="8">
                  <c:v>1</c:v>
                </c:pt>
                <c:pt idx="9">
                  <c:v>0</c:v>
                </c:pt>
                <c:pt idx="10">
                  <c:v>0</c:v>
                </c:pt>
              </c:numCache>
            </c:numRef>
          </c:val>
          <c:extLst>
            <c:ext xmlns:c16="http://schemas.microsoft.com/office/drawing/2014/chart" uri="{C3380CC4-5D6E-409C-BE32-E72D297353CC}">
              <c16:uniqueId val="{00000000-1B9E-5848-9351-5B1B5F873AAE}"/>
            </c:ext>
          </c:extLst>
        </c:ser>
        <c:dLbls>
          <c:showLegendKey val="0"/>
          <c:showVal val="0"/>
          <c:showCatName val="0"/>
          <c:showSerName val="0"/>
          <c:showPercent val="0"/>
          <c:showBubbleSize val="0"/>
        </c:dLbls>
        <c:gapWidth val="150"/>
        <c:axId val="104968512"/>
        <c:axId val="105535216"/>
      </c:barChart>
      <c:catAx>
        <c:axId val="104968512"/>
        <c:scaling>
          <c:orientation val="minMax"/>
        </c:scaling>
        <c:delete val="0"/>
        <c:axPos val="b"/>
        <c:title>
          <c:tx>
            <c:rich>
              <a:bodyPr/>
              <a:lstStyle/>
              <a:p>
                <a:pPr>
                  <a:defRPr/>
                </a:pPr>
                <a:r>
                  <a:rPr lang="en-GB"/>
                  <a:t>Bin</a:t>
                </a:r>
              </a:p>
            </c:rich>
          </c:tx>
          <c:overlay val="0"/>
        </c:title>
        <c:numFmt formatCode="General" sourceLinked="1"/>
        <c:majorTickMark val="out"/>
        <c:minorTickMark val="none"/>
        <c:tickLblPos val="nextTo"/>
        <c:crossAx val="105535216"/>
        <c:crosses val="autoZero"/>
        <c:auto val="1"/>
        <c:lblAlgn val="ctr"/>
        <c:lblOffset val="100"/>
        <c:noMultiLvlLbl val="0"/>
      </c:catAx>
      <c:valAx>
        <c:axId val="105535216"/>
        <c:scaling>
          <c:orientation val="minMax"/>
        </c:scaling>
        <c:delete val="0"/>
        <c:axPos val="l"/>
        <c:title>
          <c:tx>
            <c:rich>
              <a:bodyPr/>
              <a:lstStyle/>
              <a:p>
                <a:pPr>
                  <a:defRPr/>
                </a:pPr>
                <a:r>
                  <a:rPr lang="en-GB"/>
                  <a:t>Frequency</a:t>
                </a:r>
              </a:p>
            </c:rich>
          </c:tx>
          <c:overlay val="0"/>
        </c:title>
        <c:numFmt formatCode="General" sourceLinked="1"/>
        <c:majorTickMark val="out"/>
        <c:minorTickMark val="none"/>
        <c:tickLblPos val="nextTo"/>
        <c:crossAx val="104968512"/>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200"/>
              <a:t>Histogram for patients</a:t>
            </a:r>
            <a:r>
              <a:rPr lang="en-GB" sz="1200" baseline="0"/>
              <a:t> who survived</a:t>
            </a:r>
            <a:endParaRPr lang="en-GB" sz="1200"/>
          </a:p>
        </c:rich>
      </c:tx>
      <c:overlay val="0"/>
    </c:title>
    <c:autoTitleDeleted val="0"/>
    <c:plotArea>
      <c:layout/>
      <c:barChart>
        <c:barDir val="col"/>
        <c:grouping val="clustered"/>
        <c:varyColors val="0"/>
        <c:ser>
          <c:idx val="0"/>
          <c:order val="0"/>
          <c:tx>
            <c:v>Frequency</c:v>
          </c:tx>
          <c:invertIfNegative val="0"/>
          <c:trendline>
            <c:trendlineType val="movingAvg"/>
            <c:period val="2"/>
            <c:dispRSqr val="0"/>
            <c:dispEq val="0"/>
          </c:trendline>
          <c:trendline>
            <c:trendlineType val="movingAvg"/>
            <c:period val="2"/>
            <c:dispRSqr val="0"/>
            <c:dispEq val="0"/>
          </c:trendline>
          <c:cat>
            <c:strRef>
              <c:f>Sheet10!$O$25:$O$35</c:f>
              <c:strCache>
                <c:ptCount val="11"/>
                <c:pt idx="0">
                  <c:v>5</c:v>
                </c:pt>
                <c:pt idx="1">
                  <c:v>11</c:v>
                </c:pt>
                <c:pt idx="2">
                  <c:v>17</c:v>
                </c:pt>
                <c:pt idx="3">
                  <c:v>23</c:v>
                </c:pt>
                <c:pt idx="4">
                  <c:v>35</c:v>
                </c:pt>
                <c:pt idx="5">
                  <c:v>29</c:v>
                </c:pt>
                <c:pt idx="6">
                  <c:v>41</c:v>
                </c:pt>
                <c:pt idx="7">
                  <c:v>47</c:v>
                </c:pt>
                <c:pt idx="8">
                  <c:v>53</c:v>
                </c:pt>
                <c:pt idx="9">
                  <c:v>59</c:v>
                </c:pt>
                <c:pt idx="10">
                  <c:v>More</c:v>
                </c:pt>
              </c:strCache>
            </c:strRef>
          </c:cat>
          <c:val>
            <c:numRef>
              <c:f>Sheet10!$P$25:$P$35</c:f>
              <c:numCache>
                <c:formatCode>General</c:formatCode>
                <c:ptCount val="11"/>
                <c:pt idx="0">
                  <c:v>65</c:v>
                </c:pt>
                <c:pt idx="1">
                  <c:v>8</c:v>
                </c:pt>
                <c:pt idx="2">
                  <c:v>6</c:v>
                </c:pt>
                <c:pt idx="3">
                  <c:v>1</c:v>
                </c:pt>
                <c:pt idx="4">
                  <c:v>1</c:v>
                </c:pt>
                <c:pt idx="5">
                  <c:v>0</c:v>
                </c:pt>
                <c:pt idx="6">
                  <c:v>0</c:v>
                </c:pt>
                <c:pt idx="7">
                  <c:v>0</c:v>
                </c:pt>
                <c:pt idx="8">
                  <c:v>0</c:v>
                </c:pt>
                <c:pt idx="9">
                  <c:v>0</c:v>
                </c:pt>
                <c:pt idx="10">
                  <c:v>0</c:v>
                </c:pt>
              </c:numCache>
            </c:numRef>
          </c:val>
          <c:extLst>
            <c:ext xmlns:c16="http://schemas.microsoft.com/office/drawing/2014/chart" uri="{C3380CC4-5D6E-409C-BE32-E72D297353CC}">
              <c16:uniqueId val="{00000000-BA28-1743-9596-4049F024CE19}"/>
            </c:ext>
          </c:extLst>
        </c:ser>
        <c:dLbls>
          <c:showLegendKey val="0"/>
          <c:showVal val="0"/>
          <c:showCatName val="0"/>
          <c:showSerName val="0"/>
          <c:showPercent val="0"/>
          <c:showBubbleSize val="0"/>
        </c:dLbls>
        <c:gapWidth val="20"/>
        <c:overlap val="20"/>
        <c:axId val="133328304"/>
        <c:axId val="133287232"/>
      </c:barChart>
      <c:catAx>
        <c:axId val="133328304"/>
        <c:scaling>
          <c:orientation val="minMax"/>
        </c:scaling>
        <c:delete val="0"/>
        <c:axPos val="b"/>
        <c:title>
          <c:tx>
            <c:rich>
              <a:bodyPr/>
              <a:lstStyle/>
              <a:p>
                <a:pPr>
                  <a:defRPr/>
                </a:pPr>
                <a:r>
                  <a:rPr lang="en-GB"/>
                  <a:t>Bin</a:t>
                </a:r>
              </a:p>
            </c:rich>
          </c:tx>
          <c:overlay val="0"/>
        </c:title>
        <c:numFmt formatCode="General" sourceLinked="1"/>
        <c:majorTickMark val="out"/>
        <c:minorTickMark val="none"/>
        <c:tickLblPos val="nextTo"/>
        <c:crossAx val="133287232"/>
        <c:crosses val="autoZero"/>
        <c:auto val="1"/>
        <c:lblAlgn val="ctr"/>
        <c:lblOffset val="100"/>
        <c:noMultiLvlLbl val="0"/>
      </c:catAx>
      <c:valAx>
        <c:axId val="133287232"/>
        <c:scaling>
          <c:orientation val="minMax"/>
        </c:scaling>
        <c:delete val="0"/>
        <c:axPos val="l"/>
        <c:title>
          <c:tx>
            <c:rich>
              <a:bodyPr/>
              <a:lstStyle/>
              <a:p>
                <a:pPr>
                  <a:defRPr/>
                </a:pPr>
                <a:r>
                  <a:rPr lang="en-GB"/>
                  <a:t>Frequency</a:t>
                </a:r>
              </a:p>
            </c:rich>
          </c:tx>
          <c:overlay val="0"/>
        </c:title>
        <c:numFmt formatCode="General" sourceLinked="1"/>
        <c:majorTickMark val="out"/>
        <c:minorTickMark val="none"/>
        <c:tickLblPos val="nextTo"/>
        <c:crossAx val="133328304"/>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200"/>
              <a:t>Histogram for patients</a:t>
            </a:r>
            <a:r>
              <a:rPr lang="en-GB" sz="1200" baseline="0"/>
              <a:t> who died</a:t>
            </a:r>
            <a:endParaRPr lang="en-GB" sz="1200"/>
          </a:p>
        </c:rich>
      </c:tx>
      <c:overlay val="0"/>
    </c:title>
    <c:autoTitleDeleted val="0"/>
    <c:plotArea>
      <c:layout>
        <c:manualLayout>
          <c:layoutTarget val="inner"/>
          <c:xMode val="edge"/>
          <c:yMode val="edge"/>
          <c:x val="0.24041258235577695"/>
          <c:y val="0.14573014656353797"/>
          <c:w val="0.61831512132412025"/>
          <c:h val="0.70721389914756227"/>
        </c:manualLayout>
      </c:layout>
      <c:barChart>
        <c:barDir val="col"/>
        <c:grouping val="clustered"/>
        <c:varyColors val="0"/>
        <c:ser>
          <c:idx val="0"/>
          <c:order val="0"/>
          <c:tx>
            <c:v>Frequency</c:v>
          </c:tx>
          <c:invertIfNegative val="0"/>
          <c:trendline>
            <c:trendlineType val="movingAvg"/>
            <c:period val="2"/>
            <c:dispRSqr val="0"/>
            <c:dispEq val="0"/>
          </c:trendline>
          <c:cat>
            <c:strRef>
              <c:f>Sheet10!$T$24:$T$34</c:f>
              <c:strCache>
                <c:ptCount val="11"/>
                <c:pt idx="0">
                  <c:v>5</c:v>
                </c:pt>
                <c:pt idx="1">
                  <c:v>11</c:v>
                </c:pt>
                <c:pt idx="2">
                  <c:v>17</c:v>
                </c:pt>
                <c:pt idx="3">
                  <c:v>23</c:v>
                </c:pt>
                <c:pt idx="4">
                  <c:v>29</c:v>
                </c:pt>
                <c:pt idx="5">
                  <c:v>35</c:v>
                </c:pt>
                <c:pt idx="6">
                  <c:v>53</c:v>
                </c:pt>
                <c:pt idx="7">
                  <c:v>41</c:v>
                </c:pt>
                <c:pt idx="8">
                  <c:v>47</c:v>
                </c:pt>
                <c:pt idx="9">
                  <c:v>59</c:v>
                </c:pt>
                <c:pt idx="10">
                  <c:v>More</c:v>
                </c:pt>
              </c:strCache>
            </c:strRef>
          </c:cat>
          <c:val>
            <c:numRef>
              <c:f>Sheet10!$U$24:$U$34</c:f>
              <c:numCache>
                <c:formatCode>General</c:formatCode>
                <c:ptCount val="11"/>
                <c:pt idx="0">
                  <c:v>46</c:v>
                </c:pt>
                <c:pt idx="1">
                  <c:v>15</c:v>
                </c:pt>
                <c:pt idx="2">
                  <c:v>9</c:v>
                </c:pt>
                <c:pt idx="3">
                  <c:v>8</c:v>
                </c:pt>
                <c:pt idx="4">
                  <c:v>1</c:v>
                </c:pt>
                <c:pt idx="5">
                  <c:v>1</c:v>
                </c:pt>
                <c:pt idx="6">
                  <c:v>1</c:v>
                </c:pt>
                <c:pt idx="7">
                  <c:v>0</c:v>
                </c:pt>
                <c:pt idx="8">
                  <c:v>0</c:v>
                </c:pt>
                <c:pt idx="9">
                  <c:v>0</c:v>
                </c:pt>
                <c:pt idx="10">
                  <c:v>0</c:v>
                </c:pt>
              </c:numCache>
            </c:numRef>
          </c:val>
          <c:extLst>
            <c:ext xmlns:c16="http://schemas.microsoft.com/office/drawing/2014/chart" uri="{C3380CC4-5D6E-409C-BE32-E72D297353CC}">
              <c16:uniqueId val="{00000000-FAFC-324C-AE4E-F71A6E72E954}"/>
            </c:ext>
          </c:extLst>
        </c:ser>
        <c:dLbls>
          <c:showLegendKey val="0"/>
          <c:showVal val="0"/>
          <c:showCatName val="0"/>
          <c:showSerName val="0"/>
          <c:showPercent val="0"/>
          <c:showBubbleSize val="0"/>
        </c:dLbls>
        <c:gapWidth val="20"/>
        <c:overlap val="-100"/>
        <c:axId val="551657488"/>
        <c:axId val="551743632"/>
      </c:barChart>
      <c:catAx>
        <c:axId val="551657488"/>
        <c:scaling>
          <c:orientation val="minMax"/>
        </c:scaling>
        <c:delete val="0"/>
        <c:axPos val="b"/>
        <c:title>
          <c:tx>
            <c:rich>
              <a:bodyPr/>
              <a:lstStyle/>
              <a:p>
                <a:pPr>
                  <a:defRPr/>
                </a:pPr>
                <a:r>
                  <a:rPr lang="en-GB"/>
                  <a:t>Bin</a:t>
                </a:r>
              </a:p>
            </c:rich>
          </c:tx>
          <c:overlay val="0"/>
        </c:title>
        <c:numFmt formatCode="General" sourceLinked="1"/>
        <c:majorTickMark val="out"/>
        <c:minorTickMark val="none"/>
        <c:tickLblPos val="nextTo"/>
        <c:crossAx val="551743632"/>
        <c:crosses val="autoZero"/>
        <c:auto val="1"/>
        <c:lblAlgn val="ctr"/>
        <c:lblOffset val="100"/>
        <c:noMultiLvlLbl val="0"/>
      </c:catAx>
      <c:valAx>
        <c:axId val="551743632"/>
        <c:scaling>
          <c:orientation val="minMax"/>
        </c:scaling>
        <c:delete val="0"/>
        <c:axPos val="l"/>
        <c:title>
          <c:tx>
            <c:rich>
              <a:bodyPr/>
              <a:lstStyle/>
              <a:p>
                <a:pPr>
                  <a:defRPr/>
                </a:pPr>
                <a:r>
                  <a:rPr lang="en-GB"/>
                  <a:t>Frequency</a:t>
                </a:r>
              </a:p>
            </c:rich>
          </c:tx>
          <c:overlay val="0"/>
        </c:title>
        <c:numFmt formatCode="General" sourceLinked="1"/>
        <c:majorTickMark val="out"/>
        <c:minorTickMark val="none"/>
        <c:tickLblPos val="nextTo"/>
        <c:crossAx val="551657488"/>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3FCA0-79FB-CF49-8223-1462F649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 Monyeh</dc:creator>
  <cp:keywords/>
  <dc:description/>
  <cp:lastModifiedBy>Temi Monyeh</cp:lastModifiedBy>
  <cp:revision>2</cp:revision>
  <dcterms:created xsi:type="dcterms:W3CDTF">2024-03-15T19:50:00Z</dcterms:created>
  <dcterms:modified xsi:type="dcterms:W3CDTF">2024-03-17T17:01:00Z</dcterms:modified>
</cp:coreProperties>
</file>