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0"/>
        <w:jc w:val="center"/>
      </w:pPr>
      <w:r>
        <w:rPr>
          <w:rFonts w:ascii="Calibri" w:cs="Calibri" w:eastAsia="Calibri" w:hAnsi="Calibri"/>
          <w:b/>
          <w:bCs/>
          <w:color w:val="44546A"/>
          <w:sz w:val="20"/>
          <w:szCs w:val="20"/>
        </w:rPr>
        <w:t xml:space="preserve">MDPM 883 · DESIGNING THE DIGITAL PRODUCT</w:t>
      </w:r>
    </w:p>
    <w:p>
      <w:pPr>
        <w:spacing w:after="0" w:before="280"/>
        <w:jc w:val="center"/>
      </w:pPr>
      <w:r>
        <w:rPr>
          <w:rFonts w:ascii="Calibri" w:cs="Calibri" w:eastAsia="Calibri" w:hAnsi="Calibri"/>
          <w:b/>
          <w:bCs/>
          <w:color w:val="1F3864"/>
          <w:sz w:val="52"/>
          <w:szCs w:val="52"/>
        </w:rPr>
        <w:t xml:space="preserve">PRISM Furniture Request</w:t>
      </w:r>
    </w:p>
    <w:p>
      <w:pPr>
        <w:spacing w:after="500" w:before="100"/>
        <w:jc w:val="center"/>
      </w:pPr>
      <w:r>
        <w:rPr>
          <w:rFonts w:ascii="Calibri" w:cs="Calibri" w:eastAsia="Calibri" w:hAnsi="Calibri"/>
          <w:color w:val="44546A"/>
          <w:sz w:val="30"/>
          <w:szCs w:val="30"/>
        </w:rPr>
        <w:t xml:space="preserve">The Hierarchical Task Model, Task by Task</w:t>
      </w:r>
    </w:p>
    <w:p>
      <w:pPr>
        <w:spacing w:after="600"/>
        <w:jc w:val="center"/>
      </w:pPr>
      <w:r>
        <w:rPr>
          <w:rFonts w:ascii="Calibri" w:cs="Calibri" w:eastAsia="Calibri" w:hAnsi="Calibri"/>
          <w:i/>
          <w:iCs/>
          <w:color w:val="44546A"/>
          <w:sz w:val="22"/>
          <w:szCs w:val="22"/>
        </w:rPr>
        <w:t xml:space="preserve">Companion to the Requirements Documents deliverable</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Purpose</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A hierarchical task model has to be readable at a glance, so the label on each node is short. This document removes the ambiguity that brevity creates. It takes every task in both hierarchies of the PRISM Furniture Request task model and sets out what the task involves, why the user performs it, and which side of the product boundary it falls on.</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Each hierarchy is given as a single table. The number shows parentage rather than sequence: 5.6.1 is a decomposition of 5.6 and not the step that follows it, and a requester may well locate the work before settling on the request type. Level 1 tasks are the major subgoals; level 2 and level 3 tasks are their decompositions. Reading downwards, each level answers the question “in order to do this, what do I need or wish to do?”</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Task column reproduces the label on the task model board word for word. Only the capitalisation of the first letter has been regularised, and two spellings corrected — “worn out” at 2.1 and “communication” at 5.6.2. Where an earlier draft of this document and the board disagreed about a label, its wording or its place in the hierarchy, the board has been followed.</w:t>
      </w:r>
    </w:p>
    <w:p>
      <w:pPr>
        <w:keepNext w:val="false"/>
        <w:spacing w:after="140" w:before="0" w:line="276"/>
        <w:jc w:val="both"/>
      </w:pPr>
      <w:r>
        <w:rPr>
          <w:rFonts w:ascii="Calibri" w:cs="Calibri" w:eastAsia="Calibri" w:hAnsi="Calibri"/>
          <w:b w:val="false"/>
          <w:bCs w:val="false"/>
          <w:i w:val="false"/>
          <w:iCs w:val="false"/>
          <w:color w:val="000000"/>
          <w:sz w:val="22"/>
          <w:szCs w:val="22"/>
        </w:rPr>
        <w:t xml:space="preserve">The Where performed column records which side of the product boundary a task falls on. </w:t>
      </w:r>
      <w:r>
        <w:rPr>
          <w:rFonts w:ascii="Calibri" w:cs="Calibri" w:eastAsia="Calibri" w:hAnsi="Calibri"/>
          <w:b w:val="false"/>
          <w:bCs w:val="false"/>
          <w:i/>
          <w:iCs/>
          <w:color w:val="000000"/>
          <w:sz w:val="22"/>
          <w:szCs w:val="22"/>
        </w:rPr>
        <w:t xml:space="preserve">Outside</w:t>
      </w:r>
      <w:r>
        <w:rPr>
          <w:rFonts w:ascii="Calibri" w:cs="Calibri" w:eastAsia="Calibri" w:hAnsi="Calibri"/>
          <w:b w:val="false"/>
          <w:bCs w:val="false"/>
          <w:i w:val="false"/>
          <w:iCs w:val="false"/>
          <w:color w:val="000000"/>
          <w:sz w:val="22"/>
          <w:szCs w:val="22"/>
        </w:rPr>
        <w:t xml:space="preserve"> marks work carried out away from the system, such as judging that a chair is broken; </w:t>
      </w:r>
      <w:r>
        <w:rPr>
          <w:rFonts w:ascii="Calibri" w:cs="Calibri" w:eastAsia="Calibri" w:hAnsi="Calibri"/>
          <w:b w:val="false"/>
          <w:bCs w:val="false"/>
          <w:i/>
          <w:iCs/>
          <w:color w:val="000000"/>
          <w:sz w:val="22"/>
          <w:szCs w:val="22"/>
        </w:rPr>
        <w:t xml:space="preserve">partly outside</w:t>
      </w:r>
      <w:r>
        <w:rPr>
          <w:rFonts w:ascii="Calibri" w:cs="Calibri" w:eastAsia="Calibri" w:hAnsi="Calibri"/>
          <w:b w:val="false"/>
          <w:bCs w:val="false"/>
          <w:i w:val="false"/>
          <w:iCs w:val="false"/>
          <w:color w:val="000000"/>
          <w:sz w:val="22"/>
          <w:szCs w:val="22"/>
        </w:rPr>
        <w:t xml:space="preserve"> marks work that straddles the boundary, done elsewhere but recorded in the request; </w:t>
      </w:r>
      <w:r>
        <w:rPr>
          <w:rFonts w:ascii="Calibri" w:cs="Calibri" w:eastAsia="Calibri" w:hAnsi="Calibri"/>
          <w:b w:val="false"/>
          <w:bCs w:val="false"/>
          <w:i/>
          <w:iCs/>
          <w:color w:val="000000"/>
          <w:sz w:val="22"/>
          <w:szCs w:val="22"/>
        </w:rPr>
        <w:t xml:space="preserve">in product</w:t>
      </w:r>
      <w:r>
        <w:rPr>
          <w:rFonts w:ascii="Calibri" w:cs="Calibri" w:eastAsia="Calibri" w:hAnsi="Calibri"/>
          <w:b w:val="false"/>
          <w:bCs w:val="false"/>
          <w:i w:val="false"/>
          <w:iCs w:val="false"/>
          <w:color w:val="000000"/>
          <w:sz w:val="22"/>
          <w:szCs w:val="22"/>
        </w:rPr>
        <w:t xml:space="preserve"> marks a task the product has to support directly. Tasks performed outside the product are kept in the model because they show how users reach their goal as they move between the product and other tools, and because the product must be able to record what they conclude.</w:t>
      </w:r>
    </w:p>
    <w:p>
      <w:pPr>
        <w:pStyle w:val="Heading1"/>
        <w:pBdr>
          <w:bottom w:val="single" w:color="C6D0E0" w:sz="8" w:space="6"/>
        </w:pBdr>
        <w:spacing w:after="160" w:before="360"/>
      </w:pPr>
      <w:r>
        <w:rPr>
          <w:rFonts w:ascii="Calibri" w:cs="Calibri" w:eastAsia="Calibri" w:hAnsi="Calibri"/>
          <w:b/>
          <w:bCs/>
          <w:color w:val="1F3864"/>
          <w:sz w:val="30"/>
          <w:szCs w:val="30"/>
        </w:rPr>
        <w:t xml:space="preserve">The Requester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4.2 of the Requirements Documents deliverable and to the requester hierarchy on the task model board. They describe the work of a Client Ministry Accommodation Contact or other authorized requester, from being able to use the service at all through to confirming that the result was satisfactory. The goal decomposes into six subgoals: getting set up on the system, understanding the furniture need, locating where the work needs to be done, preparing and submitting the request, following it, and completing and closing it.</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fulfilled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requester’s overall goal: to turn a furniture need in their office into furniture that is in place, in the right room, and working. Everything below is performed in service of this goal. The hierarchy is a decomposition and not a sequence — a requester may locate the work before deciding on the request type — and the goal is complete only when the requester has seen the result and accepted it, not when Infrastructure marks the work done.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setup on the system</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a requester must do before they are able to raise a request at all: knowing that this service is the right one, holding credentials for it, and understanding the language the form uses. For a frequent requester such as Priya this is done once and never thought about again; for a once-a-year requester it is a real and recurring obstacle, because access, terminology and even the identity of the right portal have to be re-established each time. It is modelled as a subgoal in its own right because a request that is never started is invisible to the service and cannot be measured.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PRISM request as the right portal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a furniture need is handled through the Furniture Request service rather than through another channel such as a maintenance request, a procurement process, a service desk ticket or an email to a facilities contact. Occasional requesters frequently start in the wrong place and lose days before they are redirected. The product’s part is to be findable and to say plainly, at its entry point, what it is for and what it is not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 an account / log in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working credentials and reaching the point at which a request can be started, whether that means signing in with an existing government account or being granted access for the first time. Most of the work happens outside the product, in an access process the requester does not control, but its difficulty directly affects whether an infrequent requester gets started at all — and a failed sign-in is indistinguishable, from where the requester stands, from the service being unavailable.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 form fields and terminology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Working out what the request is actually asking for: what a work order is, what distinguishes a modification from a repair, what counts as a building code, what the service means by a planning request. Requesters are administrative staff with no facilities background, and the vocabulary belongs to Infrastructure rather than to them. This task is the reason the product has to explain its own terms at the point of use instead of assuming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 hints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Consulting the guidance attached to a field at the moment of filling it in, rather than reading documentation beforehand. This is the requester’s preferred way of resolving uncertainty because it costs nothing when it is not needed and appears exactly where the doubt arises. It also governs the quality of what is submitted: the fields that are explained are the fields that come back complete.</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Understand the furniture need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is actually required before anything is entered anywhere. The CMAC is usually relaying a need reported by someone else — a manager, a new employee, a colleague with a broken chair — so this subgoal is largely a conversation and an inspection carried out away from any screen. The product cannot perform it, but every conclusion reached here becomes a field on the request, so the product must be able to record those conclusions without requiring that they were reached in a particular order.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Recognise the furniture problem (broken / worn out /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an item is broken, worn out, unsuitable for the person using it, or simply absent because a new person has arrived. The judgement is made by looking at the furniture, and it is the first fork in the model: it decides whether repair, warranty, replacement or new purchase is the appropriate path, and therefore what evidence will be needed. A photograph or a short video taken at this moment is what later settles any disagreement about what was wrong.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the request type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among the supported request types — new purchase, planning, modification, repair and warranty — because each requires different supporting information and follows a different fulfilment path once it reaches Infrastructure. The requester makes the judgement outside the product but records it in the request, and choosing wrongly is expensive: it sends the request to the wrong group, and the error is usually discovered only when a coordinator opens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it belongs to a group or an individual</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serves one person’s workstation or a shared area such as a meeting room, a reception or a floor being reconfigured. This changes the quantity, the approval path and often the urgency, and it changes who has to be consulted before the request is raised. It is kept as a task in its own right because requesters routinely submit for one person what is in fact an area-wide need, and the correction costs a cycle.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Decide recycled vs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the need can be met from government furniture already in stock before a purchase is considered. This is both a cost decision and a stated policy preference, and the requester needs it resolved early because it changes what they must supply: a recycled item needs dimensions and a location, a new one may need a quote and an approval. The product’s role is to let the preference be stated on the request and kept visible to the coordinator who acts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availability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out whether a suitable item exists in the recycle program — the right type, the right quantity, in reasonable condition, available when it is needed. Today this generally means asking someone and waiting for an answer that arrives by email. The product’s role is to let the preference be expressed and the answer be recorded against the request, so that the reason a request went to purchase is part of its history rather than a recollection.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whether a request already exists for the item /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Looking for an open request covering the same need before submitting a new one. This is the requester’s own defence against creating a duplicate, and it fails today because a requester cannot see requests raised by other authorized requesters for the same area — which is exactly how Owen’s duplicate in the scenarios arises. Supporting it means letting a requester search the requests for the buildings they are responsible for, not only the ones they submitted themselves.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warranty / retrieve original specs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Finding the original request for an existing item in order to establish whether it is still under warranty and what exactly was supplied: manufacturer, model, finish, dimensions, and the purchase and installation dates. This is the task that makes a closed request valuable years after it closed, and it is why history sits inside the requester’s goal rather than being treated as finished business. Without it, a replacement part is ordered by approximation, or a valid warranty claim is never made at all.</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Locate where work needs to be done</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Describing the place precisely enough that furniture arrives in the right room. Vagueness here is the single most common cause of the delivery errors the scenarios describe, and the cost is paid twice — once in the wrong delivery and again in the move that corrects it. The model decomposes this subgoal further than its apparent simplicity suggests, because building, address, floor, area and plan each fail independently of the others.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building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Selecting the Government of Alberta facility from the buildings the requester is authorized for. The building is the anchor for the rest of the location data — the address, the available floor plans and the responsible service group all follow from it — which is why it is chosen from a known list rather than typed.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address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Confirming the street address that follows from the selected building rather than typing it again. The requester is verifying, not entering: this is faster for them and it is the only way the address on the request can be trusted to match the facility record it came from.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floor and area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Narrowing the location to a floor and to an area, room or workstation within it. This is the level of precision the delivery and installation teams actually need, and it is where Daniel’s incomplete request in the scenarios breaks down: a named floor with no named area cannot be assigned to an installer, however complete the rest of the request may be.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floor plan and mark the location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a visual record of exactly where the furniture goes, marked on a plan of the area. This is how a requester communicates a spatial arrangement that words handle badly — which wall, which side of the partition, which of four identical workstations — and it matters most for moves and reconfigurations, where both where the furniture is coming from and where it is going have to be shown.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Select stored floor plan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Using a plan already held for the facility, which is faster than producing one and more accurate, because it is the plan the installers already work from. The board shows this and the sketch below as siblings: they are alternative ways of accomplishing the same parent task, not successive steps.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Provide a sketch when no plan exists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Drawing the area by hand, or photographing it, when no plan is held. The alternative path exists because plans are not maintained for every area and a request must not stall for want of one; a sketch photographed on a phone and attached is usually enough for an installer who also has the floor and area fields to work from.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Prepare and submit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Assembling everything gathered so far into a request and sending it to Infrastructure. This is where the requester’s work first becomes visible to the service, and where completeness matters most: every omission here becomes a question later, and every question adds a round trip that the requester experiences as delay and the coordinator experiences as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Complete the intake form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the need, the request type, the location, the quantities, the priority and the reason for the request in the form the process requires. The form is the requester’s account of the need, and it has to be fillable by someone who does this once a year, in one sitting, without training.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 supporting files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the photographs, plans, quotes, approvals and checklists that show what is needed. Attachments carry much of the meaning of a furniture request, because a photograph settles in one glance questions that a written description leaves open, and because they are the part of the request that survives translation between the requester’s vocabulary and Infrastructure’s.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Upload multiple files at once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Adding several files in a single action rather than one at a time. This matters because a typical request carries a marked plan, several photographs and an approval, and a one-at-a-time upload is the point at which a requester decides that three photographs will do instead of six.</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Add a photo from mobile at time of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problem where it is, when it is noticed, and attaching it without first moving the image to a desktop. This is the reason the product has to be usable on a phone: the requester is standing in front of the broken chair at the moment they know most about it, and anything that defers the capture loses detail.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and attach a short fault video</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Showing a fault that a still photograph cannot convey — a sit-stand desk that stops partway through raising, a chair mechanism that gives way under load, a drawer that jams. A few seconds of video removes an entire exchange of clarifying questions and often decides whether the fault is handled as a warranty claim or as a repair.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Label each file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Naming attachments so that a coordinator, or the requester two years later, can tell what each one shows without opening all of them. Unlabelled files are the reason attachments stop being evidence and become clutter, and labelling is the cheapest available defence against that.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Save a draft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a part-finished request aside and returning to it. Requesters are routinely interrupted and frequently have to go and find a piece of information — a floor plan, a quantity, an approval — before they can continue, so a request that cannot be paused is a request that gets abandoned and started again from nothing.</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Submit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Sending the completed request for review in one deliberate action, without a separate status change the requester has to remember to make. Submission is also the moment at which ownership passes to Infrastructure, so it has to be unambiguous to both sides.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Receive submission confirmation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unambiguous acknowledgement that the request was received, with a reference the requester can quote. This closes the loop that currently causes infrequent requesters to submit a second request out of uncertainty, which is one of the two routes by which duplicates enter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that the request is complete before submitting</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Reviewing the assembled request against what the chosen request type requires — the marked plan a reconfiguration needs, the approval a purchase needs, the product detail a warranty claim needs — before it is sent. On the board this task sits at the end of the branch because that is where the requester usually discovers it was needed; the product’s job is to move the discovery earlier, by saying what is missing while the request can still be corrected without a round trip through a coordinator.</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Follow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the requester does between submission and completion. This subgoal is the heart of the problem statement: today it is accomplished through email, telephone calls and memory rather than through any system, which means a requester’s knowledge of their own request is only as good as their inbox and is lost entirely while they are away.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current status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what state the request is in — created, submitted, assigned, in progress, completed — without asking anyone. This is the smallest useful thing the product can offer a requester and the one most likely to remove an enquiry.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workflow stage / next steps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Understanding not merely the status label but what is happening now, who is doing it and what happens next. This is what a requester actually needs in order to answer the manager who asked them, and a status alone rarely answers it: “in progress” does not distinguish a request waiting on a quote from one waiting on a delivery date.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 third party vendor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Seeing how far an external supplier, mover or installer has got — ordered, shipped, scheduled, installed — without the supplier having to work in the system. External parties do not transact here, so this information reaches the request through the staff who deal with them, and the task exists to make sure it arrives there at all.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if progressing or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Judging whether silence means normal progress or a problem. This judgement triggers every follow-up the requester makes and is currently made on instinct, from how long it has been and what happened last time. Showing the stage, the date of the last change and the expected next step turns the guess into a decision, and it is what allows an experienced requester such as Priya to leave most of her requests alone.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Stay informed about changes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told when something changes rather than having to go and check. The requester’s goal here is to be able to stop watching: to know that if anything happens they will hear about it, and therefore that no news genuinely means no change.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 immediate notification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Being alerted promptly when the change is one that requires the requester to act — a question from a coordinator, a scheduled delivery date, an approval that is needed. Notifications that arrive for everything get turned off, so the ones that matter have to be distinguishable from the ones that do not.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requests for additional information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Supplying what a coordinator has asked for — a marked plan, a quantity, a product detail, a confirmation — and supplying it against the request rather than by return email. This is the requester’s half of Daniel’s scenario, and it is the point at which a request either becomes actionable or goes back into a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Communicate about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Conducting the conversation that a request generates — questions, clarifications, corrections and agreement about what was actually meant — in a way that stays attached to the request instead of dispersing into mail, Teams messages and telephone calls.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Reach the right person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Getting to whoever currently owns the request rather than to whoever answered last time. Ownership changes at every handoff between service groups, and the requester has no way of knowing that it has changed, so they write to the last name they have and wait.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Keep communication tied to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what was asked, answered and decided is recorded against the request rather than in a private mailbox. This is what lets the request survive the requester’s absence, lets the next coordinator see why a decision was made, and is the difference between a record and a correspondence.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5.6.3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Chase coordinator if/when stalled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Escalating when nothing has moved: telephoning, emailing, and asking someone to find out where the request has got to. This task should become rare if the rest of the model works, and its frequency is a fair measure of whether the product has succeeded.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Verify and correct onsite work</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Checking the delivered result against what was asked for — the right items, the right quantity, the right room, assembled and working — and acting on any difference. The check itself is physical and happens in the office; the product’s part is to let its outcome be recorded against the request and to let a correction be raised without starting again. The board places it under following the request rather than under closing it, because verification is something the requester does while the request is still live.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work was done correctly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that the furniture arrived in the right place, in the right quantity and in working order. It is the requester’s statement rather than the installer’s, and it is what distinguishes work that was done from work that was accepted.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5.7.2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Flag a mistake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Reporting a scope or installation error — wrong floor, wrong item, missing pieces, damage — against the existing request rather than opening a new one, so that the correction inherits the request’s history, its location detail and its conversation. This is Kevin’s scenario, and raising a second request instead is precisely the behaviour that loses the original intent.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6</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Complete and close the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Bringing the request to a definite end, so that the record shows not only that work happened but that the requester accepted it. Without an explicit close, a request is only ever assumed to be finished and closure becomes an administrative act performed by whoever tidies the queue.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completion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Stating that the need has been met: the furniture is in place, in the quantity agreed, and the person who reported the problem is working again. This is the only event in the model that can honestly end the requester’s goal, and it is also what makes the closed request trustworthy as a source years later, when a warranty claim or a replacement part depends on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6.2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a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anything still outstanding at the point of closure — a missing keyboard tray, a damaged panel, one chair short — so that closure is not a way of hiding an unresolved problem. The board makes this a sibling of confirming completion rather than a new request, because the outstanding item belongs to the history of the work that produced it.</w:t>
            </w:r>
          </w:p>
        </w:tc>
      </w:tr>
    </w:tbl>
    <w:p>
      <w:pPr>
        <w:keepNext/>
        <w:spacing w:after="60" w:before="0" w:line="276"/>
        <w:jc w:val="left"/>
      </w:pPr>
      <w:r>
        <w:rPr>
          <w:rFonts w:ascii="Calibri" w:cs="Calibri" w:eastAsia="Calibri" w:hAnsi="Calibri"/>
          <w:b/>
          <w:bCs/>
          <w:i w:val="false"/>
          <w:iCs w:val="false"/>
          <w:color w:val="1F3864"/>
          <w:sz w:val="22"/>
          <w:szCs w:val="22"/>
        </w:rPr>
        <w:t xml:space="preserve">Tasks not on the board</w:t>
      </w:r>
    </w:p>
    <w:p>
      <w:pPr>
        <w:keepNext w:val="false"/>
        <w:spacing w:after="200" w:before="0" w:line="276"/>
        <w:jc w:val="both"/>
      </w:pPr>
      <w:r>
        <w:rPr>
          <w:rFonts w:ascii="Calibri" w:cs="Calibri" w:eastAsia="Calibri" w:hAnsi="Calibri"/>
          <w:b w:val="false"/>
          <w:bCs w:val="false"/>
          <w:i w:val="false"/>
          <w:iCs w:val="false"/>
          <w:color w:val="000000"/>
          <w:sz w:val="20"/>
          <w:szCs w:val="20"/>
        </w:rPr>
        <w:t xml:space="preserve">Four tasks from an earlier draft of this document are not nodes on the board and so are not rows above. Being added to the system as a user is an administrative act performed by someone else. Identifying an origin and a destination is, on the board, two uses of 3.1 to 3.4 rather than a task of its own. Resolving a duplicate request and approving a change of supply path sit on the service staff side, at 1.4 and 2 of the second table, with the requester taking part through 5.5 and 5.6. The history and reporting tasks of that draft — finding an old request, listing active requests, and reporting by location, status or period — are likewise absent from the board; the need behind them survives at 2.5 and 2.6, the two points at which a requester reaches into past requests in order to raise a new one. They are recorded here so that leaving them off the board remains a visible decision rather than an oversight.</w:t>
      </w:r>
    </w:p>
    <w:p>
      <w:r>
        <w:br w:type="page"/>
      </w:r>
    </w:p>
    <w:p>
      <w:pPr>
        <w:pStyle w:val="Heading1"/>
        <w:pBdr>
          <w:bottom w:val="single" w:color="C6D0E0" w:sz="8" w:space="6"/>
        </w:pBdr>
        <w:spacing w:after="160" w:before="360"/>
      </w:pPr>
      <w:r>
        <w:rPr>
          <w:rFonts w:ascii="Calibri" w:cs="Calibri" w:eastAsia="Calibri" w:hAnsi="Calibri"/>
          <w:b/>
          <w:bCs/>
          <w:color w:val="1F3864"/>
          <w:sz w:val="30"/>
          <w:szCs w:val="30"/>
        </w:rPr>
        <w:t xml:space="preserve">The Service Staff Goal — Task Hierarchy and Descriptions</w:t>
      </w:r>
    </w:p>
    <w:p>
      <w:pPr>
        <w:keepNext/>
        <w:spacing w:after="160" w:before="0" w:line="276"/>
        <w:jc w:val="both"/>
      </w:pPr>
      <w:r>
        <w:rPr>
          <w:rFonts w:ascii="Calibri" w:cs="Calibri" w:eastAsia="Calibri" w:hAnsi="Calibri"/>
          <w:b w:val="false"/>
          <w:bCs w:val="false"/>
          <w:i w:val="false"/>
          <w:iCs w:val="false"/>
          <w:color w:val="000000"/>
          <w:sz w:val="22"/>
          <w:szCs w:val="22"/>
        </w:rPr>
        <w:t xml:space="preserve">The tasks below correspond to section 4.3 and describe the work of Infrastructure service staff who receive, coordinate and fulfil Furniture Requests. They complete the picture: a request reaches a satisfactory conclusion only if both sets of tasks succeed. The table is numbered and laid out in the same way as the requester table above, so that a task on one side can be read against the task it answers on the other — 5.5 against 1.3, 5.1 against 4.1, 6.1 against 5.1.</w:t>
      </w:r>
    </w:p>
    <w:tbl>
      <w:tblPr>
        <w:tblW w:type="dxa" w:w="10080"/>
        <w:tblBorders>
          <w:top w:val="single" w:color="C6D0E0" w:sz="4"/>
          <w:left w:val="single" w:color="C6D0E0" w:sz="4"/>
          <w:bottom w:val="single" w:color="C6D0E0" w:sz="4"/>
          <w:right w:val="single" w:color="C6D0E0" w:sz="4"/>
          <w:insideH w:val="single" w:color="C6D0E0" w:sz="2"/>
          <w:insideV w:val="single" w:color="C6D0E0" w:sz="2"/>
        </w:tblBorders>
      </w:tblPr>
      <w:tblGrid>
        <w:gridCol w:w="620"/>
        <w:gridCol w:w="2480"/>
        <w:gridCol w:w="600"/>
        <w:gridCol w:w="1380"/>
        <w:gridCol w:w="5000"/>
      </w:tblGrid>
      <w:tr>
        <w:trPr>
          <w:cantSplit/>
          <w:tblHeader/>
        </w:trPr>
        <w:tc>
          <w:tcPr>
            <w:tcW w:type="dxa" w:w="62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No.</w:t>
            </w:r>
          </w:p>
        </w:tc>
        <w:tc>
          <w:tcPr>
            <w:tcW w:type="dxa" w:w="24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Task</w:t>
            </w:r>
          </w:p>
        </w:tc>
        <w:tc>
          <w:tcPr>
            <w:tcW w:type="dxa" w:w="6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Level</w:t>
            </w:r>
          </w:p>
        </w:tc>
        <w:tc>
          <w:tcPr>
            <w:tcW w:type="dxa" w:w="138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Where performed</w:t>
            </w:r>
          </w:p>
        </w:tc>
        <w:tc>
          <w:tcPr>
            <w:tcW w:type="dxa" w:w="5000"/>
            <w:shd w:fill="EDF1F7"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Description</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Goal</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Get the Furniture Request delivered for the client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Goal</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staff goal: to turn a submitted request into furniture in place, coordinated across whichever Infrastructure groups and external suppliers the work requires, without the request losing coherence as it passes between them.</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1</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Take on an incoming request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Everything between a request arriving and it becoming actionable work. The cost of an incomplete request falls here, which is why so much of the functional specification concerns completeness at submission.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Review what has been submitted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Reading the request, its attachments and its location detail to understand what is being asked for.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Judge whether the request is complete enough to act 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Deciding whether the request can be progressed as it stands or whether something essential is missing. This judgement requires domain knowledge that the requester does not have.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Gather the information still required from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Obtaining what is missing. Today this happens by email and the answers live in an inbox; the product’s purpose here is to make the exchange part of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Ask the requester a question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Raising a specific query in a way that is visible to the requester, attached to the request, and available to whoever handles the request next.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the medium required to input the missing data</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Determining what form the missing information must take — a marked plan, a photograph, a quantity, an approval — before asking for it.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Input data and files and confirm the requirement with the requester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Recording what was supplied and confirming with the requester that it represents the need correctly, so that the request is agreed before work starts.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Identify duplicate requests for the same need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Recognising that two requests describe the same furniture need, which happens when more than one authorized requester acts on the same report.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Determine which request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Choosing the request that will carry the work forward, normally the earlier or the more complete of the two.</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Preserve the history of the request that continues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Ensuring that resolving a duplicate does not discard information, decisions or attachments recorded on either request.</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2</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Decide how the need will be met</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the supply path. This decision determines cost, timescale and which groups become involved, and it is the point at which a request commits to the recycled or the new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Check recycle-program inventory for a suitable item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whether suitable furniture already exists in government stock, honouring the requester’s stated preference where one was given.</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 whether the item must be purchased new</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Concluding that no suitable recycled item exists and that a purchase is required, which moves the request onto the procurement path.</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approval where one is required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approval and the decision information that accompanies it, so that the authority for the spend is part of the record rather than a separate email.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Link the purchase order reference to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Attaching the procurement reference for a furniture purchase to the request, so that the request and the order it generated can be read together without searching the procurement system separately.</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3</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Coordinate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Moving the request through the several groups and suppliers that carry out the physical work. This is where the problem statement locates the difficulty: the handoffs are where information is lost.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Assign the request to the responsible group or coordinator</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explicit ownership, so that the requester and other staff can tell who currently holds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Hand the request on to the next group without losing its history</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Transferring ownership while keeping the accumulated information, decisions and conversation attached to the request.</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progress against the fulfilment stages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Updating the stage the request has reached, which is what makes status meaningful to the requester rather than nominal.</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external supplier, delivery and installation progress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Reflecting what suppliers and installers are doing, entered by staff rather than by the suppliers themselves, because external parties do not transact in the system.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3.5</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Schedule the delivery, move or installation</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Setting the date on which the physical work will happen and making it visible to the requester, who often has to arrange access or clear the area.</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4</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Keep the client informed</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The service side of the follow-up that the requester is performing. Each of these tasks exists to remove a chase that the requester would otherwise have to make.</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Update the status the requester sees</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Making sure the state visible to the client reflects reality, which is the single change most likely to reduce enquiries.</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Respond to the requester against the request</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Answering questions in the request rather than by separate message, so that the answer is available to everyone who needs it later.</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4.3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Notify the requester when action is needed from them</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Alerting the requester specifically when the request is waiting on them, which is the only notification a busy requester reliably wants.</w:t>
            </w:r>
          </w:p>
        </w:tc>
      </w:tr>
      <w:tr>
        <w:tc>
          <w:tcPr>
            <w:tcW w:type="dxa" w:w="62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5</w:t>
            </w:r>
          </w:p>
        </w:tc>
        <w:tc>
          <w:tcPr>
            <w:tcW w:type="dxa" w:w="24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bCs/>
                <w:i w:val="false"/>
                <w:iCs w:val="false"/>
                <w:color w:val="1F3864"/>
                <w:sz w:val="20"/>
                <w:szCs w:val="20"/>
              </w:rPr>
              <w:t xml:space="preserve">Close and account for the work</w:t>
            </w:r>
          </w:p>
        </w:tc>
        <w:tc>
          <w:tcPr>
            <w:tcW w:type="dxa" w:w="6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1</w:t>
            </w:r>
          </w:p>
        </w:tc>
        <w:tc>
          <w:tcPr>
            <w:tcW w:type="dxa" w:w="138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shd w:fill="F4F7FC" w:color="auto" w:val="clear"/>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Finishing the request properly: confirming the outcome, recording why it closed, and making the request available to the reporting that the service is measured by.</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5.1</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Confirm the work was completed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Partly outside</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Establishing that the furniture is in place and that the request has been fulfilled as agreed.</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5.2</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asset and warranty information for what was supplied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Capturing the manufacturer, model or serial number of the furniture actually supplied, together with any warranty period or expiry date. This is the task that makes a warranty claim possible years later, and it is done once, by the person who has the information in front of them.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5.3</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Record the closure and any remaining issue</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Classifying how the request ended and capturing anything the requester reported as outstanding, so that closure is not a way of hiding an unresolved problem.</w:t>
            </w:r>
          </w:p>
        </w:tc>
      </w:tr>
      <w:tr>
        <w:tc>
          <w:tcPr>
            <w:tcW w:type="dxa" w:w="62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5.4</w:t>
            </w:r>
          </w:p>
        </w:tc>
        <w:tc>
          <w:tcPr>
            <w:tcW w:type="dxa" w:w="24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Report on requests by location, status and period</w:t>
            </w:r>
          </w:p>
        </w:tc>
        <w:tc>
          <w:tcPr>
            <w:tcW w:type="dxa" w:w="6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2</w:t>
            </w:r>
          </w:p>
        </w:tc>
        <w:tc>
          <w:tcPr>
            <w:tcW w:type="dxa" w:w="138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In product</w:t>
            </w:r>
          </w:p>
        </w:tc>
        <w:tc>
          <w:tcPr>
            <w:tcW w:type="dxa" w:w="5000"/>
            <w:tcMar>
              <w:top w:type="dxa" w:w="70"/>
              <w:left w:type="dxa" w:w="100"/>
              <w:bottom w:type="dxa" w:w="70"/>
              <w:right w:type="dxa" w:w="100"/>
            </w:tcMar>
          </w:tcPr>
          <w:p>
            <w:pPr>
              <w:spacing w:after="20" w:before="20" w:line="252"/>
              <w:jc w:val="left"/>
            </w:pPr>
            <w:r>
              <w:rPr>
                <w:rFonts w:ascii="Calibri" w:cs="Calibri" w:eastAsia="Calibri" w:hAnsi="Calibri"/>
                <w:b w:val="false"/>
                <w:bCs w:val="false"/>
                <w:i w:val="false"/>
                <w:iCs w:val="false"/>
                <w:color w:val="000000"/>
                <w:sz w:val="20"/>
                <w:szCs w:val="20"/>
              </w:rPr>
              <w:t xml:space="preserve">Producing the operational view across many requests that service managers need for capacity, cost and performance, using the information the requests already hold.</w:t>
            </w:r>
          </w:p>
        </w:tc>
      </w:tr>
    </w:tbl>
    <w:sectPr>
      <w:headerReference w:type="default" r:id="rId7"/>
      <w:footerReference w:type="default" r:id="rId8"/>
      <w:pgSz w:w="12240" w:h="15840"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6D0E0" w:sz="6" w:space="4"/>
      </w:pBdr>
      <w:tabs>
        <w:tab w:val="right" w:pos="9026"/>
      </w:tabs>
      <w:spacing w:before="60"/>
    </w:pPr>
    <w:r>
      <w:rPr>
        <w:rFonts w:ascii="Calibri" w:cs="Calibri" w:eastAsia="Calibri" w:hAnsi="Calibri"/>
        <w:color w:val="44546A"/>
        <w:sz w:val="16"/>
        <w:szCs w:val="16"/>
      </w:rPr>
      <w:t xml:space="preserve">PRISM Furniture Request — Task Descriptions</w:t>
    </w:r>
    <w:r>
      <w:rPr>
        <w:sz w:val="16"/>
        <w:szCs w:val="16"/>
      </w:rPr>
      <w:t xml:space="preserve">	</w:t>
    </w:r>
    <w:r>
      <w:rPr>
        <w:rFonts w:ascii="Calibri" w:cs="Calibri" w:eastAsia="Calibri" w:hAnsi="Calibri"/>
        <w:color w:val="44546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D0E0" w:sz="6" w:space="4"/>
      </w:pBdr>
      <w:spacing w:after="60"/>
      <w:jc w:val="right"/>
    </w:pPr>
    <w:r>
      <w:rPr>
        <w:rFonts w:ascii="Calibri" w:cs="Calibri" w:eastAsia="Calibri" w:hAnsi="Calibri"/>
        <w:color w:val="44546A"/>
        <w:sz w:val="16"/>
        <w:szCs w:val="16"/>
      </w:rPr>
      <w:t xml:space="preserve">MDPM 883 · PRISM Furniture Request · Task Descriptions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lvl w:ilvl="1" w15:tentative="1">
      <w:start w:val="1"/>
      <w:numFmt w:val="bullet"/>
      <w:lvlText w:val="–"/>
      <w:lvlJc w:val="left"/>
      <w:pPr>
        <w:ind w:left="863" w:hanging="288"/>
      </w:pPr>
    </w:lvl>
    <w:lvl w:ilvl="2" w15:tentative="1">
      <w:start w:val="1"/>
      <w:numFmt w:val="bullet"/>
      <w:lvlText w:val="◦"/>
      <w:lvlJc w:val="left"/>
      <w:pPr>
        <w:ind w:left="1296" w:hanging="288"/>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PRISM Furniture Request — Task Descriptions</dc:title>
  <dc:creator>MDPM 883 Project Team</dc:creator>
  <cp:lastModifiedBy>Un-named</cp:lastModifiedBy>
  <cp:revision>1</cp:revision>
  <dcterms:created xsi:type="dcterms:W3CDTF">2026-09-19T10:18:06.634Z</dcterms:created>
  <dcterms:modified xsi:type="dcterms:W3CDTF">2026-09-19T10:18:06.648Z</dcterms:modified>
</cp:coreProperties>
</file>

<file path=docProps/custom.xml><?xml version="1.0" encoding="utf-8"?>
<Properties xmlns="http://schemas.openxmlformats.org/officeDocument/2006/custom-properties" xmlns:vt="http://schemas.openxmlformats.org/officeDocument/2006/docPropsVTypes"/>
</file>