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7293D"/>
          <w:sz w:val="38"/>
          <w:szCs w:val="38"/>
        </w:rPr>
        <w:t xml:space="preserve">Adekunle Adeniji</w:t>
      </w:r>
    </w:p>
    <w:p>
      <w:pPr>
        <w:spacing w:after="20"/>
      </w:pPr>
      <w:r>
        <w:rPr>
          <w:b/>
          <w:bCs/>
          <w:color w:val="1F3B57"/>
          <w:sz w:val="24"/>
          <w:szCs w:val="24"/>
        </w:rPr>
        <w:t xml:space="preserve">Project Manager | Program Manager</w:t>
      </w:r>
    </w:p>
    <w:p>
      <w:pPr>
        <w:spacing w:after="40"/>
      </w:pPr>
      <w:r>
        <w:rPr>
          <w:color w:val="333333"/>
        </w:rPr>
        <w:t xml:space="preserve">Kingston, Ontario, Canada  |  +1 343-989-2373  |  teminicrownpro@gmail.com</w:t>
      </w:r>
    </w:p>
    <w:p>
      <w:pPr>
        <w:pStyle w:val="Heading1"/>
      </w:pPr>
      <w:r>
        <w:t xml:space="preserve">PROFESSIONAL SUMMARY</w:t>
      </w:r>
    </w:p>
    <w:p>
      <w:pPr>
        <w:spacing w:after="60"/>
      </w:pPr>
      <w:r>
        <w:t xml:space="preserve">Project and program manager with more than four years directing multidisciplinary creative, production, research, and community teams across professional services and cultural institutions in Canada and the United States, including the Metropolitan Museum of Art, the Denver Art Museum, and the Smithsonian. Delivers concurrent multichannel projects spanning print, digital, interactive, and live-event channels, each governed by fixed public launch dates and tight deadlines. Practises the full PMI delivery lifecycle across all five process groups, from initiation and charter definition through planning, execution, monitoring and control, and formal closure, and applies all ten knowledge areas in daily work: integration, scope, schedule, cost, quality, resource, communications, risk, procurement, and stakeholder management. Combines predictive and agile approaches, translates delivery and budget data into decision-ready reporting for executives, and balances client, partner, and internal team needs by consulting the appropriate specialists for approvals on proposed timing and cost scenarios.</w:t>
      </w:r>
    </w:p>
    <w:p>
      <w:pPr>
        <w:pStyle w:val="Heading1"/>
      </w:pPr>
      <w:r>
        <w:t xml:space="preserve">SKILLS</w:t>
      </w:r>
    </w:p>
    <w:p>
      <w:pPr>
        <w:spacing w:after="60"/>
      </w:pPr>
      <w:r>
        <w:t xml:space="preserve">Project Management, Program Management, Requirements Elicitation, Scope Management, Work Breakdown Structure (WBS), Schedule Management, Critical Path, Gantt Charts, Budgeting and Cost Control, Variance Analysis, Risk Management, Change Control, Quality Control, Stakeholder Management, Vendor Management, Resource Planning, Agile, Scrum, Hybrid Delivery, Status Reporting, Executive Dashboards, Survey Design, Program Evaluation, Cross-functional Team Leadership, Event Planning, Print and Digital Production</w:t>
      </w:r>
    </w:p>
    <w:p>
      <w:pPr>
        <w:pStyle w:val="Heading1"/>
      </w:pPr>
      <w:r>
        <w:t xml:space="preserve">PROJECT MANAGEMENT COMPETENCIES</w:t>
      </w:r>
    </w:p>
    <w:p>
      <w:pPr>
        <w:pStyle w:val="ListParagraph"/>
        <w:numPr>
          <w:ilvl w:val="0"/>
          <w:numId w:val="2"/>
        </w:numPr>
        <w:spacing w:after="0"/>
      </w:pPr>
      <w:r>
        <w:rPr>
          <w:b/>
          <w:bCs/>
        </w:rPr>
        <w:t xml:space="preserve">Integration management: </w:t>
      </w:r>
      <w:r>
        <w:t xml:space="preserve">developing project charters and integrated delivery plans, directing and managing execution, consolidating work across disciplines into a single schedule and budget baseline, controlling integrated change through documented change requests and approvals, and leading structured project closure with lessons learned</w:t>
      </w:r>
    </w:p>
    <w:p>
      <w:pPr>
        <w:pStyle w:val="ListParagraph"/>
        <w:numPr>
          <w:ilvl w:val="0"/>
          <w:numId w:val="2"/>
        </w:numPr>
        <w:spacing w:after="0"/>
      </w:pPr>
      <w:r>
        <w:rPr>
          <w:b/>
          <w:bCs/>
        </w:rPr>
        <w:t xml:space="preserve">Scope management: </w:t>
      </w:r>
      <w:r>
        <w:t xml:space="preserve">eliciting and documenting requirements from clients and partners, composing scope statements and statements of work, building work breakdown structures, validating deliverables against acceptance criteria, and controlling scope creep through early identification and formal change routing</w:t>
      </w:r>
    </w:p>
    <w:p>
      <w:pPr>
        <w:pStyle w:val="ListParagraph"/>
        <w:numPr>
          <w:ilvl w:val="0"/>
          <w:numId w:val="2"/>
        </w:numPr>
        <w:spacing w:after="0"/>
      </w:pPr>
      <w:r>
        <w:rPr>
          <w:b/>
          <w:bCs/>
        </w:rPr>
        <w:t xml:space="preserve">Schedule management: </w:t>
      </w:r>
      <w:r>
        <w:t xml:space="preserve">defining and sequencing activities, estimating durations, developing schedules that map timing for each step of the development process, identifying critical path and dependencies, tracking milestones, and controlling schedule variance across concurrent projects</w:t>
      </w:r>
    </w:p>
    <w:p>
      <w:pPr>
        <w:pStyle w:val="ListParagraph"/>
        <w:numPr>
          <w:ilvl w:val="0"/>
          <w:numId w:val="2"/>
        </w:numPr>
        <w:spacing w:after="0"/>
      </w:pPr>
      <w:r>
        <w:rPr>
          <w:b/>
          <w:bCs/>
        </w:rPr>
        <w:t xml:space="preserve">Cost management: </w:t>
      </w:r>
      <w:r>
        <w:t xml:space="preserve">estimating effort and expense, building and baselining budgets, monitoring actual spend against plan through regular burn and expense reporting, analysing variance, and forecasting to completion so overruns are surfaced early</w:t>
      </w:r>
    </w:p>
    <w:p>
      <w:pPr>
        <w:pStyle w:val="ListParagraph"/>
        <w:numPr>
          <w:ilvl w:val="0"/>
          <w:numId w:val="2"/>
        </w:numPr>
        <w:spacing w:after="0"/>
      </w:pPr>
      <w:r>
        <w:rPr>
          <w:b/>
          <w:bCs/>
        </w:rPr>
        <w:t xml:space="preserve">Quality management: </w:t>
      </w:r>
      <w:r>
        <w:t xml:space="preserve">planning quality standards and review criteria, managing multi-stage review and approval cycles, performing quality control on deliverables before release, and maintaining accuracy and consistency across print and digital output</w:t>
      </w:r>
    </w:p>
    <w:p>
      <w:pPr>
        <w:pStyle w:val="ListParagraph"/>
        <w:numPr>
          <w:ilvl w:val="0"/>
          <w:numId w:val="2"/>
        </w:numPr>
        <w:spacing w:after="0"/>
      </w:pPr>
      <w:r>
        <w:rPr>
          <w:b/>
          <w:bCs/>
        </w:rPr>
        <w:t xml:space="preserve">Resource management: </w:t>
      </w:r>
      <w:r>
        <w:t xml:space="preserve">estimating and planning resource needs, routing work to the appropriate discipline lead for assignment, recruiting, scheduling, and supervising team members and volunteers, developing team capability, and managing performance across concurrent workstreams</w:t>
      </w:r>
    </w:p>
    <w:p>
      <w:pPr>
        <w:pStyle w:val="ListParagraph"/>
        <w:numPr>
          <w:ilvl w:val="0"/>
          <w:numId w:val="2"/>
        </w:numPr>
        <w:spacing w:after="0"/>
      </w:pPr>
      <w:r>
        <w:rPr>
          <w:b/>
          <w:bCs/>
        </w:rPr>
        <w:t xml:space="preserve">Communications management: </w:t>
      </w:r>
      <w:r>
        <w:t xml:space="preserve">planning communications cadence, producing status reports, dashboards, and executive summaries, running triage and planning meetings, documenting decisions and next steps, and monitoring that information reaches the right stakeholders</w:t>
      </w:r>
    </w:p>
    <w:p>
      <w:pPr>
        <w:pStyle w:val="ListParagraph"/>
        <w:numPr>
          <w:ilvl w:val="0"/>
          <w:numId w:val="2"/>
        </w:numPr>
        <w:spacing w:after="0"/>
      </w:pPr>
      <w:r>
        <w:rPr>
          <w:b/>
          <w:bCs/>
        </w:rPr>
        <w:t xml:space="preserve">Risk management: </w:t>
      </w:r>
      <w:r>
        <w:t xml:space="preserve">identifying risks and workflow gaps, performing qualitative assessment of probability and impact, planning mitigation and contingency responses, escalating issues to senior management for resolution, and monitoring risk through delivery</w:t>
      </w:r>
    </w:p>
    <w:p>
      <w:pPr>
        <w:pStyle w:val="ListParagraph"/>
        <w:numPr>
          <w:ilvl w:val="0"/>
          <w:numId w:val="2"/>
        </w:numPr>
        <w:spacing w:after="0"/>
      </w:pPr>
      <w:r>
        <w:rPr>
          <w:b/>
          <w:bCs/>
        </w:rPr>
        <w:t xml:space="preserve">Procurement management: </w:t>
      </w:r>
      <w:r>
        <w:t xml:space="preserve">planning external resourcing needs, engaging facilitators, suppliers, and production vendors, comparing quotes and confirming terms, monitoring supplier deliverables against agreed scope and cost, and verifying completion before payment</w:t>
      </w:r>
    </w:p>
    <w:p>
      <w:pPr>
        <w:pStyle w:val="ListParagraph"/>
        <w:numPr>
          <w:ilvl w:val="0"/>
          <w:numId w:val="2"/>
        </w:numPr>
        <w:spacing w:after="0"/>
      </w:pPr>
      <w:r>
        <w:rPr>
          <w:b/>
          <w:bCs/>
        </w:rPr>
        <w:t xml:space="preserve">Stakeholder management: </w:t>
      </w:r>
      <w:r>
        <w:t xml:space="preserve">identifying and analysing stakeholders, planning engagement, building positive relationships with cross-functional and external partners, managing expectations under competing priorities, and monitoring engagement and satisfaction throughout delivery</w:t>
      </w:r>
    </w:p>
    <w:p>
      <w:pPr>
        <w:pStyle w:val="Heading1"/>
      </w:pPr>
      <w:r>
        <w:t xml:space="preserve">WORK EXPERIENCE</w:t>
      </w:r>
    </w:p>
    <w:p>
      <w:pPr>
        <w:keepNext/>
        <w:tabs>
          <w:tab w:val="right" w:pos="10800"/>
        </w:tabs>
        <w:spacing w:after="0" w:before="60"/>
      </w:pPr>
      <w:r>
        <w:rPr>
          <w:b/>
          <w:bCs/>
          <w:sz w:val="22"/>
          <w:szCs w:val="22"/>
        </w:rPr>
        <w:t xml:space="preserve">Project Manager and Program Lead</w:t>
      </w:r>
      <w:r>
        <w:rPr>
          <w:b/>
          <w:bCs/>
        </w:rPr>
        <w:t xml:space="preserve">	2025 – Present</w:t>
      </w:r>
    </w:p>
    <w:p>
      <w:pPr>
        <w:keepNext/>
        <w:spacing w:after="20"/>
      </w:pPr>
      <w:r>
        <w:rPr>
          <w:i/>
          <w:iCs/>
        </w:rPr>
        <w:t xml:space="preserve">Emole Futures Initiative Inc., Kingston, Ontario</w:t>
      </w:r>
    </w:p>
    <w:p>
      <w:pPr>
        <w:pStyle w:val="ListParagraph"/>
        <w:numPr>
          <w:ilvl w:val="0"/>
          <w:numId w:val="2"/>
        </w:numPr>
        <w:spacing w:after="0"/>
      </w:pPr>
      <w:r>
        <w:t xml:space="preserve">Define program parameters and objectives with the executive team, review incoming partner and participant requests to confirm required information is complete, identify stakeholders across schools, mentors, and community organizations, and translate agreed objectives into documented scope and deliverables for the Black Youth in Business program.</w:t>
      </w:r>
    </w:p>
    <w:p>
      <w:pPr>
        <w:pStyle w:val="ListParagraph"/>
        <w:numPr>
          <w:ilvl w:val="0"/>
          <w:numId w:val="2"/>
        </w:numPr>
        <w:spacing w:after="0"/>
      </w:pPr>
      <w:r>
        <w:t xml:space="preserve">Draft integrated program plans, budget estimates, and scope definitions; build schedules and milestone plans across four concurrent workstreams that map timing for each step of delivery; and plan resource needs, facilitator engagements, and materials against a baselined budget.</w:t>
      </w:r>
    </w:p>
    <w:p>
      <w:pPr>
        <w:pStyle w:val="ListParagraph"/>
        <w:numPr>
          <w:ilvl w:val="0"/>
          <w:numId w:val="2"/>
        </w:numPr>
        <w:spacing w:after="0"/>
      </w:pPr>
      <w:r>
        <w:t xml:space="preserve">Direct end-to-end delivery from concept through workshops, mentoring sessions, and public events; recruit, schedule, and supervise program assistants and volunteer mentors; and route activities to the right facilitators so work reaches the correct owner the first time.</w:t>
      </w:r>
    </w:p>
    <w:p>
      <w:pPr>
        <w:pStyle w:val="ListParagraph"/>
        <w:numPr>
          <w:ilvl w:val="0"/>
          <w:numId w:val="2"/>
        </w:numPr>
        <w:spacing w:after="0"/>
      </w:pPr>
      <w:r>
        <w:t xml:space="preserve">Monitor actual spend against budget for facilitator fees, materials, and event expenses, update expense reports on a regular cadence, analyse variance, and escalate scope changes to leadership while they remain small enough to absorb.</w:t>
      </w:r>
    </w:p>
    <w:p>
      <w:pPr>
        <w:pStyle w:val="ListParagraph"/>
        <w:numPr>
          <w:ilvl w:val="0"/>
          <w:numId w:val="2"/>
        </w:numPr>
        <w:spacing w:after="0"/>
      </w:pPr>
      <w:r>
        <w:t xml:space="preserve">Identify delivery risks and workflow gaps early, document decisions and next steps from planning meetings to keep teams aligned, apply quality review to facilitator output, and present dashboards and outcome summaries that translate delivery and budget data into decision-ready formats for executives and external stakeholders.</w:t>
      </w:r>
    </w:p>
    <w:p>
      <w:pPr>
        <w:pStyle w:val="ListParagraph"/>
        <w:numPr>
          <w:ilvl w:val="0"/>
          <w:numId w:val="2"/>
        </w:numPr>
        <w:spacing w:after="0"/>
      </w:pPr>
      <w:r>
        <w:t xml:space="preserve">Designed and analysed a 27-question community intake survey and applied established evaluation methods to measure outcomes against objectives, reconcile results, and report findings that inform the next delivery cycle.</w:t>
      </w:r>
    </w:p>
    <w:p>
      <w:pPr>
        <w:keepNext/>
        <w:tabs>
          <w:tab w:val="right" w:pos="10800"/>
        </w:tabs>
        <w:spacing w:after="0" w:before="60"/>
      </w:pPr>
      <w:r>
        <w:rPr>
          <w:b/>
          <w:bCs/>
          <w:sz w:val="22"/>
          <w:szCs w:val="22"/>
        </w:rPr>
        <w:t xml:space="preserve">Project Coordinator, Arts of Africa (Curatorial Residency)</w:t>
      </w:r>
      <w:r>
        <w:rPr>
          <w:b/>
          <w:bCs/>
        </w:rPr>
        <w:t xml:space="preserve">	January 2025 – July 2025</w:t>
      </w:r>
    </w:p>
    <w:p>
      <w:pPr>
        <w:keepNext/>
        <w:spacing w:after="20"/>
      </w:pPr>
      <w:r>
        <w:rPr>
          <w:i/>
          <w:iCs/>
        </w:rPr>
        <w:t xml:space="preserve">The Metropolitan Museum of Art, New York, NY</w:t>
      </w:r>
    </w:p>
    <w:p>
      <w:pPr>
        <w:pStyle w:val="ListParagraph"/>
        <w:numPr>
          <w:ilvl w:val="0"/>
          <w:numId w:val="2"/>
        </w:numPr>
        <w:spacing w:after="0"/>
      </w:pPr>
      <w:r>
        <w:t xml:space="preserve">Coordinated collections and interpretation planning as the Samuel and Gabrielle Lurie Fund resident within the multimillion-dollar reinstallation of the Michael C. Rockefeller Wing, a multidisciplinary project delivered under tight deadlines against a fixed, publicly announced opening date.</w:t>
      </w:r>
    </w:p>
    <w:p>
      <w:pPr>
        <w:pStyle w:val="ListParagraph"/>
        <w:numPr>
          <w:ilvl w:val="0"/>
          <w:numId w:val="2"/>
        </w:numPr>
        <w:spacing w:after="0"/>
      </w:pPr>
      <w:r>
        <w:t xml:space="preserve">Aligned curatorial, conservation, registration, education, and design teams on interpretation deliverables, consulting the appropriate specialists for input and approvals on content, timing, and display decisions.</w:t>
      </w:r>
    </w:p>
    <w:p>
      <w:pPr>
        <w:pStyle w:val="ListParagraph"/>
        <w:numPr>
          <w:ilvl w:val="0"/>
          <w:numId w:val="2"/>
        </w:numPr>
        <w:spacing w:after="0"/>
      </w:pPr>
      <w:r>
        <w:t xml:space="preserve">Routed interpretive content through multi-stage review and approval cycles, tracking versions, milestones, and deadlines so print and digital deliverables stayed synchronized with the installation schedule.</w:t>
      </w:r>
    </w:p>
    <w:p>
      <w:pPr>
        <w:pStyle w:val="ListParagraph"/>
        <w:numPr>
          <w:ilvl w:val="0"/>
          <w:numId w:val="2"/>
        </w:numPr>
        <w:spacing w:after="0"/>
      </w:pPr>
      <w:r>
        <w:t xml:space="preserve">Documented outcomes and next steps from cross-team planning meetings, identified workflow gaps and schedule risks, and escalated issues to senior staff for resolution.</w:t>
      </w:r>
    </w:p>
    <w:p>
      <w:pPr>
        <w:pStyle w:val="ListParagraph"/>
        <w:numPr>
          <w:ilvl w:val="0"/>
          <w:numId w:val="2"/>
        </w:numPr>
        <w:spacing w:after="0"/>
      </w:pPr>
      <w:r>
        <w:t xml:space="preserve">Researched and wrote gallery interpretation and three published essays for the Museum's Heilbrunn Timeline of Art History, translating complex material into clear, accessible content for varied audiences.</w:t>
      </w:r>
    </w:p>
    <w:p>
      <w:pPr>
        <w:pStyle w:val="ListParagraph"/>
        <w:numPr>
          <w:ilvl w:val="0"/>
          <w:numId w:val="2"/>
        </w:numPr>
        <w:spacing w:after="0"/>
      </w:pPr>
      <w:r>
        <w:t xml:space="preserve">Delivered presentations to staff and stakeholders; the wing reopened to the public on schedule in May 2025.</w:t>
      </w:r>
    </w:p>
    <w:p>
      <w:pPr>
        <w:keepNext/>
        <w:tabs>
          <w:tab w:val="right" w:pos="10800"/>
        </w:tabs>
        <w:spacing w:after="0" w:before="60"/>
      </w:pPr>
      <w:r>
        <w:rPr>
          <w:b/>
          <w:bCs/>
          <w:sz w:val="22"/>
          <w:szCs w:val="22"/>
        </w:rPr>
        <w:t xml:space="preserve">Exhibition Project Coordinator and Curatorial Fellow</w:t>
      </w:r>
      <w:r>
        <w:rPr>
          <w:b/>
          <w:bCs/>
        </w:rPr>
        <w:t xml:space="preserve">	January 2022 – May 2023</w:t>
      </w:r>
    </w:p>
    <w:p>
      <w:pPr>
        <w:keepNext/>
        <w:spacing w:after="20"/>
      </w:pPr>
      <w:r>
        <w:rPr>
          <w:i/>
          <w:iCs/>
        </w:rPr>
        <w:t xml:space="preserve">Denver Art Museum, Denver, CO</w:t>
      </w:r>
    </w:p>
    <w:p>
      <w:pPr>
        <w:pStyle w:val="ListParagraph"/>
        <w:numPr>
          <w:ilvl w:val="0"/>
          <w:numId w:val="2"/>
        </w:numPr>
        <w:spacing w:after="0"/>
      </w:pPr>
      <w:r>
        <w:t xml:space="preserve">Coordinated exhibition deliverables and budgets across concurrent projects with fixed opening dates, juggling competing priorities while tracking progress and expenses to keep results on schedule and within budget.</w:t>
      </w:r>
    </w:p>
    <w:p>
      <w:pPr>
        <w:pStyle w:val="ListParagraph"/>
        <w:numPr>
          <w:ilvl w:val="0"/>
          <w:numId w:val="2"/>
        </w:numPr>
        <w:spacing w:after="0"/>
      </w:pPr>
      <w:r>
        <w:t xml:space="preserve">Managed print and digital deliverables through creative development and production, including gallery labels, catalogue copy, and digital interpretive content, from drafting through review, approval, and final printed and published output.</w:t>
      </w:r>
    </w:p>
    <w:p>
      <w:pPr>
        <w:pStyle w:val="ListParagraph"/>
        <w:numPr>
          <w:ilvl w:val="0"/>
          <w:numId w:val="2"/>
        </w:numPr>
        <w:spacing w:after="0"/>
      </w:pPr>
      <w:r>
        <w:t xml:space="preserve">Coordinated day-to-day deliverable movement across curatorial, education, design, and registration partners, ensuring alignment with scope, timing, and stakeholder needs, and communicating changes as scope and schedules shifted.</w:t>
      </w:r>
    </w:p>
    <w:p>
      <w:pPr>
        <w:pStyle w:val="ListParagraph"/>
        <w:numPr>
          <w:ilvl w:val="0"/>
          <w:numId w:val="2"/>
        </w:numPr>
        <w:spacing w:after="0"/>
      </w:pPr>
      <w:r>
        <w:t xml:space="preserve">Balanced institutional and community needs by collaborating with community advisors to shape exhibitions and public programming, incorporating stakeholder feedback into scope and content decisions.</w:t>
      </w:r>
    </w:p>
    <w:p>
      <w:pPr>
        <w:pStyle w:val="ListParagraph"/>
        <w:numPr>
          <w:ilvl w:val="0"/>
          <w:numId w:val="2"/>
        </w:numPr>
        <w:spacing w:after="0"/>
      </w:pPr>
      <w:r>
        <w:t xml:space="preserve">Handled and installed sculpture, textiles, and works on paper to professional museum standards, applying keen attention to quality and accuracy in coordination with registration and conservation.</w:t>
      </w:r>
    </w:p>
    <w:p>
      <w:pPr>
        <w:keepNext/>
        <w:tabs>
          <w:tab w:val="right" w:pos="10800"/>
        </w:tabs>
        <w:spacing w:after="0" w:before="60"/>
      </w:pPr>
      <w:r>
        <w:rPr>
          <w:b/>
          <w:bCs/>
          <w:sz w:val="22"/>
          <w:szCs w:val="22"/>
        </w:rPr>
        <w:t xml:space="preserve">Project and Curatorial Intern</w:t>
      </w:r>
      <w:r>
        <w:rPr>
          <w:b/>
          <w:bCs/>
        </w:rPr>
        <w:t xml:space="preserve">	July 2021 – November 2021</w:t>
      </w:r>
    </w:p>
    <w:p>
      <w:pPr>
        <w:keepNext/>
        <w:spacing w:after="20"/>
      </w:pPr>
      <w:r>
        <w:rPr>
          <w:i/>
          <w:iCs/>
        </w:rPr>
        <w:t xml:space="preserve">Smithsonian National Museum of African Art, Washington, DC</w:t>
      </w:r>
    </w:p>
    <w:p>
      <w:pPr>
        <w:pStyle w:val="ListParagraph"/>
        <w:numPr>
          <w:ilvl w:val="0"/>
          <w:numId w:val="2"/>
        </w:numPr>
        <w:spacing w:after="0"/>
      </w:pPr>
      <w:r>
        <w:t xml:space="preserve">Supported exhibition planning and public engagement across curatorial, conservation, and registration teams, applying federal-standard intake, documentation, and object-handling protocols in a cross-functional, networked environment.</w:t>
      </w:r>
    </w:p>
    <w:p>
      <w:pPr>
        <w:pStyle w:val="Heading1"/>
      </w:pPr>
      <w:r>
        <w:t xml:space="preserve">EDUCATION</w:t>
      </w:r>
    </w:p>
    <w:p>
      <w:pPr>
        <w:keepNext/>
        <w:tabs>
          <w:tab w:val="right" w:pos="10800"/>
        </w:tabs>
        <w:spacing w:after="0" w:before="60"/>
      </w:pPr>
      <w:r>
        <w:rPr>
          <w:b/>
          <w:bCs/>
          <w:sz w:val="20"/>
          <w:szCs w:val="20"/>
        </w:rPr>
        <w:t xml:space="preserve">Master of Digital Product Management</w:t>
      </w:r>
      <w:r>
        <w:rPr>
          <w:b/>
          <w:bCs/>
        </w:rPr>
        <w:t xml:space="preserve">	Expected 2027</w:t>
      </w:r>
    </w:p>
    <w:p>
      <w:pPr>
        <w:keepNext w:val="false"/>
        <w:spacing w:after="10"/>
      </w:pPr>
      <w:r>
        <w:rPr>
          <w:i/>
          <w:iCs/>
        </w:rPr>
        <w:t xml:space="preserve">Smith School of Business, Queen's University, Kingston, Ontario</w:t>
      </w:r>
    </w:p>
    <w:p>
      <w:pPr>
        <w:keepNext/>
        <w:tabs>
          <w:tab w:val="right" w:pos="10800"/>
        </w:tabs>
        <w:spacing w:after="0" w:before="60"/>
      </w:pPr>
      <w:r>
        <w:rPr>
          <w:b/>
          <w:bCs/>
          <w:sz w:val="20"/>
          <w:szCs w:val="20"/>
        </w:rPr>
        <w:t xml:space="preserve">Graduate Certificate, Project Management (Co-op)</w:t>
      </w:r>
      <w:r>
        <w:rPr>
          <w:b/>
          <w:bCs/>
        </w:rPr>
        <w:t xml:space="preserve">	2026</w:t>
      </w:r>
    </w:p>
    <w:p>
      <w:pPr>
        <w:keepNext w:val="false"/>
        <w:spacing w:after="10"/>
      </w:pPr>
      <w:r>
        <w:rPr>
          <w:i/>
          <w:iCs/>
        </w:rPr>
        <w:t xml:space="preserve">Sheridan College, Ontario</w:t>
      </w:r>
    </w:p>
    <w:p>
      <w:pPr>
        <w:keepNext/>
        <w:tabs>
          <w:tab w:val="right" w:pos="10800"/>
        </w:tabs>
        <w:spacing w:after="0" w:before="60"/>
      </w:pPr>
      <w:r>
        <w:rPr>
          <w:b/>
          <w:bCs/>
          <w:sz w:val="20"/>
          <w:szCs w:val="20"/>
        </w:rPr>
        <w:t xml:space="preserve">Master of Arts, Art History</w:t>
      </w:r>
      <w:r>
        <w:rPr>
          <w:b/>
          <w:bCs/>
        </w:rPr>
        <w:t xml:space="preserve">	2025</w:t>
      </w:r>
    </w:p>
    <w:p>
      <w:pPr>
        <w:keepNext w:val="false"/>
        <w:spacing w:after="10"/>
      </w:pPr>
      <w:r>
        <w:rPr>
          <w:i/>
          <w:iCs/>
        </w:rPr>
        <w:t xml:space="preserve">Queen's University, Kingston, Ontario</w:t>
      </w:r>
    </w:p>
    <w:p>
      <w:pPr>
        <w:pStyle w:val="Heading1"/>
      </w:pPr>
      <w:r>
        <w:t xml:space="preserve">CERTIFICATIONS AND TRAINING</w:t>
      </w:r>
    </w:p>
    <w:p>
      <w:pPr>
        <w:pStyle w:val="ListParagraph"/>
        <w:numPr>
          <w:ilvl w:val="0"/>
          <w:numId w:val="2"/>
        </w:numPr>
        <w:spacing w:after="0"/>
      </w:pPr>
      <w:r>
        <w:rPr>
          <w:b/>
          <w:bCs/>
          <w:sz w:val="18"/>
          <w:szCs w:val="18"/>
        </w:rPr>
        <w:t xml:space="preserve">Google Project Management Certificate</w:t>
      </w:r>
      <w:r>
        <w:rPr>
          <w:sz w:val="18"/>
          <w:szCs w:val="18"/>
        </w:rPr>
        <w:t xml:space="preserve"> – Scope, schedules, risk, Agile, and stakeholder management</w:t>
      </w:r>
    </w:p>
    <w:p>
      <w:pPr>
        <w:pStyle w:val="ListParagraph"/>
        <w:numPr>
          <w:ilvl w:val="0"/>
          <w:numId w:val="2"/>
        </w:numPr>
        <w:spacing w:after="0"/>
      </w:pPr>
      <w:r>
        <w:rPr>
          <w:b/>
          <w:bCs/>
          <w:sz w:val="18"/>
          <w:szCs w:val="18"/>
        </w:rPr>
        <w:t xml:space="preserve">Google Agile Project Management</w:t>
      </w:r>
      <w:r>
        <w:rPr>
          <w:sz w:val="18"/>
          <w:szCs w:val="18"/>
        </w:rPr>
        <w:t xml:space="preserve"> – Sprint frameworks, Scrum events, and Agile delivery</w:t>
      </w:r>
    </w:p>
    <w:p>
      <w:pPr>
        <w:pStyle w:val="ListParagraph"/>
        <w:numPr>
          <w:ilvl w:val="0"/>
          <w:numId w:val="2"/>
        </w:numPr>
        <w:spacing w:after="0"/>
      </w:pPr>
      <w:r>
        <w:rPr>
          <w:b/>
          <w:bCs/>
          <w:sz w:val="18"/>
          <w:szCs w:val="18"/>
        </w:rPr>
        <w:t xml:space="preserve">IBM, Agile Development and Scrum</w:t>
      </w:r>
      <w:r>
        <w:rPr>
          <w:sz w:val="18"/>
          <w:szCs w:val="18"/>
        </w:rPr>
        <w:t xml:space="preserve"> – User stories, backlog refinement, and sprint execution</w:t>
      </w:r>
    </w:p>
    <w:p>
      <w:pPr>
        <w:pStyle w:val="ListParagraph"/>
        <w:numPr>
          <w:ilvl w:val="0"/>
          <w:numId w:val="2"/>
        </w:numPr>
        <w:spacing w:after="0"/>
      </w:pPr>
      <w:r>
        <w:rPr>
          <w:b/>
          <w:bCs/>
          <w:sz w:val="18"/>
          <w:szCs w:val="18"/>
        </w:rPr>
        <w:t xml:space="preserve">SkillUp, Introduction to the Scrum Master Profession</w:t>
      </w:r>
      <w:r>
        <w:rPr>
          <w:sz w:val="18"/>
          <w:szCs w:val="18"/>
        </w:rPr>
        <w:t xml:space="preserve"> – Scrum roles, ceremonies, and servant leadership</w:t>
      </w:r>
    </w:p>
    <w:p>
      <w:pPr>
        <w:pStyle w:val="ListParagraph"/>
        <w:numPr>
          <w:ilvl w:val="0"/>
          <w:numId w:val="2"/>
        </w:numPr>
        <w:spacing w:after="0"/>
      </w:pPr>
      <w:r>
        <w:rPr>
          <w:b/>
          <w:bCs/>
          <w:sz w:val="18"/>
          <w:szCs w:val="18"/>
        </w:rPr>
        <w:t xml:space="preserve">IBM, Generative AI for Product Managers</w:t>
      </w:r>
      <w:r>
        <w:rPr>
          <w:sz w:val="18"/>
          <w:szCs w:val="18"/>
        </w:rPr>
        <w:t xml:space="preserve"> – AI-augmented product strategy and workflows</w:t>
      </w:r>
    </w:p>
    <w:p>
      <w:pPr>
        <w:pStyle w:val="ListParagraph"/>
        <w:numPr>
          <w:ilvl w:val="0"/>
          <w:numId w:val="2"/>
        </w:numPr>
        <w:spacing w:after="0"/>
      </w:pPr>
      <w:r>
        <w:rPr>
          <w:b/>
          <w:bCs/>
          <w:sz w:val="18"/>
          <w:szCs w:val="18"/>
        </w:rPr>
        <w:t xml:space="preserve">IBM, Product Management: An Introduction</w:t>
      </w:r>
      <w:r>
        <w:rPr>
          <w:sz w:val="18"/>
          <w:szCs w:val="18"/>
        </w:rPr>
        <w:t xml:space="preserve"> – Product lifecycle, discovery, and roadmapping</w:t>
      </w:r>
    </w:p>
    <w:p>
      <w:pPr>
        <w:pStyle w:val="ListParagraph"/>
        <w:numPr>
          <w:ilvl w:val="0"/>
          <w:numId w:val="2"/>
        </w:numPr>
        <w:spacing w:after="0"/>
      </w:pPr>
      <w:r>
        <w:rPr>
          <w:b/>
          <w:bCs/>
          <w:sz w:val="18"/>
          <w:szCs w:val="18"/>
        </w:rPr>
        <w:t xml:space="preserve">LinkedIn Learning, 2026:</w:t>
      </w:r>
      <w:r>
        <w:rPr>
          <w:sz w:val="18"/>
          <w:szCs w:val="18"/>
        </w:rPr>
        <w:t xml:space="preserve"> PM Foundations: Requirements, Schedules, and Stakeholders; Preventing Scope Creep; Requirements Elicitation; Learning Gantt Charts; Project Management Simplified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B57" w:sz="6" w:space="2"/>
      </w:pBdr>
      <w:spacing w:after="30" w:before="90"/>
      <w:outlineLvl w:val="0"/>
    </w:pPr>
    <w:rPr>
      <w:rFonts w:ascii="Calibri" w:cs="Calibri" w:eastAsia="Calibri" w:hAnsi="Calibri"/>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Adekunle Adeniji Resume</dc:title>
  <dc:subject>Resume</dc:subject>
  <dc:creator>Adekunle Adeniji</dc:creator>
  <dc:description>Resume of Adekunle Adeniji, Project Manager</dc:description>
  <cp:lastModifiedBy>Un-named</cp:lastModifiedBy>
  <cp:revision>1</cp:revision>
  <dcterms:created xsi:type="dcterms:W3CDTF">2026-10-30T11:42:43.916Z</dcterms:created>
  <dcterms:modified xsi:type="dcterms:W3CDTF">2026-10-30T11:42:43.916Z</dcterms:modified>
</cp:coreProperties>
</file>

<file path=docProps/custom.xml><?xml version="1.0" encoding="utf-8"?>
<Properties xmlns="http://schemas.openxmlformats.org/officeDocument/2006/custom-properties" xmlns:vt="http://schemas.openxmlformats.org/officeDocument/2006/docPropsVTypes"/>
</file>