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Program Coordinator | Program Administration, Budget Tracking, and Stakeholder Service</w:t>
      </w:r>
    </w:p>
    <w:p>
      <w:pPr>
        <w:spacing w:after="40"/>
      </w:pPr>
      <w:r>
        <w:rPr>
          <w:color w:val="333333"/>
          <w:sz w:val="20"/>
          <w:szCs w:val="20"/>
        </w:rPr>
        <w:t xml:space="preserve">Kingston, Ontario, Canada  |  +1 343-989-2373  |  teminicrownpro@gmail.com</w:t>
      </w:r>
    </w:p>
    <w:p>
      <w:pPr>
        <w:pStyle w:val="Heading1"/>
      </w:pPr>
      <w:r>
        <w:t xml:space="preserve">PROFESSIONAL SUMMARY</w:t>
      </w:r>
    </w:p>
    <w:p>
      <w:pPr>
        <w:spacing w:after="60"/>
      </w:pPr>
      <w:r>
        <w:t xml:space="preserve">Program coordinator and manager with more than four years administering programs, budgets, and multi-stakeholder workflows for a community organization and major cultural institutions, currently leading the Black Youth in Business program at Emole Futures Initiative in Kingston. Reviews participant and partner requests for completeness, administers and monitors program budgets, verifies service-provider deliverables before payment, and produces accurate expense, progress, and performance reports. Liaises with facilitators who deliver capacity-building workshops, tracks activities and deadlines across concurrent workstreams, and writes in a clear, concise, analytic style, including three essays published by the Metropolitan Museum of Art. Committed to dismantling the barriers that limit opportunity for Black entrepreneurs and communities.</w:t>
      </w:r>
    </w:p>
    <w:p>
      <w:pPr>
        <w:pStyle w:val="Heading1"/>
      </w:pPr>
      <w:r>
        <w:t xml:space="preserve">CORE SKILLS</w:t>
      </w:r>
    </w:p>
    <w:p>
      <w:pPr>
        <w:spacing w:after="60"/>
      </w:pPr>
      <w:r>
        <w:t xml:space="preserve">Program Administration  |  Participant and Client Service  |  Budget Administration and Monitoring  |  Payment Verification and Expense Reporting  |  Progress and Performance Reporting  |  Intake and Completeness Review  |  Assessment Criteria and Evaluation  |  Partner and Service Provider Liaison  |  Training and Workshop Coordination  |  Project Documentation  |  Stakeholder and Client Meetings  |  Presentation Materials  |  Analytical Problem-Solving  |  Clear, Concise Report Writing</w:t>
      </w:r>
    </w:p>
    <w:p>
      <w:pPr>
        <w:pStyle w:val="Heading1"/>
      </w:pPr>
      <w:r>
        <w:t xml:space="preserve">QUALIFICATIONS FOR THIS ROLE</w:t>
      </w:r>
    </w:p>
    <w:p>
      <w:pPr>
        <w:pStyle w:val="ListParagraph"/>
        <w:numPr>
          <w:ilvl w:val="0"/>
          <w:numId w:val="2"/>
        </w:numPr>
        <w:spacing w:after="0"/>
      </w:pPr>
      <w:r>
        <w:rPr>
          <w:b/>
          <w:bCs/>
        </w:rPr>
        <w:t xml:space="preserve">Program administration and service: </w:t>
      </w:r>
      <w:r>
        <w:t xml:space="preserve">coordinating participants, schools, volunteer mentors, and community partners across four concurrent workstreams, and balancing client, partner, and internal needs by consulting the right specialists for approvals</w:t>
      </w:r>
    </w:p>
    <w:p>
      <w:pPr>
        <w:pStyle w:val="ListParagraph"/>
        <w:numPr>
          <w:ilvl w:val="0"/>
          <w:numId w:val="2"/>
        </w:numPr>
        <w:spacing w:after="0"/>
      </w:pPr>
      <w:r>
        <w:rPr>
          <w:b/>
          <w:bCs/>
        </w:rPr>
        <w:t xml:space="preserve">Budget administration and monitoring: </w:t>
      </w:r>
      <w:r>
        <w:t xml:space="preserve">building and baselining program budgets, monitoring actual spend through regular expense reporting, analysing variance, and forecasting to completion so overruns surface early</w:t>
      </w:r>
    </w:p>
    <w:p>
      <w:pPr>
        <w:pStyle w:val="ListParagraph"/>
        <w:numPr>
          <w:ilvl w:val="0"/>
          <w:numId w:val="2"/>
        </w:numPr>
        <w:spacing w:after="0"/>
      </w:pPr>
      <w:r>
        <w:rPr>
          <w:b/>
          <w:bCs/>
        </w:rPr>
        <w:t xml:space="preserve">Payments and service providers: </w:t>
      </w:r>
      <w:r>
        <w:t xml:space="preserve">engaging facilitators, suppliers, and vendors, comparing quotes and confirming terms, monitoring deliverables against agreed scope and cost, and verifying completion before payment</w:t>
      </w:r>
    </w:p>
    <w:p>
      <w:pPr>
        <w:pStyle w:val="ListParagraph"/>
        <w:numPr>
          <w:ilvl w:val="0"/>
          <w:numId w:val="2"/>
        </w:numPr>
        <w:spacing w:after="0"/>
      </w:pPr>
      <w:r>
        <w:rPr>
          <w:b/>
          <w:bCs/>
        </w:rPr>
        <w:t xml:space="preserve">Progress monitoring and reporting: </w:t>
      </w:r>
      <w:r>
        <w:t xml:space="preserve">tracking activities, deadlines, and milestones, resolving workflow gaps, documenting decisions and next steps, and preparing progress reports, dashboards, and presentation materials</w:t>
      </w:r>
    </w:p>
    <w:p>
      <w:pPr>
        <w:pStyle w:val="ListParagraph"/>
        <w:numPr>
          <w:ilvl w:val="0"/>
          <w:numId w:val="2"/>
        </w:numPr>
        <w:spacing w:after="0"/>
      </w:pPr>
      <w:r>
        <w:rPr>
          <w:b/>
          <w:bCs/>
        </w:rPr>
        <w:t xml:space="preserve">Assessment and accuracy: </w:t>
      </w:r>
      <w:r>
        <w:t xml:space="preserve">validating deliverables against acceptance criteria, applying established evaluation methods, and working to federal-standard intake and documentation protocols</w:t>
      </w:r>
    </w:p>
    <w:p>
      <w:pPr>
        <w:pStyle w:val="ListParagraph"/>
        <w:numPr>
          <w:ilvl w:val="0"/>
          <w:numId w:val="2"/>
        </w:numPr>
        <w:spacing w:after="0"/>
      </w:pPr>
      <w:r>
        <w:rPr>
          <w:b/>
          <w:bCs/>
        </w:rPr>
        <w:t xml:space="preserve">Writing and communication: </w:t>
      </w:r>
      <w:r>
        <w:t xml:space="preserve">translating complex material into clear, concise, analytic writing for executives, partners, and public audiences, and presenting to staff and stakeholders</w:t>
      </w:r>
    </w:p>
    <w:p>
      <w:pPr>
        <w:pStyle w:val="Heading1"/>
      </w:pPr>
      <w:r>
        <w:t xml:space="preserve">WORK EXPERIENCE</w:t>
      </w:r>
    </w:p>
    <w:p>
      <w:pPr>
        <w:keepNext/>
        <w:tabs>
          <w:tab w:val="right" w:pos="10800"/>
        </w:tabs>
        <w:spacing w:after="0" w:before="60"/>
      </w:pPr>
      <w:r>
        <w:rPr>
          <w:b/>
          <w:bCs/>
          <w:sz w:val="22"/>
          <w:szCs w:val="22"/>
        </w:rPr>
        <w:t xml:space="preserve">Project Manager and Program Lead</w:t>
      </w:r>
      <w:r>
        <w:rPr>
          <w:b/>
          <w:bCs/>
        </w:rPr>
        <w:tab/>
        <w:t xml:space="preserve">2025 – Present</w:t>
      </w:r>
    </w:p>
    <w:p>
      <w:pPr>
        <w:keepNext/>
        <w:spacing w:after="20"/>
      </w:pPr>
      <w:r>
        <w:rPr>
          <w:i/>
          <w:iCs/>
        </w:rPr>
        <w:t xml:space="preserve">Emole Futures Initiative Inc., Kingston, Ontario</w:t>
      </w:r>
    </w:p>
    <w:p>
      <w:pPr>
        <w:pStyle w:val="ListParagraph"/>
        <w:numPr>
          <w:ilvl w:val="0"/>
          <w:numId w:val="2"/>
        </w:numPr>
        <w:spacing w:after="0"/>
      </w:pPr>
      <w:r>
        <w:t xml:space="preserve">Coordinate the Black Youth in Business program for participants, schools, volunteer mentors, and community partners across four concurrent workstreams of workshops, mentoring sessions, and public events.</w:t>
      </w:r>
    </w:p>
    <w:p>
      <w:pPr>
        <w:pStyle w:val="ListParagraph"/>
        <w:numPr>
          <w:ilvl w:val="0"/>
          <w:numId w:val="2"/>
        </w:numPr>
        <w:spacing w:after="0"/>
      </w:pPr>
      <w:r>
        <w:t xml:space="preserve">Review incoming participant and partner requests against program requirements to confirm required information is complete before routing them for decision and action.</w:t>
      </w:r>
    </w:p>
    <w:p>
      <w:pPr>
        <w:pStyle w:val="ListParagraph"/>
        <w:numPr>
          <w:ilvl w:val="0"/>
          <w:numId w:val="2"/>
        </w:numPr>
        <w:spacing w:after="0"/>
      </w:pPr>
      <w:r>
        <w:t xml:space="preserve">Administer a baselined program budget for facilitator fees, materials, and event expenses; update expense reports on a regular cadence; analyse variance; and flag issues to leadership early.</w:t>
      </w:r>
    </w:p>
    <w:p>
      <w:pPr>
        <w:pStyle w:val="ListParagraph"/>
        <w:numPr>
          <w:ilvl w:val="0"/>
          <w:numId w:val="2"/>
        </w:numPr>
        <w:spacing w:after="0"/>
      </w:pPr>
      <w:r>
        <w:t xml:space="preserve">Liaise with the facilitators who deliver capacity-building workshops and mentoring sessions, plan their engagements against budget, and apply quality review to their output.</w:t>
      </w:r>
    </w:p>
    <w:p>
      <w:pPr>
        <w:pStyle w:val="ListParagraph"/>
        <w:numPr>
          <w:ilvl w:val="0"/>
          <w:numId w:val="2"/>
        </w:numPr>
        <w:spacing w:after="0"/>
      </w:pPr>
      <w:r>
        <w:t xml:space="preserve">Monitor progress by tracking activities, deadlines, and milestones; document decisions and next steps from planning meetings; resolve workflow gaps; and recommend scope changes to leadership while they remain small enough to absorb.</w:t>
      </w:r>
    </w:p>
    <w:p>
      <w:pPr>
        <w:pStyle w:val="ListParagraph"/>
        <w:numPr>
          <w:ilvl w:val="0"/>
          <w:numId w:val="2"/>
        </w:numPr>
        <w:spacing w:after="0"/>
      </w:pPr>
      <w:r>
        <w:t xml:space="preserve">Designed and analysed a 27-question community intake survey and applied established evaluation methods to measure outcomes against objectives, reconciling results into performance findings for the next delivery cycle.</w:t>
      </w:r>
    </w:p>
    <w:p>
      <w:pPr>
        <w:pStyle w:val="ListParagraph"/>
        <w:numPr>
          <w:ilvl w:val="0"/>
          <w:numId w:val="2"/>
        </w:numPr>
        <w:spacing w:after="0"/>
      </w:pPr>
      <w:r>
        <w:t xml:space="preserve">Prepare presentation materials, dashboards, and outcome summaries that turn delivery and budget data into decision-ready reports for executives and external stakeholders.</w:t>
      </w:r>
    </w:p>
    <w:p>
      <w:pPr>
        <w:pStyle w:val="ListParagraph"/>
        <w:numPr>
          <w:ilvl w:val="0"/>
          <w:numId w:val="2"/>
        </w:numPr>
        <w:spacing w:after="0"/>
      </w:pPr>
      <w:r>
        <w:t xml:space="preserve">Recruit, schedule, and supervise program assistants and volunteer mentors, routing each request to the right owner the first time.</w:t>
      </w:r>
    </w:p>
    <w:p>
      <w:pPr>
        <w:keepNext/>
        <w:tabs>
          <w:tab w:val="right" w:pos="10800"/>
        </w:tabs>
        <w:spacing w:after="0" w:before="60"/>
      </w:pPr>
      <w:r>
        <w:rPr>
          <w:b/>
          <w:bCs/>
          <w:sz w:val="22"/>
          <w:szCs w:val="22"/>
        </w:rPr>
        <w:t xml:space="preserve">Project Coordinator, Arts of Africa (Curatorial Residency)</w:t>
      </w:r>
      <w:r>
        <w:rPr>
          <w:b/>
          <w:bCs/>
        </w:rPr>
        <w:tab/>
        <w:t xml:space="preserve">January 2025 – July 2025</w:t>
      </w:r>
    </w:p>
    <w:p>
      <w:pPr>
        <w:keepNext/>
        <w:spacing w:after="20"/>
      </w:pPr>
      <w:r>
        <w:rPr>
          <w:i/>
          <w:iCs/>
        </w:rPr>
        <w:t xml:space="preserve">The Metropolitan Museum of Art, New York, NY</w:t>
      </w:r>
    </w:p>
    <w:p>
      <w:pPr>
        <w:pStyle w:val="ListParagraph"/>
        <w:numPr>
          <w:ilvl w:val="0"/>
          <w:numId w:val="2"/>
        </w:numPr>
        <w:spacing w:after="0"/>
      </w:pPr>
      <w:r>
        <w:t xml:space="preserve">Coordinated collections and interpretation planning as the Samuel and Gabrielle Lurie Fund resident within the multimillion-dollar reinstallation of the Michael C. Rockefeller Wing, delivered against a fixed, publicly announced opening date.</w:t>
      </w:r>
    </w:p>
    <w:p>
      <w:pPr>
        <w:pStyle w:val="ListParagraph"/>
        <w:numPr>
          <w:ilvl w:val="0"/>
          <w:numId w:val="2"/>
        </w:numPr>
        <w:spacing w:after="0"/>
      </w:pPr>
      <w:r>
        <w:t xml:space="preserve">Routed content through multi-stage review and approval cycles, tracking versions, milestones, and deadlines so every deliverable stayed accurate and synchronized with the installation schedule.</w:t>
      </w:r>
    </w:p>
    <w:p>
      <w:pPr>
        <w:pStyle w:val="ListParagraph"/>
        <w:numPr>
          <w:ilvl w:val="0"/>
          <w:numId w:val="2"/>
        </w:numPr>
        <w:spacing w:after="0"/>
      </w:pPr>
      <w:r>
        <w:t xml:space="preserve">Liaised with curatorial, conservation, registration, education, and design teams, consulting the appropriate specialists for approvals and documenting outcomes and next steps from cross-team meetings.</w:t>
      </w:r>
    </w:p>
    <w:p>
      <w:pPr>
        <w:pStyle w:val="ListParagraph"/>
        <w:numPr>
          <w:ilvl w:val="0"/>
          <w:numId w:val="2"/>
        </w:numPr>
        <w:spacing w:after="0"/>
      </w:pPr>
      <w:r>
        <w:t xml:space="preserve">Researched and wrote gallery interpretation and three published essays for the Heilbrunn Timeline of Art History, translating complex material into clear, concise content for varied audiences.</w:t>
      </w:r>
    </w:p>
    <w:p>
      <w:pPr>
        <w:pStyle w:val="ListParagraph"/>
        <w:numPr>
          <w:ilvl w:val="0"/>
          <w:numId w:val="2"/>
        </w:numPr>
        <w:spacing w:after="0"/>
      </w:pPr>
      <w:r>
        <w:t xml:space="preserve">Identified workflow gaps and schedule risks, escalated issues to senior staff, and presented to staff and stakeholders; the wing reopened on schedule in May 2025.</w:t>
      </w:r>
    </w:p>
    <w:p>
      <w:pPr>
        <w:keepNext/>
        <w:tabs>
          <w:tab w:val="right" w:pos="10800"/>
        </w:tabs>
        <w:spacing w:after="0" w:before="60"/>
      </w:pPr>
      <w:r>
        <w:rPr>
          <w:b/>
          <w:bCs/>
          <w:sz w:val="22"/>
          <w:szCs w:val="22"/>
        </w:rPr>
        <w:t xml:space="preserve">Exhibition Project Coordinator and Curatorial Fellow</w:t>
      </w:r>
      <w:r>
        <w:rPr>
          <w:b/>
          <w:bCs/>
        </w:rPr>
        <w:tab/>
        <w:t xml:space="preserve">January 2022 – May 2023</w:t>
      </w:r>
    </w:p>
    <w:p>
      <w:pPr>
        <w:keepNext/>
        <w:spacing w:after="20"/>
      </w:pPr>
      <w:r>
        <w:rPr>
          <w:i/>
          <w:iCs/>
        </w:rPr>
        <w:t xml:space="preserve">Denver Art Museum, Denver, CO</w:t>
      </w:r>
    </w:p>
    <w:p>
      <w:pPr>
        <w:pStyle w:val="ListParagraph"/>
        <w:numPr>
          <w:ilvl w:val="0"/>
          <w:numId w:val="2"/>
        </w:numPr>
        <w:spacing w:after="0"/>
      </w:pPr>
      <w:r>
        <w:t xml:space="preserve">Tracked deliverables, progress, and expenses across concurrent exhibition projects with fixed opening dates, keeping work on schedule and within budget.</w:t>
      </w:r>
    </w:p>
    <w:p>
      <w:pPr>
        <w:pStyle w:val="ListParagraph"/>
        <w:numPr>
          <w:ilvl w:val="0"/>
          <w:numId w:val="2"/>
        </w:numPr>
        <w:spacing w:after="0"/>
      </w:pPr>
      <w:r>
        <w:t xml:space="preserve">Coordinated day-to-day work across curatorial, education, design, and registration partners, communicating changes promptly as scope and schedules shifted.</w:t>
      </w:r>
    </w:p>
    <w:p>
      <w:pPr>
        <w:pStyle w:val="ListParagraph"/>
        <w:numPr>
          <w:ilvl w:val="0"/>
          <w:numId w:val="2"/>
        </w:numPr>
        <w:spacing w:after="0"/>
      </w:pPr>
      <w:r>
        <w:t xml:space="preserve">Partnered with community advisors to shape exhibitions and public programming, incorporating stakeholder feedback into scope and content decisions.</w:t>
      </w:r>
    </w:p>
    <w:p>
      <w:pPr>
        <w:pStyle w:val="ListParagraph"/>
        <w:numPr>
          <w:ilvl w:val="0"/>
          <w:numId w:val="2"/>
        </w:numPr>
        <w:spacing w:after="0"/>
      </w:pPr>
      <w:r>
        <w:t xml:space="preserve">Managed print and digital deliverables from drafting through review, approval, and final output with close attention to accuracy and consistency.</w:t>
      </w:r>
    </w:p>
    <w:p>
      <w:pPr>
        <w:keepNext/>
        <w:tabs>
          <w:tab w:val="right" w:pos="10800"/>
        </w:tabs>
        <w:spacing w:after="0" w:before="60"/>
      </w:pPr>
      <w:r>
        <w:rPr>
          <w:b/>
          <w:bCs/>
          <w:sz w:val="22"/>
          <w:szCs w:val="22"/>
        </w:rPr>
        <w:t xml:space="preserve">Project and Curatorial Intern</w:t>
      </w:r>
      <w:r>
        <w:rPr>
          <w:b/>
          <w:bCs/>
        </w:rPr>
        <w:tab/>
        <w:t xml:space="preserve">July 2021 – November 2021</w:t>
      </w:r>
    </w:p>
    <w:p>
      <w:pPr>
        <w:keepNext/>
        <w:spacing w:after="20"/>
      </w:pPr>
      <w:r>
        <w:rPr>
          <w:i/>
          <w:iCs/>
        </w:rPr>
        <w:t xml:space="preserve">Smithsonian National Museum of African Art, Washington, DC</w:t>
      </w:r>
    </w:p>
    <w:p>
      <w:pPr>
        <w:pStyle w:val="ListParagraph"/>
        <w:numPr>
          <w:ilvl w:val="0"/>
          <w:numId w:val="2"/>
        </w:numPr>
        <w:spacing w:after="0"/>
      </w:pPr>
      <w:r>
        <w:t xml:space="preserve">Applied federal-standard intake, documentation, and object-handling protocols across curatorial, conservation, and registration teams.</w:t>
      </w:r>
    </w:p>
    <w:p>
      <w:pPr>
        <w:pStyle w:val="Heading1"/>
      </w:pPr>
      <w:r>
        <w:t xml:space="preserve">EDUCATION</w:t>
      </w:r>
    </w:p>
    <w:p>
      <w:pPr>
        <w:keepNext/>
        <w:tabs>
          <w:tab w:val="right" w:pos="10800"/>
        </w:tabs>
        <w:spacing w:after="0" w:before="40"/>
      </w:pPr>
      <w:r>
        <w:rPr>
          <w:b/>
          <w:bCs/>
        </w:rPr>
        <w:t xml:space="preserve">Master of Digital Product Management</w:t>
      </w:r>
      <w:r>
        <w:rPr>
          <w:b/>
          <w:bCs/>
        </w:rPr>
        <w:tab/>
        <w:t xml:space="preserve">Expected 2027</w:t>
      </w:r>
    </w:p>
    <w:p>
      <w:pPr>
        <w:spacing w:after="20"/>
      </w:pPr>
      <w:r>
        <w:rPr>
          <w:i/>
          <w:iCs/>
        </w:rPr>
        <w:t xml:space="preserve">Smith School of Business, Queen's University, Kingston, Ontario</w:t>
      </w:r>
    </w:p>
    <w:p>
      <w:pPr>
        <w:keepNext/>
        <w:tabs>
          <w:tab w:val="right" w:pos="10800"/>
        </w:tabs>
        <w:spacing w:after="0" w:before="40"/>
      </w:pPr>
      <w:r>
        <w:rPr>
          <w:b/>
          <w:bCs/>
        </w:rPr>
        <w:t xml:space="preserve">Graduate Certificate, Project Management (Co-op)</w:t>
      </w:r>
      <w:r>
        <w:rPr>
          <w:b/>
          <w:bCs/>
        </w:rPr>
        <w:tab/>
        <w:t xml:space="preserve">2026</w:t>
      </w:r>
    </w:p>
    <w:p>
      <w:pPr>
        <w:spacing w:after="20"/>
      </w:pPr>
      <w:r>
        <w:rPr>
          <w:i/>
          <w:iCs/>
        </w:rPr>
        <w:t xml:space="preserve">Sheridan College, Ontario</w:t>
      </w:r>
    </w:p>
    <w:p>
      <w:pPr>
        <w:keepNext/>
        <w:tabs>
          <w:tab w:val="right" w:pos="10800"/>
        </w:tabs>
        <w:spacing w:after="0" w:before="40"/>
      </w:pPr>
      <w:r>
        <w:rPr>
          <w:b/>
          <w:bCs/>
        </w:rPr>
        <w:t xml:space="preserve">Master of Arts, Art History</w:t>
      </w:r>
      <w:r>
        <w:rPr>
          <w:b/>
          <w:bCs/>
        </w:rPr>
        <w:tab/>
        <w:t xml:space="preserve">2025</w:t>
      </w:r>
    </w:p>
    <w:p>
      <w:pPr>
        <w:spacing w:after="20"/>
      </w:pPr>
      <w:r>
        <w:rPr>
          <w:i/>
          <w:iCs/>
        </w:rPr>
        <w:t xml:space="preserve">Queen's University, Kingston, Ontario</w:t>
      </w:r>
    </w:p>
    <w:p>
      <w:pPr>
        <w:pStyle w:val="Heading1"/>
      </w:pPr>
      <w:r>
        <w:t xml:space="preserve">CERTIFICATIONS AND TRAINING</w:t>
      </w:r>
    </w:p>
    <w:p>
      <w:pPr>
        <w:pStyle w:val="ListParagraph"/>
        <w:numPr>
          <w:ilvl w:val="0"/>
          <w:numId w:val="2"/>
        </w:numPr>
        <w:spacing w:after="0"/>
      </w:pPr>
      <w:r>
        <w:rPr>
          <w:b/>
          <w:bCs/>
        </w:rPr>
        <w:t xml:space="preserve">Google Project Management Certificate</w:t>
      </w:r>
      <w:r>
        <w:t xml:space="preserve"> – Scope, schedules, risk, Agile, and stakeholder management</w:t>
      </w:r>
    </w:p>
    <w:p>
      <w:pPr>
        <w:pStyle w:val="ListParagraph"/>
        <w:numPr>
          <w:ilvl w:val="0"/>
          <w:numId w:val="2"/>
        </w:numPr>
        <w:spacing w:after="0"/>
      </w:pPr>
      <w:r>
        <w:rPr>
          <w:b/>
          <w:bCs/>
        </w:rPr>
        <w:t xml:space="preserve">Google Agile Project Management</w:t>
      </w:r>
      <w:r>
        <w:t xml:space="preserve"> – Sprint frameworks, Scrum events, and Agile delivery</w:t>
      </w:r>
    </w:p>
    <w:p>
      <w:pPr>
        <w:pStyle w:val="ListParagraph"/>
        <w:numPr>
          <w:ilvl w:val="0"/>
          <w:numId w:val="2"/>
        </w:numPr>
        <w:spacing w:after="0"/>
      </w:pPr>
      <w:r>
        <w:rPr>
          <w:b/>
          <w:bCs/>
        </w:rPr>
        <w:t xml:space="preserve">IBM, Agile Development and Scrum</w:t>
      </w:r>
      <w:r>
        <w:t xml:space="preserve"> – User stories, backlog refinement, and sprint execution</w:t>
      </w:r>
    </w:p>
    <w:p>
      <w:pPr>
        <w:pStyle w:val="ListParagraph"/>
        <w:numPr>
          <w:ilvl w:val="0"/>
          <w:numId w:val="2"/>
        </w:numPr>
        <w:spacing w:after="0"/>
      </w:pPr>
      <w:r>
        <w:rPr>
          <w:b/>
          <w:bCs/>
        </w:rPr>
        <w:t xml:space="preserve">SkillUp, Introduction to the Scrum Master Profession</w:t>
      </w:r>
      <w:r>
        <w:t xml:space="preserve"> – Scrum roles, ceremonies, and servant leadership</w:t>
      </w:r>
    </w:p>
    <w:p>
      <w:pPr>
        <w:pStyle w:val="ListParagraph"/>
        <w:numPr>
          <w:ilvl w:val="0"/>
          <w:numId w:val="2"/>
        </w:numPr>
        <w:spacing w:after="0"/>
      </w:pPr>
      <w:r>
        <w:rPr>
          <w:b/>
          <w:bCs/>
        </w:rPr>
        <w:t xml:space="preserve">IBM, Generative AI for Product Managers</w:t>
      </w:r>
      <w:r>
        <w:t xml:space="preserve"> and IBM, Product Management: An Introduction</w:t>
      </w:r>
    </w:p>
    <w:p>
      <w:pPr>
        <w:pStyle w:val="ListParagraph"/>
        <w:numPr>
          <w:ilvl w:val="0"/>
          <w:numId w:val="2"/>
        </w:numPr>
        <w:spacing w:after="0"/>
      </w:pPr>
      <w:r>
        <w:rPr>
          <w:b/>
          <w:bCs/>
        </w:rPr>
        <w:t xml:space="preserve">LinkedIn Learning, 2026:</w:t>
      </w:r>
      <w: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Resume – Current Career Opportunities – Entrepreneur Program Coordinator</dc:title>
  <dc:creator>Adekunle Adeniji</dc:creator>
  <cp:lastModifiedBy>Un-named</cp:lastModifiedBy>
  <cp:revision>1</cp:revision>
  <dcterms:created xsi:type="dcterms:W3CDTF">2026-10-30T18:29:48.108Z</dcterms:created>
  <dcterms:modified xsi:type="dcterms:W3CDTF">2026-10-30T18:29:48.116Z</dcterms:modified>
</cp:coreProperties>
</file>

<file path=docProps/custom.xml><?xml version="1.0" encoding="utf-8"?>
<Properties xmlns="http://schemas.openxmlformats.org/officeDocument/2006/custom-properties" xmlns:vt="http://schemas.openxmlformats.org/officeDocument/2006/docPropsVTypes"/>
</file>