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3A5F"/>
          <w:sz w:val="30"/>
        </w:rPr>
        <w:t>Environmental Scanning: The Canadian Hospitality Industry (Hotels &amp; Restaurants)</w:t>
      </w:r>
    </w:p>
    <w:p>
      <w:pPr>
        <w:spacing w:after="0"/>
        <w:jc w:val="center"/>
      </w:pPr>
      <w:r>
        <w:rPr>
          <w:i w:val="0"/>
          <w:sz w:val="20"/>
        </w:rPr>
        <w:t>Name: [Your Name]   |   Student Number: [Your Student Number]</w:t>
      </w:r>
    </w:p>
    <w:p>
      <w:pPr>
        <w:spacing w:after="120"/>
        <w:jc w:val="center"/>
      </w:pPr>
      <w:r>
        <w:rPr>
          <w:i w:val="0"/>
          <w:sz w:val="20"/>
        </w:rPr>
        <w:t>MGMT6121 Business Intelligence (Online), Fanshawe College   |   Professor: [Name]   |   [Date]</w:t>
      </w:r>
    </w:p>
    <w:p>
      <w:pPr>
        <w:keepNext/>
        <w:spacing w:before="140" w:after="60"/>
      </w:pPr>
      <w:r>
        <w:rPr>
          <w:b/>
          <w:color w:val="1F3A5F"/>
          <w:sz w:val="25"/>
        </w:rPr>
        <w:t>1. Introduction</w:t>
      </w:r>
    </w:p>
    <w:p>
      <w:r>
        <w:rPr>
          <w:i w:val="0"/>
        </w:rPr>
        <w:t>This report scans the external environment of Canada’s hotel and restaurant industry using three strategy tools: PESTEL for the macro environment, Porter’s Five Forces and generic strategies for competition, and a TOWS matrix for recommendations. The main finding is that demand is holding up but margins are not. Hotels set a record in 2025, with occupancy of 66.1%, an average daily rate (ADR) of $216.10 and revenue per available room (RevPAR) of $142.89 (CoStar, 2026a). Restaurants, by contrast, earn an average pre-tax margin of just 4.1%, and 41% of operators are losing money or breaking even (Restaurants Canada, 2026a, 2026b).</w:t>
      </w:r>
    </w:p>
    <w:p>
      <w:pPr>
        <w:keepNext/>
        <w:spacing w:before="140" w:after="60"/>
      </w:pPr>
      <w:r>
        <w:rPr>
          <w:b/>
          <w:color w:val="1F3A5F"/>
          <w:sz w:val="25"/>
        </w:rPr>
        <w:t>2. Key External Factors (PESTEL)</w:t>
      </w:r>
    </w:p>
    <w:tbl>
      <w:tblPr>
        <w:tblStyle w:val="TableGrid"/>
        <w:tblW w:type="auto" w:w="0"/>
        <w:tblLayout w:type="fixed"/>
        <w:tblLook w:firstColumn="1" w:firstRow="1" w:lastColumn="0" w:lastRow="0" w:noHBand="0" w:noVBand="1" w:val="04A0"/>
      </w:tblPr>
      <w:tblGrid>
        <w:gridCol w:w="1728"/>
        <w:gridCol w:w="4968"/>
        <w:gridCol w:w="3312"/>
      </w:tblGrid>
      <w:tr>
        <w:trPr>
          <w:tblHeader w:val="true"/>
        </w:trPr>
        <w:tc>
          <w:tcPr>
            <w:tcW w:type="dxa" w:w="1728"/>
            <w:shd w:val="clear" w:color="auto" w:fill="1F3A5F"/>
          </w:tcPr>
          <w:p>
            <w:pPr>
              <w:spacing w:after="0" w:line="240" w:lineRule="auto"/>
            </w:pPr>
            <w:r/>
            <w:r>
              <w:rPr>
                <w:b/>
                <w:color w:val="FFFFFF"/>
                <w:sz w:val="18"/>
              </w:rPr>
              <w:t>Factor</w:t>
            </w:r>
          </w:p>
        </w:tc>
        <w:tc>
          <w:tcPr>
            <w:tcW w:type="dxa" w:w="4968"/>
            <w:shd w:val="clear" w:color="auto" w:fill="1F3A5F"/>
          </w:tcPr>
          <w:p>
            <w:pPr>
              <w:spacing w:after="0" w:line="240" w:lineRule="auto"/>
            </w:pPr>
            <w:r/>
            <w:r>
              <w:rPr>
                <w:b/>
                <w:color w:val="FFFFFF"/>
                <w:sz w:val="18"/>
              </w:rPr>
              <w:t>Evidence</w:t>
            </w:r>
          </w:p>
        </w:tc>
        <w:tc>
          <w:tcPr>
            <w:tcW w:type="dxa" w:w="3312"/>
            <w:shd w:val="clear" w:color="auto" w:fill="1F3A5F"/>
          </w:tcPr>
          <w:p>
            <w:pPr>
              <w:spacing w:after="0" w:line="240" w:lineRule="auto"/>
            </w:pPr>
            <w:r/>
            <w:r>
              <w:rPr>
                <w:b/>
                <w:color w:val="FFFFFF"/>
                <w:sz w:val="18"/>
              </w:rPr>
              <w:t>Impact</w:t>
            </w:r>
          </w:p>
        </w:tc>
      </w:tr>
      <w:tr>
        <w:tc>
          <w:tcPr>
            <w:tcW w:type="dxa" w:w="1728"/>
            <w:shd w:val="clear" w:color="auto" w:fill="E8EEF5"/>
          </w:tcPr>
          <w:p>
            <w:pPr>
              <w:spacing w:after="0" w:line="240" w:lineRule="auto"/>
            </w:pPr>
            <w:r/>
            <w:r>
              <w:rPr>
                <w:b/>
                <w:sz w:val="18"/>
              </w:rPr>
              <w:t>Economic</w:t>
            </w:r>
          </w:p>
        </w:tc>
        <w:tc>
          <w:tcPr>
            <w:tcW w:type="dxa" w:w="4968"/>
          </w:tcPr>
          <w:p>
            <w:pPr>
              <w:spacing w:after="0" w:line="240" w:lineRule="auto"/>
            </w:pPr>
            <w:r/>
            <w:r>
              <w:rPr>
                <w:sz w:val="18"/>
              </w:rPr>
              <w:t>Food costs worry 88% of restaurant operators and labour costs 89%. Real foodservice sales are forecast to grow only 1.5% in 2026 (Restaurants Canada, 2026b). Hotel growth now comes from price: in June 2026, occupancy fell 3.5% while ADR rose 5.4% (CoStar, 2026b).</w:t>
            </w:r>
          </w:p>
        </w:tc>
        <w:tc>
          <w:tcPr>
            <w:tcW w:type="dxa" w:w="3312"/>
          </w:tcPr>
          <w:p>
            <w:pPr>
              <w:spacing w:after="0" w:line="240" w:lineRule="auto"/>
            </w:pPr>
            <w:r/>
            <w:r>
              <w:rPr>
                <w:sz w:val="18"/>
              </w:rPr>
              <w:t>Margins are squeezed. Rate-led hotel growth has limits.</w:t>
            </w:r>
          </w:p>
        </w:tc>
      </w:tr>
      <w:tr>
        <w:tc>
          <w:tcPr>
            <w:tcW w:type="dxa" w:w="1728"/>
            <w:shd w:val="clear" w:color="auto" w:fill="E8EEF5"/>
          </w:tcPr>
          <w:p>
            <w:pPr>
              <w:spacing w:after="0" w:line="240" w:lineRule="auto"/>
            </w:pPr>
            <w:r/>
            <w:r>
              <w:rPr>
                <w:b/>
                <w:sz w:val="18"/>
              </w:rPr>
              <w:t>Political</w:t>
            </w:r>
          </w:p>
        </w:tc>
        <w:tc>
          <w:tcPr>
            <w:tcW w:type="dxa" w:w="4968"/>
          </w:tcPr>
          <w:p>
            <w:pPr>
              <w:spacing w:after="0" w:line="240" w:lineRule="auto"/>
            </w:pPr>
            <w:r/>
            <w:r>
              <w:rPr>
                <w:sz w:val="18"/>
              </w:rPr>
              <w:t>Because of the tariff dispute, Canadian return trips from the U.S. fell 25.4% to 29.1 million in 2025 (Statistics Canada, 2026a), with a 14th straight monthly decline in February 2026 (Statistics Canada, 2026b). Ottawa’s Canada Strong Pass (June 19 to September 7, 2026) offered free national park entry to encourage domestic travel (Parks Canada, n.d.).</w:t>
            </w:r>
          </w:p>
        </w:tc>
        <w:tc>
          <w:tcPr>
            <w:tcW w:type="dxa" w:w="3312"/>
          </w:tcPr>
          <w:p>
            <w:pPr>
              <w:spacing w:after="0" w:line="240" w:lineRule="auto"/>
            </w:pPr>
            <w:r/>
            <w:r>
              <w:rPr>
                <w:sz w:val="18"/>
              </w:rPr>
              <w:t>Domestic leisure demand rises. U.S.-linked demand stays weak.</w:t>
            </w:r>
          </w:p>
        </w:tc>
      </w:tr>
      <w:tr>
        <w:tc>
          <w:tcPr>
            <w:tcW w:type="dxa" w:w="1728"/>
            <w:shd w:val="clear" w:color="auto" w:fill="E8EEF5"/>
          </w:tcPr>
          <w:p>
            <w:pPr>
              <w:spacing w:after="0" w:line="240" w:lineRule="auto"/>
            </w:pPr>
            <w:r/>
            <w:r>
              <w:rPr>
                <w:b/>
                <w:sz w:val="18"/>
              </w:rPr>
              <w:t>Legal</w:t>
            </w:r>
          </w:p>
        </w:tc>
        <w:tc>
          <w:tcPr>
            <w:tcW w:type="dxa" w:w="4968"/>
          </w:tcPr>
          <w:p>
            <w:pPr>
              <w:spacing w:after="0" w:line="240" w:lineRule="auto"/>
            </w:pPr>
            <w:r/>
            <w:r>
              <w:rPr>
                <w:sz w:val="18"/>
              </w:rPr>
              <w:t>Minimum wages rise each year with inflation: the federal rate is $18.15, B.C. $18.25 and Ontario $17.95 (Littler, 2026). Bill C-59 (2024) bans drip pricing, so mandatory fees must appear in the advertised price (Davies, 2024). B.C. requires short-term rental registration (Government of British Columbia, n.d.). Quebec’s Law 25 tightens consent rules for personal data.</w:t>
            </w:r>
          </w:p>
        </w:tc>
        <w:tc>
          <w:tcPr>
            <w:tcW w:type="dxa" w:w="3312"/>
          </w:tcPr>
          <w:p>
            <w:pPr>
              <w:spacing w:after="0" w:line="240" w:lineRule="auto"/>
            </w:pPr>
            <w:r/>
            <w:r>
              <w:rPr>
                <w:sz w:val="18"/>
              </w:rPr>
              <w:t>Labour costs rise. Resort fees must be shown upfront. Guest data needs clear consent.</w:t>
            </w:r>
          </w:p>
        </w:tc>
      </w:tr>
      <w:tr>
        <w:tc>
          <w:tcPr>
            <w:tcW w:type="dxa" w:w="1728"/>
            <w:shd w:val="clear" w:color="auto" w:fill="E8EEF5"/>
          </w:tcPr>
          <w:p>
            <w:pPr>
              <w:spacing w:after="0" w:line="240" w:lineRule="auto"/>
            </w:pPr>
            <w:r/>
            <w:r>
              <w:rPr>
                <w:b/>
                <w:sz w:val="18"/>
              </w:rPr>
              <w:t>Social</w:t>
            </w:r>
          </w:p>
        </w:tc>
        <w:tc>
          <w:tcPr>
            <w:tcW w:type="dxa" w:w="4968"/>
          </w:tcPr>
          <w:p>
            <w:pPr>
              <w:spacing w:after="0" w:line="240" w:lineRule="auto"/>
            </w:pPr>
            <w:r/>
            <w:r>
              <w:rPr>
                <w:sz w:val="18"/>
              </w:rPr>
              <w:t>80% of Canadians are eating out less because of the cost of living (Restaurants Canada, 2026a). 83% say too many businesses ask for tips (Angus Reid Institute, 2023). “Buy Canadian” sentiment has favoured local brands such as A&amp;W (NOW Toronto, 2025).</w:t>
            </w:r>
          </w:p>
        </w:tc>
        <w:tc>
          <w:tcPr>
            <w:tcW w:type="dxa" w:w="3312"/>
          </w:tcPr>
          <w:p>
            <w:pPr>
              <w:spacing w:after="0" w:line="240" w:lineRule="auto"/>
            </w:pPr>
            <w:r/>
            <w:r>
              <w:rPr>
                <w:sz w:val="18"/>
              </w:rPr>
              <w:t>Guests are price-sensitive and loyal to local brands.</w:t>
            </w:r>
          </w:p>
        </w:tc>
      </w:tr>
      <w:tr>
        <w:tc>
          <w:tcPr>
            <w:tcW w:type="dxa" w:w="1728"/>
            <w:shd w:val="clear" w:color="auto" w:fill="E8EEF5"/>
          </w:tcPr>
          <w:p>
            <w:pPr>
              <w:spacing w:after="0" w:line="240" w:lineRule="auto"/>
            </w:pPr>
            <w:r/>
            <w:r>
              <w:rPr>
                <w:b/>
                <w:sz w:val="18"/>
              </w:rPr>
              <w:t>Technological</w:t>
            </w:r>
          </w:p>
        </w:tc>
        <w:tc>
          <w:tcPr>
            <w:tcW w:type="dxa" w:w="4968"/>
          </w:tcPr>
          <w:p>
            <w:pPr>
              <w:spacing w:after="0" w:line="240" w:lineRule="auto"/>
            </w:pPr>
            <w:r/>
            <w:r>
              <w:rPr>
                <w:sz w:val="18"/>
              </w:rPr>
              <w:t>79% of independent restaurant operators feel positive about AI (TouchBistro, 2026). Kiosks, mobile ordering, digital room keys and revenue-management tools are now mainstream.</w:t>
            </w:r>
          </w:p>
        </w:tc>
        <w:tc>
          <w:tcPr>
            <w:tcW w:type="dxa" w:w="3312"/>
          </w:tcPr>
          <w:p>
            <w:pPr>
              <w:spacing w:after="0" w:line="240" w:lineRule="auto"/>
            </w:pPr>
            <w:r/>
            <w:r>
              <w:rPr>
                <w:sz w:val="18"/>
              </w:rPr>
              <w:t>Technology cuts labour needs and creates data to use.</w:t>
            </w:r>
          </w:p>
        </w:tc>
      </w:tr>
      <w:tr>
        <w:tc>
          <w:tcPr>
            <w:tcW w:type="dxa" w:w="1728"/>
            <w:shd w:val="clear" w:color="auto" w:fill="E8EEF5"/>
          </w:tcPr>
          <w:p>
            <w:pPr>
              <w:spacing w:after="0" w:line="240" w:lineRule="auto"/>
            </w:pPr>
            <w:r/>
            <w:r>
              <w:rPr>
                <w:b/>
                <w:sz w:val="18"/>
              </w:rPr>
              <w:t>Environmental</w:t>
            </w:r>
          </w:p>
        </w:tc>
        <w:tc>
          <w:tcPr>
            <w:tcW w:type="dxa" w:w="4968"/>
          </w:tcPr>
          <w:p>
            <w:pPr>
              <w:spacing w:after="0" w:line="240" w:lineRule="auto"/>
            </w:pPr>
            <w:r/>
            <w:r>
              <w:rPr>
                <w:sz w:val="18"/>
              </w:rPr>
              <w:t>The 2024 Jasper wildfire shut a major resort town in peak season. Smoke and extreme weather recur. Clients increasingly ask about food waste and energy use.</w:t>
            </w:r>
          </w:p>
        </w:tc>
        <w:tc>
          <w:tcPr>
            <w:tcW w:type="dxa" w:w="3312"/>
          </w:tcPr>
          <w:p>
            <w:pPr>
              <w:spacing w:after="0" w:line="240" w:lineRule="auto"/>
            </w:pPr>
            <w:r/>
            <w:r>
              <w:rPr>
                <w:sz w:val="18"/>
              </w:rPr>
              <w:t>Seasonal risk rises and sustainability influences buying decisions.</w:t>
            </w:r>
          </w:p>
        </w:tc>
      </w:tr>
    </w:tbl>
    <w:p>
      <w:pPr>
        <w:keepNext/>
        <w:spacing w:before="140" w:after="60"/>
      </w:pPr>
      <w:r>
        <w:rPr>
          <w:b/>
          <w:color w:val="1F3A5F"/>
          <w:sz w:val="25"/>
        </w:rPr>
        <w:t>3. Competitive Landscape</w:t>
      </w:r>
    </w:p>
    <w:p>
      <w:pPr>
        <w:spacing w:after="60"/>
      </w:pPr>
      <w:r>
        <w:rPr>
          <w:b/>
        </w:rPr>
        <w:t xml:space="preserve">3.1 Industry structure. </w:t>
      </w:r>
      <w:r>
        <w:rPr>
          <w:i w:val="0"/>
        </w:rPr>
        <w:t>Porter’s Five Forces (Table 2) shows an industry where it is hard to earn above-average profits.</w:t>
      </w:r>
    </w:p>
    <w:tbl>
      <w:tblPr>
        <w:tblStyle w:val="TableGrid"/>
        <w:tblW w:type="auto" w:w="0"/>
        <w:tblLayout w:type="fixed"/>
        <w:tblLook w:firstColumn="1" w:firstRow="1" w:lastColumn="0" w:lastRow="0" w:noHBand="0" w:noVBand="1" w:val="04A0"/>
      </w:tblPr>
      <w:tblGrid>
        <w:gridCol w:w="1728"/>
        <w:gridCol w:w="1440"/>
        <w:gridCol w:w="6840"/>
      </w:tblGrid>
      <w:tr>
        <w:trPr>
          <w:tblHeader w:val="true"/>
        </w:trPr>
        <w:tc>
          <w:tcPr>
            <w:tcW w:type="dxa" w:w="1728"/>
            <w:shd w:val="clear" w:color="auto" w:fill="1F3A5F"/>
          </w:tcPr>
          <w:p>
            <w:pPr>
              <w:spacing w:after="0" w:line="240" w:lineRule="auto"/>
            </w:pPr>
            <w:r/>
            <w:r>
              <w:rPr>
                <w:b/>
                <w:color w:val="FFFFFF"/>
                <w:sz w:val="18"/>
              </w:rPr>
              <w:t>Force</w:t>
            </w:r>
          </w:p>
        </w:tc>
        <w:tc>
          <w:tcPr>
            <w:tcW w:type="dxa" w:w="1440"/>
            <w:shd w:val="clear" w:color="auto" w:fill="1F3A5F"/>
          </w:tcPr>
          <w:p>
            <w:pPr>
              <w:spacing w:after="0" w:line="240" w:lineRule="auto"/>
            </w:pPr>
            <w:r/>
            <w:r>
              <w:rPr>
                <w:b/>
                <w:color w:val="FFFFFF"/>
                <w:sz w:val="18"/>
              </w:rPr>
              <w:t>Level</w:t>
            </w:r>
          </w:p>
        </w:tc>
        <w:tc>
          <w:tcPr>
            <w:tcW w:type="dxa" w:w="6840"/>
            <w:shd w:val="clear" w:color="auto" w:fill="1F3A5F"/>
          </w:tcPr>
          <w:p>
            <w:pPr>
              <w:spacing w:after="0" w:line="240" w:lineRule="auto"/>
            </w:pPr>
            <w:r/>
            <w:r>
              <w:rPr>
                <w:b/>
                <w:color w:val="FFFFFF"/>
                <w:sz w:val="18"/>
              </w:rPr>
              <w:t>Evidence</w:t>
            </w:r>
          </w:p>
        </w:tc>
      </w:tr>
      <w:tr>
        <w:tc>
          <w:tcPr>
            <w:tcW w:type="dxa" w:w="1728"/>
            <w:shd w:val="clear" w:color="auto" w:fill="E8EEF5"/>
          </w:tcPr>
          <w:p>
            <w:pPr>
              <w:spacing w:after="0" w:line="240" w:lineRule="auto"/>
            </w:pPr>
            <w:r/>
            <w:r>
              <w:rPr>
                <w:b/>
                <w:sz w:val="18"/>
              </w:rPr>
              <w:t>Rivalry</w:t>
            </w:r>
          </w:p>
        </w:tc>
        <w:tc>
          <w:tcPr>
            <w:tcW w:type="dxa" w:w="1440"/>
          </w:tcPr>
          <w:p>
            <w:pPr>
              <w:spacing w:after="0" w:line="240" w:lineRule="auto"/>
            </w:pPr>
            <w:r/>
            <w:r>
              <w:rPr>
                <w:sz w:val="18"/>
              </w:rPr>
              <w:t>High</w:t>
            </w:r>
          </w:p>
        </w:tc>
        <w:tc>
          <w:tcPr>
            <w:tcW w:type="dxa" w:w="6840"/>
          </w:tcPr>
          <w:p>
            <w:pPr>
              <w:spacing w:after="0" w:line="240" w:lineRule="auto"/>
            </w:pPr>
            <w:r/>
            <w:r>
              <w:rPr>
                <w:sz w:val="18"/>
              </w:rPr>
              <w:t>Supply keeps growing (Marriott is adding about 11 hotels and Hilton about 15 in 2026) while occupancy softens. Quick-service chains are competing hard on value.</w:t>
            </w:r>
          </w:p>
        </w:tc>
      </w:tr>
      <w:tr>
        <w:tc>
          <w:tcPr>
            <w:tcW w:type="dxa" w:w="1728"/>
            <w:shd w:val="clear" w:color="auto" w:fill="E8EEF5"/>
          </w:tcPr>
          <w:p>
            <w:pPr>
              <w:spacing w:after="0" w:line="240" w:lineRule="auto"/>
            </w:pPr>
            <w:r/>
            <w:r>
              <w:rPr>
                <w:b/>
                <w:sz w:val="18"/>
              </w:rPr>
              <w:t>Buyer power</w:t>
            </w:r>
          </w:p>
        </w:tc>
        <w:tc>
          <w:tcPr>
            <w:tcW w:type="dxa" w:w="1440"/>
          </w:tcPr>
          <w:p>
            <w:pPr>
              <w:spacing w:after="0" w:line="240" w:lineRule="auto"/>
            </w:pPr>
            <w:r/>
            <w:r>
              <w:rPr>
                <w:sz w:val="18"/>
              </w:rPr>
              <w:t>High</w:t>
            </w:r>
          </w:p>
        </w:tc>
        <w:tc>
          <w:tcPr>
            <w:tcW w:type="dxa" w:w="6840"/>
          </w:tcPr>
          <w:p>
            <w:pPr>
              <w:spacing w:after="0" w:line="240" w:lineRule="auto"/>
            </w:pPr>
            <w:r/>
            <w:r>
              <w:rPr>
                <w:sz w:val="18"/>
              </w:rPr>
              <w:t>80% of consumers are cutting back. Price transparency (Bill C-59) and online reviews make prices easy to compare.</w:t>
            </w:r>
          </w:p>
        </w:tc>
      </w:tr>
      <w:tr>
        <w:tc>
          <w:tcPr>
            <w:tcW w:type="dxa" w:w="1728"/>
            <w:shd w:val="clear" w:color="auto" w:fill="E8EEF5"/>
          </w:tcPr>
          <w:p>
            <w:pPr>
              <w:spacing w:after="0" w:line="240" w:lineRule="auto"/>
            </w:pPr>
            <w:r/>
            <w:r>
              <w:rPr>
                <w:b/>
                <w:sz w:val="18"/>
              </w:rPr>
              <w:t>Supplier power</w:t>
            </w:r>
          </w:p>
        </w:tc>
        <w:tc>
          <w:tcPr>
            <w:tcW w:type="dxa" w:w="1440"/>
          </w:tcPr>
          <w:p>
            <w:pPr>
              <w:spacing w:after="0" w:line="240" w:lineRule="auto"/>
            </w:pPr>
            <w:r/>
            <w:r>
              <w:rPr>
                <w:sz w:val="18"/>
              </w:rPr>
              <w:t>Moderate to high</w:t>
            </w:r>
          </w:p>
        </w:tc>
        <w:tc>
          <w:tcPr>
            <w:tcW w:type="dxa" w:w="6840"/>
          </w:tcPr>
          <w:p>
            <w:pPr>
              <w:spacing w:after="0" w:line="240" w:lineRule="auto"/>
            </w:pPr>
            <w:r/>
            <w:r>
              <w:rPr>
                <w:sz w:val="18"/>
              </w:rPr>
              <w:t>Food inflation, a tighter labour supply (46% of hotels lost foreign workers to expiring permits; Hotelier Magazine, 2026), and commissions charged by booking and delivery platforms.</w:t>
            </w:r>
          </w:p>
        </w:tc>
      </w:tr>
      <w:tr>
        <w:tc>
          <w:tcPr>
            <w:tcW w:type="dxa" w:w="1728"/>
            <w:shd w:val="clear" w:color="auto" w:fill="E8EEF5"/>
          </w:tcPr>
          <w:p>
            <w:pPr>
              <w:spacing w:after="0" w:line="240" w:lineRule="auto"/>
            </w:pPr>
            <w:r/>
            <w:r>
              <w:rPr>
                <w:b/>
                <w:sz w:val="18"/>
              </w:rPr>
              <w:t>Substitutes</w:t>
            </w:r>
          </w:p>
        </w:tc>
        <w:tc>
          <w:tcPr>
            <w:tcW w:type="dxa" w:w="1440"/>
          </w:tcPr>
          <w:p>
            <w:pPr>
              <w:spacing w:after="0" w:line="240" w:lineRule="auto"/>
            </w:pPr>
            <w:r/>
            <w:r>
              <w:rPr>
                <w:sz w:val="18"/>
              </w:rPr>
              <w:t>Moderate to high</w:t>
            </w:r>
          </w:p>
        </w:tc>
        <w:tc>
          <w:tcPr>
            <w:tcW w:type="dxa" w:w="6840"/>
          </w:tcPr>
          <w:p>
            <w:pPr>
              <w:spacing w:after="0" w:line="240" w:lineRule="auto"/>
            </w:pPr>
            <w:r/>
            <w:r>
              <w:rPr>
                <w:sz w:val="18"/>
              </w:rPr>
              <w:t>Airbnb, grocery prepared meals and cooking at home.</w:t>
            </w:r>
          </w:p>
        </w:tc>
      </w:tr>
      <w:tr>
        <w:tc>
          <w:tcPr>
            <w:tcW w:type="dxa" w:w="1728"/>
            <w:shd w:val="clear" w:color="auto" w:fill="E8EEF5"/>
          </w:tcPr>
          <w:p>
            <w:pPr>
              <w:spacing w:after="0" w:line="240" w:lineRule="auto"/>
            </w:pPr>
            <w:r/>
            <w:r>
              <w:rPr>
                <w:b/>
                <w:sz w:val="18"/>
              </w:rPr>
              <w:t>New entrants</w:t>
            </w:r>
          </w:p>
        </w:tc>
        <w:tc>
          <w:tcPr>
            <w:tcW w:type="dxa" w:w="1440"/>
          </w:tcPr>
          <w:p>
            <w:pPr>
              <w:spacing w:after="0" w:line="240" w:lineRule="auto"/>
            </w:pPr>
            <w:r/>
            <w:r>
              <w:rPr>
                <w:sz w:val="18"/>
              </w:rPr>
              <w:t>Moderate</w:t>
            </w:r>
          </w:p>
        </w:tc>
        <w:tc>
          <w:tcPr>
            <w:tcW w:type="dxa" w:w="6840"/>
          </w:tcPr>
          <w:p>
            <w:pPr>
              <w:spacing w:after="0" w:line="240" w:lineRule="auto"/>
            </w:pPr>
            <w:r/>
            <w:r>
              <w:rPr>
                <w:sz w:val="18"/>
              </w:rPr>
              <w:t>Opening a restaurant is easy, but a 4.1% average margin deters newcomers. Hotels require heavy capital.</w:t>
            </w:r>
          </w:p>
        </w:tc>
      </w:tr>
    </w:tbl>
    <w:p>
      <w:pPr>
        <w:spacing w:after="60" w:before="100"/>
      </w:pPr>
      <w:r>
        <w:rPr>
          <w:b/>
        </w:rPr>
        <w:t xml:space="preserve">3.2 Top 10 competitors. </w:t>
      </w:r>
      <w:r>
        <w:rPr>
          <w:i w:val="0"/>
        </w:rPr>
        <w:t>Table 3 profiles the ten most important competitors, including the generic strategy each one follows.</w:t>
      </w:r>
    </w:p>
    <w:tbl>
      <w:tblPr>
        <w:tblStyle w:val="TableGrid"/>
        <w:tblW w:type="auto" w:w="0"/>
        <w:tblLayout w:type="fixed"/>
        <w:tblLook w:firstColumn="1" w:firstRow="1" w:lastColumn="0" w:lastRow="0" w:noHBand="0" w:noVBand="1" w:val="04A0"/>
      </w:tblPr>
      <w:tblGrid>
        <w:gridCol w:w="1656"/>
        <w:gridCol w:w="1656"/>
        <w:gridCol w:w="2160"/>
        <w:gridCol w:w="2016"/>
        <w:gridCol w:w="2520"/>
      </w:tblGrid>
      <w:tr>
        <w:trPr>
          <w:tblHeader w:val="true"/>
        </w:trPr>
        <w:tc>
          <w:tcPr>
            <w:tcW w:type="dxa" w:w="1656"/>
            <w:shd w:val="clear" w:color="auto" w:fill="1F3A5F"/>
          </w:tcPr>
          <w:p>
            <w:pPr>
              <w:spacing w:after="0" w:line="240" w:lineRule="auto"/>
            </w:pPr>
            <w:r/>
            <w:r>
              <w:rPr>
                <w:b/>
                <w:color w:val="FFFFFF"/>
                <w:sz w:val="18"/>
              </w:rPr>
              <w:t>Competitor</w:t>
            </w:r>
          </w:p>
        </w:tc>
        <w:tc>
          <w:tcPr>
            <w:tcW w:type="dxa" w:w="1656"/>
            <w:shd w:val="clear" w:color="auto" w:fill="1F3A5F"/>
          </w:tcPr>
          <w:p>
            <w:pPr>
              <w:spacing w:after="0" w:line="240" w:lineRule="auto"/>
            </w:pPr>
            <w:r/>
            <w:r>
              <w:rPr>
                <w:b/>
                <w:color w:val="FFFFFF"/>
                <w:sz w:val="18"/>
              </w:rPr>
              <w:t>Segment / strategy</w:t>
            </w:r>
          </w:p>
        </w:tc>
        <w:tc>
          <w:tcPr>
            <w:tcW w:type="dxa" w:w="2160"/>
            <w:shd w:val="clear" w:color="auto" w:fill="1F3A5F"/>
          </w:tcPr>
          <w:p>
            <w:pPr>
              <w:spacing w:after="0" w:line="240" w:lineRule="auto"/>
            </w:pPr>
            <w:r/>
            <w:r>
              <w:rPr>
                <w:b/>
                <w:color w:val="FFFFFF"/>
                <w:sz w:val="18"/>
              </w:rPr>
              <w:t>Strength</w:t>
            </w:r>
          </w:p>
        </w:tc>
        <w:tc>
          <w:tcPr>
            <w:tcW w:type="dxa" w:w="2016"/>
            <w:shd w:val="clear" w:color="auto" w:fill="1F3A5F"/>
          </w:tcPr>
          <w:p>
            <w:pPr>
              <w:spacing w:after="0" w:line="240" w:lineRule="auto"/>
            </w:pPr>
            <w:r/>
            <w:r>
              <w:rPr>
                <w:b/>
                <w:color w:val="FFFFFF"/>
                <w:sz w:val="18"/>
              </w:rPr>
              <w:t>Weakness</w:t>
            </w:r>
          </w:p>
        </w:tc>
        <w:tc>
          <w:tcPr>
            <w:tcW w:type="dxa" w:w="2520"/>
            <w:shd w:val="clear" w:color="auto" w:fill="1F3A5F"/>
          </w:tcPr>
          <w:p>
            <w:pPr>
              <w:spacing w:after="0" w:line="240" w:lineRule="auto"/>
            </w:pPr>
            <w:r/>
            <w:r>
              <w:rPr>
                <w:b/>
                <w:color w:val="FFFFFF"/>
                <w:sz w:val="18"/>
              </w:rPr>
              <w:t>Recent move</w:t>
            </w:r>
          </w:p>
        </w:tc>
      </w:tr>
      <w:tr>
        <w:tc>
          <w:tcPr>
            <w:tcW w:type="dxa" w:w="1656"/>
            <w:shd w:val="clear" w:color="auto" w:fill="E8EEF5"/>
          </w:tcPr>
          <w:p>
            <w:pPr>
              <w:spacing w:after="0" w:line="240" w:lineRule="auto"/>
            </w:pPr>
            <w:r/>
            <w:r>
              <w:rPr>
                <w:b/>
                <w:sz w:val="18"/>
              </w:rPr>
              <w:t>Tim Hortons (RBI)</w:t>
            </w:r>
          </w:p>
        </w:tc>
        <w:tc>
          <w:tcPr>
            <w:tcW w:type="dxa" w:w="1656"/>
          </w:tcPr>
          <w:p>
            <w:pPr>
              <w:spacing w:after="0" w:line="240" w:lineRule="auto"/>
            </w:pPr>
            <w:r/>
            <w:r>
              <w:rPr>
                <w:sz w:val="18"/>
              </w:rPr>
              <w:t>Coffee QSR / cost leadership</w:t>
            </w:r>
          </w:p>
        </w:tc>
        <w:tc>
          <w:tcPr>
            <w:tcW w:type="dxa" w:w="2160"/>
          </w:tcPr>
          <w:p>
            <w:pPr>
              <w:spacing w:after="0" w:line="240" w:lineRule="auto"/>
            </w:pPr>
            <w:r/>
            <w:r>
              <w:rPr>
                <w:sz w:val="18"/>
              </w:rPr>
              <w:t>6,209 restaurants; strong national brand</w:t>
            </w:r>
          </w:p>
        </w:tc>
        <w:tc>
          <w:tcPr>
            <w:tcW w:type="dxa" w:w="2016"/>
          </w:tcPr>
          <w:p>
            <w:pPr>
              <w:spacing w:after="0" w:line="240" w:lineRule="auto"/>
            </w:pPr>
            <w:r/>
            <w:r>
              <w:rPr>
                <w:sz w:val="18"/>
              </w:rPr>
              <w:t>Canadian same-store sales slowed to 0.1% in Q2 2026</w:t>
            </w:r>
          </w:p>
        </w:tc>
        <w:tc>
          <w:tcPr>
            <w:tcW w:type="dxa" w:w="2520"/>
          </w:tcPr>
          <w:p>
            <w:pPr>
              <w:spacing w:after="0" w:line="240" w:lineRule="auto"/>
            </w:pPr>
            <w:r/>
            <w:r>
              <w:rPr>
                <w:sz w:val="18"/>
              </w:rPr>
              <w:t>Menu upgrades; loyalty partnership with Canadian Tire (Restaurant Brands International, 2026; Retail Insider, 2026)</w:t>
            </w:r>
          </w:p>
        </w:tc>
      </w:tr>
      <w:tr>
        <w:tc>
          <w:tcPr>
            <w:tcW w:type="dxa" w:w="1656"/>
            <w:shd w:val="clear" w:color="auto" w:fill="E8EEF5"/>
          </w:tcPr>
          <w:p>
            <w:pPr>
              <w:spacing w:after="0" w:line="240" w:lineRule="auto"/>
            </w:pPr>
            <w:r/>
            <w:r>
              <w:rPr>
                <w:b/>
                <w:sz w:val="18"/>
              </w:rPr>
              <w:t>McDonald’s Canada</w:t>
            </w:r>
          </w:p>
        </w:tc>
        <w:tc>
          <w:tcPr>
            <w:tcW w:type="dxa" w:w="1656"/>
          </w:tcPr>
          <w:p>
            <w:pPr>
              <w:spacing w:after="0" w:line="240" w:lineRule="auto"/>
            </w:pPr>
            <w:r/>
            <w:r>
              <w:rPr>
                <w:sz w:val="18"/>
              </w:rPr>
              <w:t>Burger QSR / cost leadership</w:t>
            </w:r>
          </w:p>
        </w:tc>
        <w:tc>
          <w:tcPr>
            <w:tcW w:type="dxa" w:w="2160"/>
          </w:tcPr>
          <w:p>
            <w:pPr>
              <w:spacing w:after="0" w:line="240" w:lineRule="auto"/>
            </w:pPr>
            <w:r/>
            <w:r>
              <w:rPr>
                <w:sz w:val="18"/>
              </w:rPr>
              <w:t>Global purchasing scale and marketing power</w:t>
            </w:r>
          </w:p>
        </w:tc>
        <w:tc>
          <w:tcPr>
            <w:tcW w:type="dxa" w:w="2016"/>
          </w:tcPr>
          <w:p>
            <w:pPr>
              <w:spacing w:after="0" w:line="240" w:lineRule="auto"/>
            </w:pPr>
            <w:r/>
            <w:r>
              <w:rPr>
                <w:sz w:val="18"/>
              </w:rPr>
              <w:t>U.S. brand facing “Buy Canadian” sentiment</w:t>
            </w:r>
          </w:p>
        </w:tc>
        <w:tc>
          <w:tcPr>
            <w:tcW w:type="dxa" w:w="2520"/>
          </w:tcPr>
          <w:p>
            <w:pPr>
              <w:spacing w:after="0" w:line="240" w:lineRule="auto"/>
            </w:pPr>
            <w:r/>
            <w:r>
              <w:rPr>
                <w:sz w:val="18"/>
              </w:rPr>
              <w:t>One-year price lock on $5 McValue meals and $1 coffee (McDonald’s Canada, n.d.)</w:t>
            </w:r>
          </w:p>
        </w:tc>
      </w:tr>
      <w:tr>
        <w:tc>
          <w:tcPr>
            <w:tcW w:type="dxa" w:w="1656"/>
            <w:shd w:val="clear" w:color="auto" w:fill="E8EEF5"/>
          </w:tcPr>
          <w:p>
            <w:pPr>
              <w:spacing w:after="0" w:line="240" w:lineRule="auto"/>
            </w:pPr>
            <w:r/>
            <w:r>
              <w:rPr>
                <w:b/>
                <w:sz w:val="18"/>
              </w:rPr>
              <w:t>A&amp;W Canada</w:t>
            </w:r>
          </w:p>
        </w:tc>
        <w:tc>
          <w:tcPr>
            <w:tcW w:type="dxa" w:w="1656"/>
          </w:tcPr>
          <w:p>
            <w:pPr>
              <w:spacing w:after="0" w:line="240" w:lineRule="auto"/>
            </w:pPr>
            <w:r/>
            <w:r>
              <w:rPr>
                <w:sz w:val="18"/>
              </w:rPr>
              <w:t>Burger QSR / differentiation</w:t>
            </w:r>
          </w:p>
        </w:tc>
        <w:tc>
          <w:tcPr>
            <w:tcW w:type="dxa" w:w="2160"/>
          </w:tcPr>
          <w:p>
            <w:pPr>
              <w:spacing w:after="0" w:line="240" w:lineRule="auto"/>
            </w:pPr>
            <w:r/>
            <w:r>
              <w:rPr>
                <w:sz w:val="18"/>
              </w:rPr>
              <w:t>Canadian-owned; 1,000+ locations</w:t>
            </w:r>
          </w:p>
        </w:tc>
        <w:tc>
          <w:tcPr>
            <w:tcW w:type="dxa" w:w="2016"/>
          </w:tcPr>
          <w:p>
            <w:pPr>
              <w:spacing w:after="0" w:line="240" w:lineRule="auto"/>
            </w:pPr>
            <w:r/>
            <w:r>
              <w:rPr>
                <w:sz w:val="18"/>
              </w:rPr>
              <w:t>Smaller marketing budget than McDonald’s</w:t>
            </w:r>
          </w:p>
        </w:tc>
        <w:tc>
          <w:tcPr>
            <w:tcW w:type="dxa" w:w="2520"/>
          </w:tcPr>
          <w:p>
            <w:pPr>
              <w:spacing w:after="0" w:line="240" w:lineRule="auto"/>
            </w:pPr>
            <w:r/>
            <w:r>
              <w:rPr>
                <w:sz w:val="18"/>
              </w:rPr>
              <w:t>“Canadian owned and managed” signage (NOW Toronto, 2025)</w:t>
            </w:r>
          </w:p>
        </w:tc>
      </w:tr>
      <w:tr>
        <w:tc>
          <w:tcPr>
            <w:tcW w:type="dxa" w:w="1656"/>
            <w:shd w:val="clear" w:color="auto" w:fill="E8EEF5"/>
          </w:tcPr>
          <w:p>
            <w:pPr>
              <w:spacing w:after="0" w:line="240" w:lineRule="auto"/>
            </w:pPr>
            <w:r/>
            <w:r>
              <w:rPr>
                <w:b/>
                <w:sz w:val="18"/>
              </w:rPr>
              <w:t>Recipe Unlimited</w:t>
            </w:r>
          </w:p>
        </w:tc>
        <w:tc>
          <w:tcPr>
            <w:tcW w:type="dxa" w:w="1656"/>
          </w:tcPr>
          <w:p>
            <w:pPr>
              <w:spacing w:after="0" w:line="240" w:lineRule="auto"/>
            </w:pPr>
            <w:r/>
            <w:r>
              <w:rPr>
                <w:sz w:val="18"/>
              </w:rPr>
              <w:t>Casual dining / broad differentiation</w:t>
            </w:r>
          </w:p>
        </w:tc>
        <w:tc>
          <w:tcPr>
            <w:tcW w:type="dxa" w:w="2160"/>
          </w:tcPr>
          <w:p>
            <w:pPr>
              <w:spacing w:after="0" w:line="240" w:lineRule="auto"/>
            </w:pPr>
            <w:r/>
            <w:r>
              <w:rPr>
                <w:sz w:val="18"/>
              </w:rPr>
              <w:t>Multi-brand portfolio (Swiss Chalet, Harvey’s, St-Hubert)</w:t>
            </w:r>
          </w:p>
        </w:tc>
        <w:tc>
          <w:tcPr>
            <w:tcW w:type="dxa" w:w="2016"/>
          </w:tcPr>
          <w:p>
            <w:pPr>
              <w:spacing w:after="0" w:line="240" w:lineRule="auto"/>
            </w:pPr>
            <w:r/>
            <w:r>
              <w:rPr>
                <w:sz w:val="18"/>
              </w:rPr>
              <w:t>Casual dining is the most exposed to budget cuts</w:t>
            </w:r>
          </w:p>
        </w:tc>
        <w:tc>
          <w:tcPr>
            <w:tcW w:type="dxa" w:w="2520"/>
          </w:tcPr>
          <w:p>
            <w:pPr>
              <w:spacing w:after="0" w:line="240" w:lineRule="auto"/>
            </w:pPr>
            <w:r/>
            <w:r>
              <w:rPr>
                <w:sz w:val="18"/>
              </w:rPr>
              <w:t>Bought all 8 Canadian Olive Gardens; national rollout (Recipe Restaurant Group International, 2026)</w:t>
            </w:r>
          </w:p>
        </w:tc>
      </w:tr>
      <w:tr>
        <w:tc>
          <w:tcPr>
            <w:tcW w:type="dxa" w:w="1656"/>
            <w:shd w:val="clear" w:color="auto" w:fill="E8EEF5"/>
          </w:tcPr>
          <w:p>
            <w:pPr>
              <w:spacing w:after="0" w:line="240" w:lineRule="auto"/>
            </w:pPr>
            <w:r/>
            <w:r>
              <w:rPr>
                <w:b/>
                <w:sz w:val="18"/>
              </w:rPr>
              <w:t>MTY Food Group</w:t>
            </w:r>
          </w:p>
        </w:tc>
        <w:tc>
          <w:tcPr>
            <w:tcW w:type="dxa" w:w="1656"/>
          </w:tcPr>
          <w:p>
            <w:pPr>
              <w:spacing w:after="0" w:line="240" w:lineRule="auto"/>
            </w:pPr>
            <w:r/>
            <w:r>
              <w:rPr>
                <w:sz w:val="18"/>
              </w:rPr>
              <w:t>Multi-brand franchisor / focus</w:t>
            </w:r>
          </w:p>
        </w:tc>
        <w:tc>
          <w:tcPr>
            <w:tcW w:type="dxa" w:w="2160"/>
          </w:tcPr>
          <w:p>
            <w:pPr>
              <w:spacing w:after="0" w:line="240" w:lineRule="auto"/>
            </w:pPr>
            <w:r/>
            <w:r>
              <w:rPr>
                <w:sz w:val="18"/>
              </w:rPr>
              <w:t>7,040 locations across many brands</w:t>
            </w:r>
          </w:p>
        </w:tc>
        <w:tc>
          <w:tcPr>
            <w:tcW w:type="dxa" w:w="2016"/>
          </w:tcPr>
          <w:p>
            <w:pPr>
              <w:spacing w:after="0" w:line="240" w:lineRule="auto"/>
            </w:pPr>
            <w:r/>
            <w:r>
              <w:rPr>
                <w:sz w:val="18"/>
              </w:rPr>
              <w:t>Canadian same-store sales down 1.8%</w:t>
            </w:r>
          </w:p>
        </w:tc>
        <w:tc>
          <w:tcPr>
            <w:tcW w:type="dxa" w:w="2520"/>
          </w:tcPr>
          <w:p>
            <w:pPr>
              <w:spacing w:after="0" w:line="240" w:lineRule="auto"/>
            </w:pPr>
            <w:r/>
            <w:r>
              <w:rPr>
                <w:sz w:val="18"/>
              </w:rPr>
              <w:t>Closing 68 underperforming corporate stores (MTY Food Group, 2026)</w:t>
            </w:r>
          </w:p>
        </w:tc>
      </w:tr>
      <w:tr>
        <w:tc>
          <w:tcPr>
            <w:tcW w:type="dxa" w:w="1656"/>
            <w:shd w:val="clear" w:color="auto" w:fill="E8EEF5"/>
          </w:tcPr>
          <w:p>
            <w:pPr>
              <w:spacing w:after="0" w:line="240" w:lineRule="auto"/>
            </w:pPr>
            <w:r/>
            <w:r>
              <w:rPr>
                <w:b/>
                <w:sz w:val="18"/>
              </w:rPr>
              <w:t>Marriott</w:t>
            </w:r>
          </w:p>
        </w:tc>
        <w:tc>
          <w:tcPr>
            <w:tcW w:type="dxa" w:w="1656"/>
          </w:tcPr>
          <w:p>
            <w:pPr>
              <w:spacing w:after="0" w:line="240" w:lineRule="auto"/>
            </w:pPr>
            <w:r/>
            <w:r>
              <w:rPr>
                <w:sz w:val="18"/>
              </w:rPr>
              <w:t>Full portfolio / differentiation</w:t>
            </w:r>
          </w:p>
        </w:tc>
        <w:tc>
          <w:tcPr>
            <w:tcW w:type="dxa" w:w="2160"/>
          </w:tcPr>
          <w:p>
            <w:pPr>
              <w:spacing w:after="0" w:line="240" w:lineRule="auto"/>
            </w:pPr>
            <w:r/>
            <w:r>
              <w:rPr>
                <w:sz w:val="18"/>
              </w:rPr>
              <w:t>300+ Canadian hotels; Bonvoy loyalty program</w:t>
            </w:r>
          </w:p>
        </w:tc>
        <w:tc>
          <w:tcPr>
            <w:tcW w:type="dxa" w:w="2016"/>
          </w:tcPr>
          <w:p>
            <w:pPr>
              <w:spacing w:after="0" w:line="240" w:lineRule="auto"/>
            </w:pPr>
            <w:r/>
            <w:r>
              <w:rPr>
                <w:sz w:val="18"/>
              </w:rPr>
              <w:t>Relies on owners’ capital and rate growth</w:t>
            </w:r>
          </w:p>
        </w:tc>
        <w:tc>
          <w:tcPr>
            <w:tcW w:type="dxa" w:w="2520"/>
          </w:tcPr>
          <w:p>
            <w:pPr>
              <w:spacing w:after="0" w:line="240" w:lineRule="auto"/>
            </w:pPr>
            <w:r/>
            <w:r>
              <w:rPr>
                <w:sz w:val="18"/>
              </w:rPr>
              <w:t>About 11 Canadian openings in 2026 (Rewards Canada, 2026)</w:t>
            </w:r>
          </w:p>
        </w:tc>
      </w:tr>
      <w:tr>
        <w:tc>
          <w:tcPr>
            <w:tcW w:type="dxa" w:w="1656"/>
            <w:shd w:val="clear" w:color="auto" w:fill="E8EEF5"/>
          </w:tcPr>
          <w:p>
            <w:pPr>
              <w:spacing w:after="0" w:line="240" w:lineRule="auto"/>
            </w:pPr>
            <w:r/>
            <w:r>
              <w:rPr>
                <w:b/>
                <w:sz w:val="18"/>
              </w:rPr>
              <w:t>Hilton</w:t>
            </w:r>
          </w:p>
        </w:tc>
        <w:tc>
          <w:tcPr>
            <w:tcW w:type="dxa" w:w="1656"/>
          </w:tcPr>
          <w:p>
            <w:pPr>
              <w:spacing w:after="0" w:line="240" w:lineRule="auto"/>
            </w:pPr>
            <w:r/>
            <w:r>
              <w:rPr>
                <w:sz w:val="18"/>
              </w:rPr>
              <w:t>Full portfolio / differentiation</w:t>
            </w:r>
          </w:p>
        </w:tc>
        <w:tc>
          <w:tcPr>
            <w:tcW w:type="dxa" w:w="2160"/>
          </w:tcPr>
          <w:p>
            <w:pPr>
              <w:spacing w:after="0" w:line="240" w:lineRule="auto"/>
            </w:pPr>
            <w:r/>
            <w:r>
              <w:rPr>
                <w:sz w:val="18"/>
              </w:rPr>
              <w:t>200+ Canadian hotels; 100+ in pipeline</w:t>
            </w:r>
          </w:p>
        </w:tc>
        <w:tc>
          <w:tcPr>
            <w:tcW w:type="dxa" w:w="2016"/>
          </w:tcPr>
          <w:p>
            <w:pPr>
              <w:spacing w:after="0" w:line="240" w:lineRule="auto"/>
            </w:pPr>
            <w:r/>
            <w:r>
              <w:rPr>
                <w:sz w:val="18"/>
              </w:rPr>
              <w:t>Exposed to softer occupancy</w:t>
            </w:r>
          </w:p>
        </w:tc>
        <w:tc>
          <w:tcPr>
            <w:tcW w:type="dxa" w:w="2520"/>
          </w:tcPr>
          <w:p>
            <w:pPr>
              <w:spacing w:after="0" w:line="240" w:lineRule="auto"/>
            </w:pPr>
            <w:r/>
            <w:r>
              <w:rPr>
                <w:sz w:val="18"/>
              </w:rPr>
              <w:t>About 15 openings, including midscale Spark (RENX, 2026)</w:t>
            </w:r>
          </w:p>
        </w:tc>
      </w:tr>
      <w:tr>
        <w:tc>
          <w:tcPr>
            <w:tcW w:type="dxa" w:w="1656"/>
            <w:shd w:val="clear" w:color="auto" w:fill="E8EEF5"/>
          </w:tcPr>
          <w:p>
            <w:pPr>
              <w:spacing w:after="0" w:line="240" w:lineRule="auto"/>
            </w:pPr>
            <w:r/>
            <w:r>
              <w:rPr>
                <w:b/>
                <w:sz w:val="18"/>
              </w:rPr>
              <w:t>Accor (Fairmont)</w:t>
            </w:r>
          </w:p>
        </w:tc>
        <w:tc>
          <w:tcPr>
            <w:tcW w:type="dxa" w:w="1656"/>
          </w:tcPr>
          <w:p>
            <w:pPr>
              <w:spacing w:after="0" w:line="240" w:lineRule="auto"/>
            </w:pPr>
            <w:r/>
            <w:r>
              <w:rPr>
                <w:sz w:val="18"/>
              </w:rPr>
              <w:t>Luxury / differentiation</w:t>
            </w:r>
          </w:p>
        </w:tc>
        <w:tc>
          <w:tcPr>
            <w:tcW w:type="dxa" w:w="2160"/>
          </w:tcPr>
          <w:p>
            <w:pPr>
              <w:spacing w:after="0" w:line="240" w:lineRule="auto"/>
            </w:pPr>
            <w:r/>
            <w:r>
              <w:rPr>
                <w:sz w:val="18"/>
              </w:rPr>
              <w:t>Iconic heritage hotels</w:t>
            </w:r>
          </w:p>
        </w:tc>
        <w:tc>
          <w:tcPr>
            <w:tcW w:type="dxa" w:w="2016"/>
          </w:tcPr>
          <w:p>
            <w:pPr>
              <w:spacing w:after="0" w:line="240" w:lineRule="auto"/>
            </w:pPr>
            <w:r/>
            <w:r>
              <w:rPr>
                <w:sz w:val="18"/>
              </w:rPr>
              <w:t>High renovation costs</w:t>
            </w:r>
          </w:p>
        </w:tc>
        <w:tc>
          <w:tcPr>
            <w:tcW w:type="dxa" w:w="2520"/>
          </w:tcPr>
          <w:p>
            <w:pPr>
              <w:spacing w:after="0" w:line="240" w:lineRule="auto"/>
            </w:pPr>
            <w:r/>
            <w:r>
              <w:rPr>
                <w:sz w:val="18"/>
              </w:rPr>
              <w:t>Renovating Fairmont Waterfront and Château Laurier; new Fairmont Calgary signed (Accor, 2026a, 2026b)</w:t>
            </w:r>
          </w:p>
        </w:tc>
      </w:tr>
      <w:tr>
        <w:tc>
          <w:tcPr>
            <w:tcW w:type="dxa" w:w="1656"/>
            <w:shd w:val="clear" w:color="auto" w:fill="E8EEF5"/>
          </w:tcPr>
          <w:p>
            <w:pPr>
              <w:spacing w:after="0" w:line="240" w:lineRule="auto"/>
            </w:pPr>
            <w:r/>
            <w:r>
              <w:rPr>
                <w:b/>
                <w:sz w:val="18"/>
              </w:rPr>
              <w:t>Choice Hotels</w:t>
            </w:r>
          </w:p>
        </w:tc>
        <w:tc>
          <w:tcPr>
            <w:tcW w:type="dxa" w:w="1656"/>
          </w:tcPr>
          <w:p>
            <w:pPr>
              <w:spacing w:after="0" w:line="240" w:lineRule="auto"/>
            </w:pPr>
            <w:r/>
            <w:r>
              <w:rPr>
                <w:sz w:val="18"/>
              </w:rPr>
              <w:t>Midscale franchising / cost focus</w:t>
            </w:r>
          </w:p>
        </w:tc>
        <w:tc>
          <w:tcPr>
            <w:tcW w:type="dxa" w:w="2160"/>
          </w:tcPr>
          <w:p>
            <w:pPr>
              <w:spacing w:after="0" w:line="240" w:lineRule="auto"/>
            </w:pPr>
            <w:r/>
            <w:r>
              <w:rPr>
                <w:sz w:val="18"/>
              </w:rPr>
              <w:t>Low-cost franchise model; conversion brands</w:t>
            </w:r>
          </w:p>
        </w:tc>
        <w:tc>
          <w:tcPr>
            <w:tcW w:type="dxa" w:w="2016"/>
          </w:tcPr>
          <w:p>
            <w:pPr>
              <w:spacing w:after="0" w:line="240" w:lineRule="auto"/>
            </w:pPr>
            <w:r/>
            <w:r>
              <w:rPr>
                <w:sz w:val="18"/>
              </w:rPr>
              <w:t>Limited presence in upscale</w:t>
            </w:r>
          </w:p>
        </w:tc>
        <w:tc>
          <w:tcPr>
            <w:tcW w:type="dxa" w:w="2520"/>
          </w:tcPr>
          <w:p>
            <w:pPr>
              <w:spacing w:after="0" w:line="240" w:lineRule="auto"/>
            </w:pPr>
            <w:r/>
            <w:r>
              <w:rPr>
                <w:sz w:val="18"/>
              </w:rPr>
              <w:t>Six Ascend Collection hotels in Quebec (Hotel Investment Today, n.d.)</w:t>
            </w:r>
          </w:p>
        </w:tc>
      </w:tr>
      <w:tr>
        <w:tc>
          <w:tcPr>
            <w:tcW w:type="dxa" w:w="1656"/>
            <w:shd w:val="clear" w:color="auto" w:fill="E8EEF5"/>
          </w:tcPr>
          <w:p>
            <w:pPr>
              <w:spacing w:after="0" w:line="240" w:lineRule="auto"/>
            </w:pPr>
            <w:r/>
            <w:r>
              <w:rPr>
                <w:b/>
                <w:sz w:val="18"/>
              </w:rPr>
              <w:t>Airbnb</w:t>
            </w:r>
          </w:p>
        </w:tc>
        <w:tc>
          <w:tcPr>
            <w:tcW w:type="dxa" w:w="1656"/>
          </w:tcPr>
          <w:p>
            <w:pPr>
              <w:spacing w:after="0" w:line="240" w:lineRule="auto"/>
            </w:pPr>
            <w:r/>
            <w:r>
              <w:rPr>
                <w:sz w:val="18"/>
              </w:rPr>
              <w:t>Substitute / differentiation</w:t>
            </w:r>
          </w:p>
        </w:tc>
        <w:tc>
          <w:tcPr>
            <w:tcW w:type="dxa" w:w="2160"/>
          </w:tcPr>
          <w:p>
            <w:pPr>
              <w:spacing w:after="0" w:line="240" w:lineRule="auto"/>
            </w:pPr>
            <w:r/>
            <w:r>
              <w:rPr>
                <w:sz w:val="18"/>
              </w:rPr>
              <w:t>Unique stays; global reach</w:t>
            </w:r>
          </w:p>
        </w:tc>
        <w:tc>
          <w:tcPr>
            <w:tcW w:type="dxa" w:w="2016"/>
          </w:tcPr>
          <w:p>
            <w:pPr>
              <w:spacing w:after="0" w:line="240" w:lineRule="auto"/>
            </w:pPr>
            <w:r/>
            <w:r>
              <w:rPr>
                <w:sz w:val="18"/>
              </w:rPr>
              <w:t>Provincial and city rental restrictions</w:t>
            </w:r>
          </w:p>
        </w:tc>
        <w:tc>
          <w:tcPr>
            <w:tcW w:type="dxa" w:w="2520"/>
          </w:tcPr>
          <w:p>
            <w:pPr>
              <w:spacing w:after="0" w:line="240" w:lineRule="auto"/>
            </w:pPr>
            <w:r/>
            <w:r>
              <w:rPr>
                <w:sz w:val="18"/>
              </w:rPr>
              <w:t>Must comply with B.C. and Toronto registration rules (Government of British Columbia, n.d.)</w:t>
            </w:r>
          </w:p>
        </w:tc>
      </w:tr>
    </w:tbl>
    <w:p>
      <w:pPr>
        <w:spacing w:before="80"/>
      </w:pPr>
      <w:r>
        <w:rPr>
          <w:b/>
        </w:rPr>
        <w:t xml:space="preserve">Takeaway: </w:t>
      </w:r>
      <w:r>
        <w:rPr>
          <w:i w:val="0"/>
        </w:rPr>
        <w:t>Cost leaders (Tim Hortons, McDonald’s) are fighting a value war, while differentiators (A&amp;W, Fairmont, Marriott) compete on brand, loyalty and Canadian identity. Firms stuck in the middle, such as mid-priced casual dining, face the greatest risk.</w:t>
      </w:r>
    </w:p>
    <w:p>
      <w:pPr>
        <w:keepNext/>
        <w:spacing w:before="140" w:after="60"/>
      </w:pPr>
      <w:r>
        <w:rPr>
          <w:b/>
          <w:color w:val="1F3A5F"/>
          <w:sz w:val="25"/>
        </w:rPr>
        <w:t>4. Market Changes and Trends</w:t>
      </w:r>
    </w:p>
    <w:p>
      <w:pPr>
        <w:pStyle w:val="ListBullet"/>
        <w:spacing w:after="40"/>
      </w:pPr>
      <w:r>
        <w:rPr>
          <w:b/>
        </w:rPr>
        <w:t xml:space="preserve">Shift to domestic travel. </w:t>
      </w:r>
      <w:r>
        <w:t>Fewer U.S. trips plus the Canada Strong Pass favour regional hotels and destination restaurants.</w:t>
      </w:r>
    </w:p>
    <w:p>
      <w:pPr>
        <w:pStyle w:val="ListBullet"/>
        <w:spacing w:after="40"/>
      </w:pPr>
      <w:r>
        <w:rPr>
          <w:b/>
        </w:rPr>
        <w:t xml:space="preserve">Events deliver less than expected. </w:t>
      </w:r>
      <w:r>
        <w:t>During the World Cup, Toronto’s hotel RevPAR rose 10.4% but Vancouver’s occupancy fell 15.8% (CoStar, 2026b). Toronto bar and restaurant card spending rose only 3% (34% among international visitors) (Toronto Life, 2026).</w:t>
      </w:r>
    </w:p>
    <w:p>
      <w:pPr>
        <w:pStyle w:val="ListBullet"/>
        <w:spacing w:after="40"/>
      </w:pPr>
      <w:r>
        <w:rPr>
          <w:b/>
        </w:rPr>
        <w:t xml:space="preserve">Value and transparency. </w:t>
      </w:r>
      <w:r>
        <w:t>TikTok “budget eats” content, price-lock offers and tipping fatigue all point to guests wanting fair, all-in pricing.</w:t>
      </w:r>
    </w:p>
    <w:p>
      <w:pPr>
        <w:pStyle w:val="ListBullet"/>
        <w:spacing w:after="40"/>
      </w:pPr>
      <w:r>
        <w:rPr>
          <w:b/>
        </w:rPr>
        <w:t xml:space="preserve">Automation. </w:t>
      </w:r>
      <w:r>
        <w:t>58% of hoteliers expect labour shortages and 72% struggle to hire locally (Hotelier Magazine, 2026), which is pushing adoption of kiosks, mobile check-in and AI scheduling.</w:t>
      </w:r>
    </w:p>
    <w:p>
      <w:pPr>
        <w:pStyle w:val="ListBullet"/>
        <w:spacing w:after="40"/>
      </w:pPr>
      <w:r>
        <w:rPr>
          <w:b/>
        </w:rPr>
        <w:t xml:space="preserve">Unstructured data. </w:t>
      </w:r>
      <w:r>
        <w:t>Reviews on Google, TripAdvisor and Reddit are an underused source of service insight.</w:t>
      </w:r>
    </w:p>
    <w:p>
      <w:pPr>
        <w:keepNext/>
        <w:spacing w:before="140" w:after="60"/>
      </w:pPr>
      <w:r>
        <w:rPr>
          <w:b/>
          <w:color w:val="1F3A5F"/>
          <w:sz w:val="25"/>
        </w:rPr>
        <w:t>5. Strategic Recommendations (TOWS)</w:t>
      </w:r>
    </w:p>
    <w:p>
      <w:pPr>
        <w:spacing w:after="60"/>
      </w:pPr>
      <w:r>
        <w:rPr>
          <w:i w:val="0"/>
        </w:rPr>
        <w:t>Chains should defend cost leadership through scale and data. Independents should pursue focused differentiation, competing on local identity, experience and Canadian sourcing rather than price.</w:t>
      </w:r>
    </w:p>
    <w:tbl>
      <w:tblPr>
        <w:tblStyle w:val="TableGrid"/>
        <w:tblW w:type="auto" w:w="0"/>
        <w:tblLayout w:type="fixed"/>
        <w:tblLook w:firstColumn="1" w:firstRow="1" w:lastColumn="0" w:lastRow="0" w:noHBand="0" w:noVBand="1" w:val="04A0"/>
      </w:tblPr>
      <w:tblGrid>
        <w:gridCol w:w="2088"/>
        <w:gridCol w:w="5184"/>
        <w:gridCol w:w="2736"/>
      </w:tblGrid>
      <w:tr>
        <w:trPr>
          <w:tblHeader w:val="true"/>
        </w:trPr>
        <w:tc>
          <w:tcPr>
            <w:tcW w:type="dxa" w:w="2088"/>
            <w:shd w:val="clear" w:color="auto" w:fill="1F3A5F"/>
          </w:tcPr>
          <w:p>
            <w:pPr>
              <w:spacing w:after="0" w:line="240" w:lineRule="auto"/>
            </w:pPr>
            <w:r/>
            <w:r>
              <w:rPr>
                <w:b/>
                <w:color w:val="FFFFFF"/>
                <w:sz w:val="18"/>
              </w:rPr>
              <w:t>TOWS type</w:t>
            </w:r>
          </w:p>
        </w:tc>
        <w:tc>
          <w:tcPr>
            <w:tcW w:type="dxa" w:w="5184"/>
            <w:shd w:val="clear" w:color="auto" w:fill="1F3A5F"/>
          </w:tcPr>
          <w:p>
            <w:pPr>
              <w:spacing w:after="0" w:line="240" w:lineRule="auto"/>
            </w:pPr>
            <w:r/>
            <w:r>
              <w:rPr>
                <w:b/>
                <w:color w:val="FFFFFF"/>
                <w:sz w:val="18"/>
              </w:rPr>
              <w:t>Recommended action</w:t>
            </w:r>
          </w:p>
        </w:tc>
        <w:tc>
          <w:tcPr>
            <w:tcW w:type="dxa" w:w="2736"/>
            <w:shd w:val="clear" w:color="auto" w:fill="1F3A5F"/>
          </w:tcPr>
          <w:p>
            <w:pPr>
              <w:spacing w:after="0" w:line="240" w:lineRule="auto"/>
            </w:pPr>
            <w:r/>
            <w:r>
              <w:rPr>
                <w:b/>
                <w:color w:val="FFFFFF"/>
                <w:sz w:val="18"/>
              </w:rPr>
              <w:t>BI tool / KPI</w:t>
            </w:r>
          </w:p>
        </w:tc>
      </w:tr>
      <w:tr>
        <w:tc>
          <w:tcPr>
            <w:tcW w:type="dxa" w:w="2088"/>
            <w:shd w:val="clear" w:color="auto" w:fill="E8EEF5"/>
          </w:tcPr>
          <w:p>
            <w:pPr>
              <w:spacing w:after="0" w:line="240" w:lineRule="auto"/>
            </w:pPr>
            <w:r/>
            <w:r>
              <w:rPr>
                <w:b/>
                <w:sz w:val="18"/>
              </w:rPr>
              <w:t>SO (strength to opportunity)</w:t>
            </w:r>
          </w:p>
        </w:tc>
        <w:tc>
          <w:tcPr>
            <w:tcW w:type="dxa" w:w="5184"/>
          </w:tcPr>
          <w:p>
            <w:pPr>
              <w:spacing w:after="0" w:line="240" w:lineRule="auto"/>
            </w:pPr>
            <w:r/>
            <w:r>
              <w:rPr>
                <w:sz w:val="18"/>
              </w:rPr>
              <w:t>Use loyalty data to build packages for Canadian travellers with tourism boards and promote Canadian sourcing.</w:t>
            </w:r>
          </w:p>
        </w:tc>
        <w:tc>
          <w:tcPr>
            <w:tcW w:type="dxa" w:w="2736"/>
          </w:tcPr>
          <w:p>
            <w:pPr>
              <w:spacing w:after="0" w:line="240" w:lineRule="auto"/>
            </w:pPr>
            <w:r/>
            <w:r>
              <w:rPr>
                <w:sz w:val="18"/>
              </w:rPr>
              <w:t>Domestic booking share; package uptake</w:t>
            </w:r>
          </w:p>
        </w:tc>
      </w:tr>
      <w:tr>
        <w:tc>
          <w:tcPr>
            <w:tcW w:type="dxa" w:w="2088"/>
            <w:shd w:val="clear" w:color="auto" w:fill="E8EEF5"/>
          </w:tcPr>
          <w:p>
            <w:pPr>
              <w:spacing w:after="0" w:line="240" w:lineRule="auto"/>
            </w:pPr>
            <w:r/>
            <w:r>
              <w:rPr>
                <w:b/>
                <w:sz w:val="18"/>
              </w:rPr>
              <w:t>WO (fix weakness via opportunity)</w:t>
            </w:r>
          </w:p>
        </w:tc>
        <w:tc>
          <w:tcPr>
            <w:tcW w:type="dxa" w:w="5184"/>
          </w:tcPr>
          <w:p>
            <w:pPr>
              <w:spacing w:after="0" w:line="240" w:lineRule="auto"/>
            </w:pPr>
            <w:r/>
            <w:r>
              <w:rPr>
                <w:sz w:val="18"/>
              </w:rPr>
              <w:t>Combine PMS, POS, reservation and loyalty data in a data warehouse, with consent collected under PIPEDA and Law 25. Add sentiment analysis of reviews.</w:t>
            </w:r>
          </w:p>
        </w:tc>
        <w:tc>
          <w:tcPr>
            <w:tcW w:type="dxa" w:w="2736"/>
          </w:tcPr>
          <w:p>
            <w:pPr>
              <w:spacing w:after="0" w:line="240" w:lineRule="auto"/>
            </w:pPr>
            <w:r/>
            <w:r>
              <w:rPr>
                <w:sz w:val="18"/>
              </w:rPr>
              <w:t>Repeat-guest rate; sentiment score</w:t>
            </w:r>
          </w:p>
        </w:tc>
      </w:tr>
      <w:tr>
        <w:tc>
          <w:tcPr>
            <w:tcW w:type="dxa" w:w="2088"/>
            <w:shd w:val="clear" w:color="auto" w:fill="E8EEF5"/>
          </w:tcPr>
          <w:p>
            <w:pPr>
              <w:spacing w:after="0" w:line="240" w:lineRule="auto"/>
            </w:pPr>
            <w:r/>
            <w:r>
              <w:rPr>
                <w:b/>
                <w:sz w:val="18"/>
              </w:rPr>
              <w:t>ST (strength against threat)</w:t>
            </w:r>
          </w:p>
        </w:tc>
        <w:tc>
          <w:tcPr>
            <w:tcW w:type="dxa" w:w="5184"/>
          </w:tcPr>
          <w:p>
            <w:pPr>
              <w:spacing w:after="0" w:line="240" w:lineRule="auto"/>
            </w:pPr>
            <w:r/>
            <w:r>
              <w:rPr>
                <w:sz w:val="18"/>
              </w:rPr>
              <w:t>Answer the value war with all-in pricing, prix fixe menus and bundled stays. Grow ancillary hotel revenue rather than relying on room rate alone.</w:t>
            </w:r>
          </w:p>
        </w:tc>
        <w:tc>
          <w:tcPr>
            <w:tcW w:type="dxa" w:w="2736"/>
          </w:tcPr>
          <w:p>
            <w:pPr>
              <w:spacing w:after="0" w:line="240" w:lineRule="auto"/>
            </w:pPr>
            <w:r/>
            <w:r>
              <w:rPr>
                <w:sz w:val="18"/>
              </w:rPr>
              <w:t>Average cheque; GOPPAR; visit frequency</w:t>
            </w:r>
          </w:p>
        </w:tc>
      </w:tr>
      <w:tr>
        <w:tc>
          <w:tcPr>
            <w:tcW w:type="dxa" w:w="2088"/>
            <w:shd w:val="clear" w:color="auto" w:fill="E8EEF5"/>
          </w:tcPr>
          <w:p>
            <w:pPr>
              <w:spacing w:after="0" w:line="240" w:lineRule="auto"/>
            </w:pPr>
            <w:r/>
            <w:r>
              <w:rPr>
                <w:b/>
                <w:sz w:val="18"/>
              </w:rPr>
              <w:t>WT (minimize weakness and threat)</w:t>
            </w:r>
          </w:p>
        </w:tc>
        <w:tc>
          <w:tcPr>
            <w:tcW w:type="dxa" w:w="5184"/>
          </w:tcPr>
          <w:p>
            <w:pPr>
              <w:spacing w:after="0" w:line="240" w:lineRule="auto"/>
            </w:pPr>
            <w:r/>
            <w:r>
              <w:rPr>
                <w:sz w:val="18"/>
              </w:rPr>
              <w:t>Use menu engineering and demand-based scheduling, cross-train staff, and invest in retention (for example, staff housing in resort towns).</w:t>
            </w:r>
          </w:p>
        </w:tc>
        <w:tc>
          <w:tcPr>
            <w:tcW w:type="dxa" w:w="2736"/>
          </w:tcPr>
          <w:p>
            <w:pPr>
              <w:spacing w:after="0" w:line="240" w:lineRule="auto"/>
            </w:pPr>
            <w:r/>
            <w:r>
              <w:rPr>
                <w:sz w:val="18"/>
              </w:rPr>
              <w:t>Prime cost at 60–65% of sales; sales per labour hour; turnover</w:t>
            </w:r>
          </w:p>
        </w:tc>
      </w:tr>
    </w:tbl>
    <w:p>
      <w:pPr>
        <w:spacing w:before="80"/>
      </w:pPr>
      <w:r>
        <w:rPr>
          <w:i w:val="0"/>
        </w:rPr>
        <w:t>Phasing: launch cost dashboards and pricing changes within three months, and build the data warehouse and forecasting within twelve.</w:t>
      </w:r>
    </w:p>
    <w:p>
      <w:pPr>
        <w:keepNext/>
        <w:spacing w:before="140" w:after="60"/>
      </w:pPr>
      <w:r>
        <w:rPr>
          <w:b/>
          <w:color w:val="1F3A5F"/>
          <w:sz w:val="25"/>
        </w:rPr>
        <w:t>6. Conclusion</w:t>
      </w:r>
    </w:p>
    <w:p>
      <w:r>
        <w:rPr>
          <w:i w:val="0"/>
        </w:rPr>
        <w:t>Canadian hospitality still has demand, but it lacks margin and workers. The operators that win will choose a clear generic strategy and support it with data, tracking costs weekly, listening to guests at scale, and planning around evidence rather than hype.</w:t>
      </w:r>
    </w:p>
    <w:p>
      <w:pPr>
        <w:keepNext/>
        <w:spacing w:before="140" w:after="60"/>
      </w:pPr>
      <w:r>
        <w:rPr>
          <w:b/>
          <w:color w:val="1F3A5F"/>
          <w:sz w:val="25"/>
        </w:rPr>
        <w:t>References</w:t>
      </w:r>
    </w:p>
    <w:p>
      <w:pPr>
        <w:spacing w:after="20" w:line="240" w:lineRule="auto"/>
        <w:ind w:left="576" w:hanging="576"/>
      </w:pPr>
      <w:r>
        <w:rPr>
          <w:sz w:val="17"/>
        </w:rPr>
        <w:t>Accor. (2026a). Fairmont Hotels &amp; Resorts announces signing of Fairmont Calgary [Press release]. https://press.accor.com/?p=58619</w:t>
      </w:r>
    </w:p>
    <w:p>
      <w:pPr>
        <w:spacing w:after="20" w:line="240" w:lineRule="auto"/>
        <w:ind w:left="576" w:hanging="576"/>
      </w:pPr>
      <w:r>
        <w:rPr>
          <w:sz w:val="17"/>
        </w:rPr>
        <w:t>Accor. (2026b). Fairmont Hotels &amp; Resorts elevates luxury experience with landmark global renovations [Press release]. https://press.accor.com/fairmont-hotels-resorts-elevates-luxury-experience-with-landmark-global-renovations/?lang=eng</w:t>
      </w:r>
    </w:p>
    <w:p>
      <w:pPr>
        <w:spacing w:after="20" w:line="240" w:lineRule="auto"/>
        <w:ind w:left="576" w:hanging="576"/>
      </w:pPr>
      <w:r>
        <w:rPr>
          <w:sz w:val="17"/>
        </w:rPr>
        <w:t>Angus Reid Institute. (2023, February 16). Tipping in Canada: How tipflation and tip creep are testing consumer patience. https://angusreid.org/canada-tipping-service-hospitality-included-tipflation-tip-creep/</w:t>
      </w:r>
    </w:p>
    <w:p>
      <w:pPr>
        <w:spacing w:after="20" w:line="240" w:lineRule="auto"/>
        <w:ind w:left="576" w:hanging="576"/>
      </w:pPr>
      <w:r>
        <w:rPr>
          <w:sz w:val="17"/>
        </w:rPr>
        <w:t>CoStar. (2026a). Canada hotels post record-setting performance in 2025. https://www.costar.com/products/str-benchmark/resources/press-releases/canada-hotels-post-record-setting-performance-2025</w:t>
      </w:r>
    </w:p>
    <w:p>
      <w:pPr>
        <w:spacing w:after="20" w:line="240" w:lineRule="auto"/>
        <w:ind w:left="576" w:hanging="576"/>
      </w:pPr>
      <w:r>
        <w:rPr>
          <w:sz w:val="17"/>
        </w:rPr>
        <w:t>CoStar. (2026b). Canada hotels report first monthly occupancy decline of 2026. https://www.costar.com/products/str-benchmark/resources/press-releases/canada-hotels-report-first-monthly-occupancy</w:t>
      </w:r>
    </w:p>
    <w:p>
      <w:pPr>
        <w:spacing w:after="20" w:line="240" w:lineRule="auto"/>
        <w:ind w:left="576" w:hanging="576"/>
      </w:pPr>
      <w:r>
        <w:rPr>
          <w:sz w:val="17"/>
        </w:rPr>
        <w:t>Davies Ward Phillips &amp; Vineberg. (2024). Navigating the new norm: Further changes to Canada’s Competition Act in effect. https://www.dwpv.com/insights/2024/further-changes-to-canada-competition-act</w:t>
      </w:r>
    </w:p>
    <w:p>
      <w:pPr>
        <w:spacing w:after="20" w:line="240" w:lineRule="auto"/>
        <w:ind w:left="576" w:hanging="576"/>
      </w:pPr>
      <w:r>
        <w:rPr>
          <w:sz w:val="17"/>
        </w:rPr>
        <w:t>Government of British Columbia. (n.d.). What visitors need to know about B.C.’s new short-term rental rules. https://www2.gov.bc.ca/gov/content/housing-tenancy/short-term-rentals/information/visitors</w:t>
      </w:r>
    </w:p>
    <w:p>
      <w:pPr>
        <w:spacing w:after="20" w:line="240" w:lineRule="auto"/>
        <w:ind w:left="576" w:hanging="576"/>
      </w:pPr>
      <w:r>
        <w:rPr>
          <w:sz w:val="17"/>
        </w:rPr>
        <w:t>Hotel Investment Today. (n.d.). Choice continues growth in Canada. https://www.hotelinvestmenttoday.com/Development/Brands/Choice-continues-growth-in-Canada</w:t>
      </w:r>
    </w:p>
    <w:p>
      <w:pPr>
        <w:spacing w:after="20" w:line="240" w:lineRule="auto"/>
        <w:ind w:left="576" w:hanging="576"/>
      </w:pPr>
      <w:r>
        <w:rPr>
          <w:sz w:val="17"/>
        </w:rPr>
        <w:t>Hotelier Magazine. (2026). Hotels Canada report highlights workforce concerns. https://www.hoteliermagazine.com/hotels-canada-report-highlights-workforce-concerns/</w:t>
      </w:r>
    </w:p>
    <w:p>
      <w:pPr>
        <w:spacing w:after="20" w:line="240" w:lineRule="auto"/>
        <w:ind w:left="576" w:hanging="576"/>
      </w:pPr>
      <w:r>
        <w:rPr>
          <w:sz w:val="17"/>
        </w:rPr>
        <w:t>Littler. (2026). Canada: Minimum wage increases in 2026. https://www.littler.com/news-analysis/asap/canada-minimum-wage-increases-2026</w:t>
      </w:r>
    </w:p>
    <w:p>
      <w:pPr>
        <w:spacing w:after="20" w:line="240" w:lineRule="auto"/>
        <w:ind w:left="576" w:hanging="576"/>
      </w:pPr>
      <w:r>
        <w:rPr>
          <w:sz w:val="17"/>
        </w:rPr>
        <w:t>McDonald’s Canada. (n.d.). McDonald’s Canada announces one-year price promise on $5 McValue meals and $1 small McCafé coffee. https://www.mcdonalds.com/ca/en-ca/newsroom/article/McDonald-s-Canada-Announces-One-Year-Price-Promise-on--5-McValue--Meals-and--1-small-McCaf---Coffee-.html</w:t>
      </w:r>
    </w:p>
    <w:p>
      <w:pPr>
        <w:spacing w:after="20" w:line="240" w:lineRule="auto"/>
        <w:ind w:left="576" w:hanging="576"/>
      </w:pPr>
      <w:r>
        <w:rPr>
          <w:sz w:val="17"/>
        </w:rPr>
        <w:t>MTY Food Group. (2026, July 10). MTY reports second quarter results for fiscal 2026 [Press release]. GlobeNewswire. https://www.globenewswire.com/news-release/2026/07/10/3325397/0/en/mty-reports-second-quarter-results-for-fiscal-2026.html</w:t>
      </w:r>
    </w:p>
    <w:p>
      <w:pPr>
        <w:spacing w:after="20" w:line="240" w:lineRule="auto"/>
        <w:ind w:left="576" w:hanging="576"/>
      </w:pPr>
      <w:r>
        <w:rPr>
          <w:sz w:val="17"/>
        </w:rPr>
        <w:t>NOW Toronto. (2025). “The food is 100 times better,” Canadians are rooting for A&amp;W over McDonald’s amid trade war. https://nowtoronto.com/culture/canadians-rooting-for-canadian-burger-franchise/</w:t>
      </w:r>
    </w:p>
    <w:p>
      <w:pPr>
        <w:spacing w:after="20" w:line="240" w:lineRule="auto"/>
        <w:ind w:left="576" w:hanging="576"/>
      </w:pPr>
      <w:r>
        <w:rPr>
          <w:sz w:val="17"/>
        </w:rPr>
        <w:t>Parks Canada. (n.d.). Free admission and discounted overnight stays with Parks Canada. https://parks.canada.ca/voyage-travel/conseils-tips/choisis-canada-choose/admission-camping</w:t>
      </w:r>
    </w:p>
    <w:p>
      <w:pPr>
        <w:spacing w:after="20" w:line="240" w:lineRule="auto"/>
        <w:ind w:left="576" w:hanging="576"/>
      </w:pPr>
      <w:r>
        <w:rPr>
          <w:sz w:val="17"/>
        </w:rPr>
        <w:t>Recipe Restaurant Group International. (2026, January 15). Recipe Restaurant Group International announces next phase of Olive Garden expansion in Canada [Press release]. https://recipeunlimited.investorroom.com/2026-01-15-Recipe-Restaurant-Group-International-Announces-Next-Phase-of-Olive-Garden-Expansion-in-Canada</w:t>
      </w:r>
    </w:p>
    <w:p>
      <w:pPr>
        <w:spacing w:after="20" w:line="240" w:lineRule="auto"/>
        <w:ind w:left="576" w:hanging="576"/>
      </w:pPr>
      <w:r>
        <w:rPr>
          <w:sz w:val="17"/>
        </w:rPr>
        <w:t>RENX. (2026). Hilton plans 15 new hotels in Canada in 2026. https://renx.ca/index.php/hilton-continues-to-expand-in-canada</w:t>
      </w:r>
    </w:p>
    <w:p>
      <w:pPr>
        <w:spacing w:after="20" w:line="240" w:lineRule="auto"/>
        <w:ind w:left="576" w:hanging="576"/>
      </w:pPr>
      <w:r>
        <w:rPr>
          <w:sz w:val="17"/>
        </w:rPr>
        <w:t>Restaurant Brands International. (2026). Form 10-Q for the quarterly period ended June 30, 2026. U.S. Securities and Exchange Commission. https://www.sec.gov/Archives/edgar/data/0001618756/000161875626000045/qsr-20260630.htm</w:t>
      </w:r>
    </w:p>
    <w:p>
      <w:pPr>
        <w:spacing w:after="20" w:line="240" w:lineRule="auto"/>
        <w:ind w:left="576" w:hanging="576"/>
      </w:pPr>
      <w:r>
        <w:rPr>
          <w:sz w:val="17"/>
        </w:rPr>
        <w:t>Restaurants Canada. (2026a). Eight in 10 Canadians are cutting back on restaurant visits as affordability pressures worsen. https://www.restaurantscanada.org/eight-in-10-canadians-are-cutting-back-on-restaurant-visits-as-affordability-pressures-worsen/</w:t>
      </w:r>
    </w:p>
    <w:p>
      <w:pPr>
        <w:spacing w:after="20" w:line="240" w:lineRule="auto"/>
        <w:ind w:left="576" w:hanging="576"/>
      </w:pPr>
      <w:r>
        <w:rPr>
          <w:sz w:val="17"/>
        </w:rPr>
        <w:t>Restaurants Canada. (2026b). Rising costs outpace sales growth, eroding restaurant profitability, new report finds. https://www.restaurantscanada.org/rising-costs-outpace-sales-growth-eroding-restaurant-profitability-new-report-finds/</w:t>
      </w:r>
    </w:p>
    <w:p>
      <w:pPr>
        <w:spacing w:after="20" w:line="240" w:lineRule="auto"/>
        <w:ind w:left="576" w:hanging="576"/>
      </w:pPr>
      <w:r>
        <w:rPr>
          <w:sz w:val="17"/>
        </w:rPr>
        <w:t>Retail Insider. (2026, August). Tim Hortons targets stronger Canadian growth with new stores, beverages and loyalty. https://retail-insider.com/retail-insider/2026/08/tim-hortons-targets-stronger-canadian-growth-with-new-stores-beverages-and-loyalty/</w:t>
      </w:r>
    </w:p>
    <w:p>
      <w:pPr>
        <w:spacing w:after="20" w:line="240" w:lineRule="auto"/>
        <w:ind w:left="576" w:hanging="576"/>
      </w:pPr>
      <w:r>
        <w:rPr>
          <w:sz w:val="17"/>
        </w:rPr>
        <w:t>Rewards Canada. (2026). Marriott’s new hotel openings in Canada for 2026. https://blog.rewardscanada.ca/new-hotels/new-marriott-hotels-2026/</w:t>
      </w:r>
    </w:p>
    <w:p>
      <w:pPr>
        <w:spacing w:after="20" w:line="240" w:lineRule="auto"/>
        <w:ind w:left="576" w:hanging="576"/>
      </w:pPr>
      <w:r>
        <w:rPr>
          <w:sz w:val="17"/>
        </w:rPr>
        <w:t>Statistics Canada. (2026a, February 23). Travel between Canada and other countries, December 2025. The Daily. https://www150.statcan.gc.ca/n1/daily-quotidien/260223/dq260223a-eng.htm</w:t>
      </w:r>
    </w:p>
    <w:p>
      <w:pPr>
        <w:spacing w:after="20" w:line="240" w:lineRule="auto"/>
        <w:ind w:left="576" w:hanging="576"/>
      </w:pPr>
      <w:r>
        <w:rPr>
          <w:sz w:val="17"/>
        </w:rPr>
        <w:t>Statistics Canada. (2026b, April 23). Travel between Canada and other countries, February 2026. The Daily. https://www150.statcan.gc.ca/n1/daily-quotidien/260423/dq260423b-eng.htm</w:t>
      </w:r>
    </w:p>
    <w:p>
      <w:pPr>
        <w:spacing w:after="20" w:line="240" w:lineRule="auto"/>
        <w:ind w:left="576" w:hanging="576"/>
      </w:pPr>
      <w:r>
        <w:rPr>
          <w:sz w:val="17"/>
        </w:rPr>
        <w:t>Toronto Life. (2026). Total spending at Toronto bars and restaurants was only three per cent higher than usual during the World Cup. https://torontolife.com/city/total-spending-at-toronto-bars-and-restaurants-was-only-three-per-cent-higher-than-usual-during-the-world-cup/</w:t>
      </w:r>
    </w:p>
    <w:p>
      <w:pPr>
        <w:spacing w:after="20" w:line="240" w:lineRule="auto"/>
        <w:ind w:left="576" w:hanging="576"/>
      </w:pPr>
      <w:r>
        <w:rPr>
          <w:sz w:val="17"/>
        </w:rPr>
        <w:t>TouchBistro. (2026, January 27). Restaurants post strong margins in uneven recovery: TouchBistro’s 2026 Canadian State of Restaurants Report [Press release]. Business Wire. https://www.businesswire.com/news/home/20260127249555/en/</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