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00"/>
      </w:pPr>
      <w:r>
        <w:rPr>
          <w:rFonts w:ascii="Calibri" w:cs="Calibri" w:eastAsia="Calibri" w:hAnsi="Calibri"/>
          <w:b/>
          <w:bCs/>
          <w:color w:val="2E5A88"/>
          <w:sz w:val="19"/>
          <w:szCs w:val="19"/>
        </w:rPr>
        <w:t xml:space="preserve">TEAM DART  ·  MDPM 883  ·  DESIGNING THE DIGITAL PRODUCT</w:t>
      </w:r>
    </w:p>
    <w:p>
      <w:pPr>
        <w:spacing w:after="60" w:before="200"/>
      </w:pPr>
      <w:r>
        <w:rPr>
          <w:rFonts w:ascii="Calibri" w:cs="Calibri" w:eastAsia="Calibri" w:hAnsi="Calibri"/>
          <w:b/>
          <w:bCs/>
          <w:color w:val="1F3864"/>
          <w:sz w:val="50"/>
          <w:szCs w:val="50"/>
        </w:rPr>
        <w:t xml:space="preserve">Requirements Documents</w:t>
      </w:r>
    </w:p>
    <w:p>
      <w:pPr>
        <w:pBdr>
          <w:bottom w:val="single" w:color="1F3864" w:sz="12" w:space="8"/>
        </w:pBdr>
        <w:spacing w:after="220"/>
      </w:pPr>
      <w:r>
        <w:rPr>
          <w:rFonts w:ascii="Calibri" w:cs="Calibri" w:eastAsia="Calibri" w:hAnsi="Calibri"/>
          <w:color w:val="404040"/>
          <w:sz w:val="32"/>
          <w:szCs w:val="32"/>
        </w:rPr>
        <w:t xml:space="preserve">Pre-submission review and copy-edit</w:t>
      </w:r>
    </w:p>
    <w:p>
      <w:pPr>
        <w:spacing w:after="300" w:before="0" w:line="264"/>
      </w:pPr>
      <w:r>
        <w:rPr>
          <w:rFonts w:ascii="Calibri" w:cs="Calibri" w:eastAsia="Calibri" w:hAnsi="Calibri"/>
          <w:color w:val="595959"/>
          <w:sz w:val="22"/>
          <w:szCs w:val="22"/>
        </w:rPr>
        <w:t xml:space="preserve">A critical review of the PRISM Furniture Request deliverable against the Miro board, the assignment rubric, and the Session 2 and Session 3 material.</w:t>
      </w:r>
    </w:p>
    <w:tbl>
      <w:tblPr>
        <w:tblW w:type="dxa" w:w="9360"/>
        <w:tblBorders>
          <w:top w:val="single" w:color="D9E2F3" w:sz="6"/>
          <w:left w:val="single" w:color="2E5A88" w:sz="24"/>
          <w:bottom w:val="single" w:color="D9E2F3" w:sz="6"/>
          <w:right w:val="single" w:color="D9E2F3" w:sz="6"/>
          <w:insideH w:val="none"/>
          <w:insideV w:val="none"/>
        </w:tblBorders>
      </w:tblPr>
      <w:tblGrid>
        <w:gridCol w:w="9360"/>
      </w:tblGrid>
      <w:tr>
        <w:trPr>
          <w:cantSplit/>
        </w:trPr>
        <w:tc>
          <w:tcPr>
            <w:tcW w:type="dxa" w:w="9360"/>
            <w:shd w:fill="EDF1F7" w:color="auto" w:val="clear"/>
            <w:tcMar>
              <w:top w:type="dxa" w:w="115"/>
              <w:left w:type="dxa" w:w="165"/>
              <w:bottom w:type="dxa" w:w="115"/>
              <w:right w:type="dxa" w:w="165"/>
            </w:tcMar>
          </w:tcPr>
          <w:p>
            <w:pPr>
              <w:spacing w:after="55" w:before="0" w:line="264"/>
            </w:pPr>
            <w:r>
              <w:rPr>
                <w:rFonts w:ascii="Calibri" w:cs="Calibri" w:eastAsia="Calibri" w:hAnsi="Calibri"/>
                <w:b/>
                <w:bCs/>
                <w:caps/>
                <w:color w:val="1F3864"/>
                <w:sz w:val="18"/>
                <w:szCs w:val="18"/>
              </w:rPr>
              <w:t xml:space="preserve">What was reviewed</w:t>
            </w:r>
          </w:p>
          <w:p>
            <w:pPr>
              <w:spacing w:after="0" w:before="0" w:line="264"/>
            </w:pPr>
            <w:r>
              <w:rPr>
                <w:rFonts w:ascii="Calibri" w:cs="Calibri" w:eastAsia="Calibri" w:hAnsi="Calibri"/>
                <w:color w:val="262626"/>
                <w:sz w:val="20"/>
                <w:szCs w:val="20"/>
              </w:rPr>
              <w:t xml:space="preserve">The submission document PRISM Furniture Request — Requirements Documents (MDPM 883) and its companion Task Descriptions, checked line by line against the Miro board frames for the requirements, task model, scenarios, data dictionary and personas; against the six rubric criteria; and against the Milestone 1 Digital Product Opportunity deck that the rubric expects the requirements to be motivated by.</w:t>
            </w:r>
          </w:p>
        </w:tc>
      </w:tr>
    </w:tbl>
    <w:p>
      <w:pPr>
        <w:spacing w:before="340"/>
      </w:pPr>
      <w:r>
        <w:rPr>
          <w:rFonts w:ascii="Calibri" w:cs="Calibri" w:eastAsia="Calibri" w:hAnsi="Calibri"/>
          <w:color w:val="595959"/>
          <w:sz w:val="21"/>
          <w:szCs w:val="21"/>
        </w:rPr>
        <w:t xml:space="preserve">19 September 2026</w:t>
      </w:r>
    </w:p>
    <w:p>
      <w:r>
        <w:br w:type="page"/>
      </w:r>
    </w:p>
    <w:p>
      <w:pPr>
        <w:pStyle w:val="Heading1"/>
        <w:pBdr>
          <w:bottom w:val="single" w:color="1F3864" w:sz="10" w:space="6"/>
        </w:pBdr>
        <w:spacing w:after="150" w:before="240"/>
      </w:pPr>
      <w:r>
        <w:rPr>
          <w:rFonts w:ascii="Calibri" w:cs="Calibri" w:eastAsia="Calibri" w:hAnsi="Calibri"/>
          <w:b/>
          <w:bCs/>
          <w:color w:val="1F3864"/>
          <w:sz w:val="29"/>
          <w:szCs w:val="29"/>
        </w:rPr>
        <w:t xml:space="preserve">Verdict</w:t>
      </w:r>
    </w:p>
    <w:p>
      <w:pPr>
        <w:spacing w:after="100" w:before="0" w:line="264"/>
      </w:pPr>
      <w:r>
        <w:rPr>
          <w:rFonts w:ascii="Calibri" w:cs="Calibri" w:eastAsia="Calibri" w:hAnsi="Calibri"/>
          <w:color w:val="262626"/>
          <w:sz w:val="21"/>
          <w:szCs w:val="21"/>
        </w:rPr>
        <w:t xml:space="preserve">The deliverable is in good shape and is stronger than the board it came from. It covers all six rubric criteria, it is written in prose rather than in fragments, and it does something most submissions do not: section 9 traces each thread across the artifacts, which is exactly the consistency the rubric rewards in four of its six criteria. The task model is the strongest part of the document. Modelling the service-staff goal as a second hierarchy is a genuine insight, and it resolves the awkward, system-facing phrasing that the board's informal model still carries.</w:t>
      </w:r>
    </w:p>
    <w:p>
      <w:pPr>
        <w:spacing w:after="100" w:before="0" w:line="264"/>
      </w:pPr>
      <w:r>
        <w:rPr>
          <w:rFonts w:ascii="Calibri" w:cs="Calibri" w:eastAsia="Calibri" w:hAnsi="Calibri"/>
          <w:color w:val="262626"/>
          <w:sz w:val="21"/>
          <w:szCs w:val="21"/>
        </w:rPr>
        <w:t xml:space="preserve">Two things hold it back, and both are quick to fix. First, a small group of requirements is missing — not obscure ones, but requirements the personas, the task model and the scenarios all assume and never state, notification being the clearest case. Second, the Miro board is now materially behind the document: it shows three personas where the document has four, six scenarios where the document has seven, one hierarchy where the document has two, and a request-type list the document has explicitly retired. If the board is submitted or shown alongside the document, that gap will read as inconsistency rather than as progress.</w:t>
      </w:r>
    </w:p>
    <w:p>
      <w:pPr>
        <w:spacing w:after="100" w:before="0" w:line="264"/>
      </w:pPr>
      <w:r>
        <w:rPr>
          <w:rFonts w:ascii="Calibri" w:cs="Calibri" w:eastAsia="Calibri" w:hAnsi="Calibri"/>
          <w:color w:val="262626"/>
          <w:sz w:val="21"/>
          <w:szCs w:val="21"/>
        </w:rPr>
        <w:t xml:space="preserve">The personas are the weakest of the six sections relative to its rubric weight. All four record “no known accessibility needs” while section 7 argues at length that absence of evidence is not evidence of absence, and two of the cultural background fields state a heritage without drawing a design consequence from it — which is the specific failure the rubric describes as a profile that mentions background but fails to inform design constraints.</w:t>
      </w:r>
    </w:p>
    <w:p>
      <w:pPr>
        <w:pStyle w:val="Heading2"/>
        <w:spacing w:after="90" w:before="190"/>
      </w:pPr>
      <w:r>
        <w:rPr>
          <w:rFonts w:ascii="Calibri" w:cs="Calibri" w:eastAsia="Calibri" w:hAnsi="Calibri"/>
          <w:b/>
          <w:bCs/>
          <w:color w:val="2E5A88"/>
          <w:sz w:val="23"/>
          <w:szCs w:val="23"/>
        </w:rPr>
        <w:t xml:space="preserve">Assessment against the rubric</w:t>
      </w:r>
    </w:p>
    <w:p>
      <w:pPr>
        <w:spacing w:after="110" w:before="0" w:line="264"/>
      </w:pPr>
      <w:r>
        <w:rPr>
          <w:rFonts w:ascii="Calibri" w:cs="Calibri" w:eastAsia="Calibri" w:hAnsi="Calibri"/>
          <w:i/>
          <w:iCs/>
          <w:color w:val="595959"/>
          <w:sz w:val="19"/>
          <w:szCs w:val="19"/>
        </w:rPr>
        <w:t xml:space="preserve">The judgements below are ours, not the marker's. “At risk” means a rubric line is not yet clearly met.</w:t>
      </w:r>
    </w:p>
    <w:tbl>
      <w:tblPr>
        <w:tblW w:type="dxa" w:w="9360"/>
        <w:tblBorders>
          <w:top w:val="single" w:color="BFCCE0" w:sz="4"/>
          <w:left w:val="single" w:color="BFCCE0" w:sz="4"/>
          <w:bottom w:val="single" w:color="BFCCE0" w:sz="4"/>
          <w:right w:val="single" w:color="BFCCE0" w:sz="4"/>
          <w:insideH w:val="single" w:color="D8E0EC" w:sz="2"/>
          <w:insideV w:val="single" w:color="D8E0EC" w:sz="2"/>
        </w:tblBorders>
      </w:tblPr>
      <w:tblGrid>
        <w:gridCol w:w="2600"/>
        <w:gridCol w:w="1500"/>
        <w:gridCol w:w="5260"/>
      </w:tblGrid>
      <w:tr>
        <w:trPr>
          <w:tblHeader/>
        </w:trPr>
        <w:tc>
          <w:tcPr>
            <w:tcW w:type="dxa" w:w="2600"/>
            <w:shd w:fill="1F3864" w:color="auto" w:val="clear"/>
            <w:tcMar>
              <w:top w:type="dxa" w:w="60"/>
              <w:left w:type="dxa" w:w="105"/>
              <w:bottom w:type="dxa" w:w="60"/>
              <w:right w:type="dxa" w:w="105"/>
            </w:tcMar>
          </w:tcPr>
          <w:p>
            <w:pPr>
              <w:spacing w:after="0" w:line="252"/>
            </w:pPr>
            <w:r>
              <w:rPr>
                <w:rFonts w:ascii="Calibri" w:cs="Calibri" w:eastAsia="Calibri" w:hAnsi="Calibri"/>
                <w:b/>
                <w:bCs/>
                <w:color w:val="FFFFFF"/>
                <w:sz w:val="19"/>
                <w:szCs w:val="19"/>
              </w:rPr>
              <w:t xml:space="preserve">Criterion</w:t>
            </w:r>
          </w:p>
        </w:tc>
        <w:tc>
          <w:tcPr>
            <w:tcW w:type="dxa" w:w="1500"/>
            <w:shd w:fill="1F3864" w:color="auto" w:val="clear"/>
            <w:tcMar>
              <w:top w:type="dxa" w:w="60"/>
              <w:left w:type="dxa" w:w="105"/>
              <w:bottom w:type="dxa" w:w="60"/>
              <w:right w:type="dxa" w:w="105"/>
            </w:tcMar>
          </w:tcPr>
          <w:p>
            <w:pPr>
              <w:spacing w:after="0" w:line="252"/>
            </w:pPr>
            <w:r>
              <w:rPr>
                <w:rFonts w:ascii="Calibri" w:cs="Calibri" w:eastAsia="Calibri" w:hAnsi="Calibri"/>
                <w:b/>
                <w:bCs/>
                <w:color w:val="FFFFFF"/>
                <w:sz w:val="19"/>
                <w:szCs w:val="19"/>
              </w:rPr>
              <w:t xml:space="preserve">Standing</w:t>
            </w:r>
          </w:p>
        </w:tc>
        <w:tc>
          <w:tcPr>
            <w:tcW w:type="dxa" w:w="5260"/>
            <w:shd w:fill="1F3864" w:color="auto" w:val="clear"/>
            <w:tcMar>
              <w:top w:type="dxa" w:w="60"/>
              <w:left w:type="dxa" w:w="105"/>
              <w:bottom w:type="dxa" w:w="60"/>
              <w:right w:type="dxa" w:w="105"/>
            </w:tcMar>
          </w:tcPr>
          <w:p>
            <w:pPr>
              <w:spacing w:after="0" w:line="252"/>
            </w:pPr>
            <w:r>
              <w:rPr>
                <w:rFonts w:ascii="Calibri" w:cs="Calibri" w:eastAsia="Calibri" w:hAnsi="Calibri"/>
                <w:b/>
                <w:bCs/>
                <w:color w:val="FFFFFF"/>
                <w:sz w:val="19"/>
                <w:szCs w:val="19"/>
              </w:rPr>
              <w:t xml:space="preserve">What moves it up</w:t>
            </w:r>
          </w:p>
        </w:tc>
      </w:tr>
      <w:tr>
        <w:trPr>
          <w:cantSplit/>
        </w:trPr>
        <w:tc>
          <w:tcPr>
            <w:tcW w:type="dxa" w:w="2600"/>
            <w:tcMar>
              <w:top w:type="dxa" w:w="60"/>
              <w:left w:type="dxa" w:w="105"/>
              <w:bottom w:type="dxa" w:w="60"/>
              <w:right w:type="dxa" w:w="105"/>
            </w:tcMar>
          </w:tcPr>
          <w:p>
            <w:pPr>
              <w:spacing w:after="0" w:line="252"/>
            </w:pPr>
            <w:r>
              <w:rPr>
                <w:rFonts w:ascii="Calibri" w:cs="Calibri" w:eastAsia="Calibri" w:hAnsi="Calibri"/>
                <w:b/>
                <w:bCs/>
                <w:color w:val="262626"/>
                <w:sz w:val="19"/>
                <w:szCs w:val="19"/>
              </w:rPr>
              <w:t xml:space="preserve">Requirements  / 20</w:t>
            </w:r>
          </w:p>
        </w:tc>
        <w:tc>
          <w:tcPr>
            <w:tcW w:type="dxa" w:w="1500"/>
            <w:tcMar>
              <w:top w:type="dxa" w:w="60"/>
              <w:left w:type="dxa" w:w="105"/>
              <w:bottom w:type="dxa" w:w="60"/>
              <w:right w:type="dxa" w:w="105"/>
            </w:tcMar>
          </w:tcPr>
          <w:p>
            <w:pPr>
              <w:spacing w:after="0" w:line="252"/>
            </w:pPr>
            <w:r>
              <w:rPr>
                <w:rFonts w:ascii="Calibri" w:cs="Calibri" w:eastAsia="Calibri" w:hAnsi="Calibri"/>
                <w:b w:val="false"/>
                <w:bCs w:val="false"/>
                <w:color w:val="8A6018"/>
                <w:sz w:val="19"/>
                <w:szCs w:val="19"/>
              </w:rPr>
              <w:t xml:space="preserve">Very good</w:t>
            </w:r>
          </w:p>
        </w:tc>
        <w:tc>
          <w:tcPr>
            <w:tcW w:type="dxa" w:w="5260"/>
            <w:tcMar>
              <w:top w:type="dxa" w:w="60"/>
              <w:left w:type="dxa" w:w="105"/>
              <w:bottom w:type="dxa" w:w="60"/>
              <w:right w:type="dxa" w:w="105"/>
            </w:tcMar>
          </w:tcPr>
          <w:p>
            <w:pPr>
              <w:spacing w:after="0" w:line="252"/>
            </w:pPr>
            <w:r>
              <w:rPr>
                <w:rFonts w:ascii="Calibri" w:cs="Calibri" w:eastAsia="Calibri" w:hAnsi="Calibri"/>
                <w:b w:val="false"/>
                <w:bCs w:val="false"/>
                <w:color w:val="262626"/>
                <w:sz w:val="19"/>
                <w:szCs w:val="19"/>
              </w:rPr>
              <w:t xml:space="preserve">Add the missing notification, ownership, closure and accessibility requirements. Reconcile “work order” with “Furniture Request”.</w:t>
            </w:r>
          </w:p>
        </w:tc>
      </w:tr>
      <w:tr>
        <w:trPr>
          <w:cantSplit/>
        </w:trPr>
        <w:tc>
          <w:tcPr>
            <w:tcW w:type="dxa" w:w="2600"/>
            <w:shd w:fill="FAFBFD" w:color="auto" w:val="clear"/>
            <w:tcMar>
              <w:top w:type="dxa" w:w="60"/>
              <w:left w:type="dxa" w:w="105"/>
              <w:bottom w:type="dxa" w:w="60"/>
              <w:right w:type="dxa" w:w="105"/>
            </w:tcMar>
          </w:tcPr>
          <w:p>
            <w:pPr>
              <w:spacing w:after="0" w:line="252"/>
            </w:pPr>
            <w:r>
              <w:rPr>
                <w:rFonts w:ascii="Calibri" w:cs="Calibri" w:eastAsia="Calibri" w:hAnsi="Calibri"/>
                <w:b/>
                <w:bCs/>
                <w:color w:val="262626"/>
                <w:sz w:val="19"/>
                <w:szCs w:val="19"/>
              </w:rPr>
              <w:t xml:space="preserve">Task Model  / 20</w:t>
            </w:r>
          </w:p>
        </w:tc>
        <w:tc>
          <w:tcPr>
            <w:tcW w:type="dxa" w:w="1500"/>
            <w:shd w:fill="FAFBFD" w:color="auto" w:val="clear"/>
            <w:tcMar>
              <w:top w:type="dxa" w:w="60"/>
              <w:left w:type="dxa" w:w="105"/>
              <w:bottom w:type="dxa" w:w="60"/>
              <w:right w:type="dxa" w:w="105"/>
            </w:tcMar>
          </w:tcPr>
          <w:p>
            <w:pPr>
              <w:spacing w:after="0" w:line="252"/>
            </w:pPr>
            <w:r>
              <w:rPr>
                <w:rFonts w:ascii="Calibri" w:cs="Calibri" w:eastAsia="Calibri" w:hAnsi="Calibri"/>
                <w:b w:val="false"/>
                <w:bCs w:val="false"/>
                <w:color w:val="2E6B41"/>
                <w:sz w:val="19"/>
                <w:szCs w:val="19"/>
              </w:rPr>
              <w:t xml:space="preserve">Excellent</w:t>
            </w:r>
          </w:p>
        </w:tc>
        <w:tc>
          <w:tcPr>
            <w:tcW w:type="dxa" w:w="5260"/>
            <w:shd w:fill="FAFBFD" w:color="auto" w:val="clear"/>
            <w:tcMar>
              <w:top w:type="dxa" w:w="60"/>
              <w:left w:type="dxa" w:w="105"/>
              <w:bottom w:type="dxa" w:w="60"/>
              <w:right w:type="dxa" w:w="105"/>
            </w:tcMar>
          </w:tcPr>
          <w:p>
            <w:pPr>
              <w:spacing w:after="0" w:line="252"/>
            </w:pPr>
            <w:r>
              <w:rPr>
                <w:rFonts w:ascii="Calibri" w:cs="Calibri" w:eastAsia="Calibri" w:hAnsi="Calibri"/>
                <w:b w:val="false"/>
                <w:bCs w:val="false"/>
                <w:color w:val="262626"/>
                <w:sz w:val="19"/>
                <w:szCs w:val="19"/>
              </w:rPr>
              <w:t xml:space="preserve">Remove or requirement-back “View requests on a map”, the one task with no matching requirement or data.</w:t>
            </w:r>
          </w:p>
        </w:tc>
      </w:tr>
      <w:tr>
        <w:trPr>
          <w:cantSplit/>
        </w:trPr>
        <w:tc>
          <w:tcPr>
            <w:tcW w:type="dxa" w:w="2600"/>
            <w:tcMar>
              <w:top w:type="dxa" w:w="60"/>
              <w:left w:type="dxa" w:w="105"/>
              <w:bottom w:type="dxa" w:w="60"/>
              <w:right w:type="dxa" w:w="105"/>
            </w:tcMar>
          </w:tcPr>
          <w:p>
            <w:pPr>
              <w:spacing w:after="0" w:line="252"/>
            </w:pPr>
            <w:r>
              <w:rPr>
                <w:rFonts w:ascii="Calibri" w:cs="Calibri" w:eastAsia="Calibri" w:hAnsi="Calibri"/>
                <w:b/>
                <w:bCs/>
                <w:color w:val="262626"/>
                <w:sz w:val="19"/>
                <w:szCs w:val="19"/>
              </w:rPr>
              <w:t xml:space="preserve">Scenarios  / 20</w:t>
            </w:r>
          </w:p>
        </w:tc>
        <w:tc>
          <w:tcPr>
            <w:tcW w:type="dxa" w:w="1500"/>
            <w:tcMar>
              <w:top w:type="dxa" w:w="60"/>
              <w:left w:type="dxa" w:w="105"/>
              <w:bottom w:type="dxa" w:w="60"/>
              <w:right w:type="dxa" w:w="105"/>
            </w:tcMar>
          </w:tcPr>
          <w:p>
            <w:pPr>
              <w:spacing w:after="0" w:line="252"/>
            </w:pPr>
            <w:r>
              <w:rPr>
                <w:rFonts w:ascii="Calibri" w:cs="Calibri" w:eastAsia="Calibri" w:hAnsi="Calibri"/>
                <w:b w:val="false"/>
                <w:bCs w:val="false"/>
                <w:color w:val="2E6B41"/>
                <w:sz w:val="19"/>
                <w:szCs w:val="19"/>
              </w:rPr>
              <w:t xml:space="preserve">Excellent</w:t>
            </w:r>
          </w:p>
        </w:tc>
        <w:tc>
          <w:tcPr>
            <w:tcW w:type="dxa" w:w="5260"/>
            <w:tcMar>
              <w:top w:type="dxa" w:w="60"/>
              <w:left w:type="dxa" w:w="105"/>
              <w:bottom w:type="dxa" w:w="60"/>
              <w:right w:type="dxa" w:w="105"/>
            </w:tcMar>
          </w:tcPr>
          <w:p>
            <w:pPr>
              <w:spacing w:after="0" w:line="252"/>
            </w:pPr>
            <w:r>
              <w:rPr>
                <w:rFonts w:ascii="Calibri" w:cs="Calibri" w:eastAsia="Calibri" w:hAnsi="Calibri"/>
                <w:b w:val="false"/>
                <w:bCs w:val="false"/>
                <w:color w:val="262626"/>
                <w:sz w:val="19"/>
                <w:szCs w:val="19"/>
              </w:rPr>
              <w:t xml:space="preserve">Fix Kevin's location in Scenario 3. Nothing else needed.</w:t>
            </w:r>
          </w:p>
        </w:tc>
      </w:tr>
      <w:tr>
        <w:trPr>
          <w:cantSplit/>
        </w:trPr>
        <w:tc>
          <w:tcPr>
            <w:tcW w:type="dxa" w:w="2600"/>
            <w:shd w:fill="FAFBFD" w:color="auto" w:val="clear"/>
            <w:tcMar>
              <w:top w:type="dxa" w:w="60"/>
              <w:left w:type="dxa" w:w="105"/>
              <w:bottom w:type="dxa" w:w="60"/>
              <w:right w:type="dxa" w:w="105"/>
            </w:tcMar>
          </w:tcPr>
          <w:p>
            <w:pPr>
              <w:spacing w:after="0" w:line="252"/>
            </w:pPr>
            <w:r>
              <w:rPr>
                <w:rFonts w:ascii="Calibri" w:cs="Calibri" w:eastAsia="Calibri" w:hAnsi="Calibri"/>
                <w:b/>
                <w:bCs/>
                <w:color w:val="262626"/>
                <w:sz w:val="19"/>
                <w:szCs w:val="19"/>
              </w:rPr>
              <w:t xml:space="preserve">Data Dictionary  / 10</w:t>
            </w:r>
          </w:p>
        </w:tc>
        <w:tc>
          <w:tcPr>
            <w:tcW w:type="dxa" w:w="1500"/>
            <w:shd w:fill="FAFBFD" w:color="auto" w:val="clear"/>
            <w:tcMar>
              <w:top w:type="dxa" w:w="60"/>
              <w:left w:type="dxa" w:w="105"/>
              <w:bottom w:type="dxa" w:w="60"/>
              <w:right w:type="dxa" w:w="105"/>
            </w:tcMar>
          </w:tcPr>
          <w:p>
            <w:pPr>
              <w:spacing w:after="0" w:line="252"/>
            </w:pPr>
            <w:r>
              <w:rPr>
                <w:rFonts w:ascii="Calibri" w:cs="Calibri" w:eastAsia="Calibri" w:hAnsi="Calibri"/>
                <w:b w:val="false"/>
                <w:bCs w:val="false"/>
                <w:color w:val="8A6018"/>
                <w:sz w:val="19"/>
                <w:szCs w:val="19"/>
              </w:rPr>
              <w:t xml:space="preserve">Very good</w:t>
            </w:r>
          </w:p>
        </w:tc>
        <w:tc>
          <w:tcPr>
            <w:tcW w:type="dxa" w:w="5260"/>
            <w:shd w:fill="FAFBFD" w:color="auto" w:val="clear"/>
            <w:tcMar>
              <w:top w:type="dxa" w:w="60"/>
              <w:left w:type="dxa" w:w="105"/>
              <w:bottom w:type="dxa" w:w="60"/>
              <w:right w:type="dxa" w:w="105"/>
            </w:tcMar>
          </w:tcPr>
          <w:p>
            <w:pPr>
              <w:spacing w:after="0" w:line="252"/>
            </w:pPr>
            <w:r>
              <w:rPr>
                <w:rFonts w:ascii="Calibri" w:cs="Calibri" w:eastAsia="Calibri" w:hAnsi="Calibri"/>
                <w:b w:val="false"/>
                <w:bCs w:val="false"/>
                <w:color w:val="262626"/>
                <w:sz w:val="19"/>
                <w:szCs w:val="19"/>
              </w:rPr>
              <w:t xml:space="preserve">Add Notification, User Role, Recycled Preference and the duplicate link. Define Work Order against Furniture Request.</w:t>
            </w:r>
          </w:p>
        </w:tc>
      </w:tr>
      <w:tr>
        <w:trPr>
          <w:cantSplit/>
        </w:trPr>
        <w:tc>
          <w:tcPr>
            <w:tcW w:type="dxa" w:w="2600"/>
            <w:tcMar>
              <w:top w:type="dxa" w:w="60"/>
              <w:left w:type="dxa" w:w="105"/>
              <w:bottom w:type="dxa" w:w="60"/>
              <w:right w:type="dxa" w:w="105"/>
            </w:tcMar>
          </w:tcPr>
          <w:p>
            <w:pPr>
              <w:spacing w:after="0" w:line="252"/>
            </w:pPr>
            <w:r>
              <w:rPr>
                <w:rFonts w:ascii="Calibri" w:cs="Calibri" w:eastAsia="Calibri" w:hAnsi="Calibri"/>
                <w:b/>
                <w:bCs/>
                <w:color w:val="262626"/>
                <w:sz w:val="19"/>
                <w:szCs w:val="19"/>
              </w:rPr>
              <w:t xml:space="preserve">User Characterization  / 10</w:t>
            </w:r>
          </w:p>
        </w:tc>
        <w:tc>
          <w:tcPr>
            <w:tcW w:type="dxa" w:w="1500"/>
            <w:tcMar>
              <w:top w:type="dxa" w:w="60"/>
              <w:left w:type="dxa" w:w="105"/>
              <w:bottom w:type="dxa" w:w="60"/>
              <w:right w:type="dxa" w:w="105"/>
            </w:tcMar>
          </w:tcPr>
          <w:p>
            <w:pPr>
              <w:spacing w:after="0" w:line="252"/>
            </w:pPr>
            <w:r>
              <w:rPr>
                <w:rFonts w:ascii="Calibri" w:cs="Calibri" w:eastAsia="Calibri" w:hAnsi="Calibri"/>
                <w:b w:val="false"/>
                <w:bCs w:val="false"/>
                <w:color w:val="2E6B41"/>
                <w:sz w:val="19"/>
                <w:szCs w:val="19"/>
              </w:rPr>
              <w:t xml:space="preserve">Excellent</w:t>
            </w:r>
          </w:p>
        </w:tc>
        <w:tc>
          <w:tcPr>
            <w:tcW w:type="dxa" w:w="5260"/>
            <w:tcMar>
              <w:top w:type="dxa" w:w="60"/>
              <w:left w:type="dxa" w:w="105"/>
              <w:bottom w:type="dxa" w:w="60"/>
              <w:right w:type="dxa" w:w="105"/>
            </w:tcMar>
          </w:tcPr>
          <w:p>
            <w:pPr>
              <w:spacing w:after="0" w:line="252"/>
            </w:pPr>
            <w:r>
              <w:rPr>
                <w:rFonts w:ascii="Calibri" w:cs="Calibri" w:eastAsia="Calibri" w:hAnsi="Calibri"/>
                <w:b w:val="false"/>
                <w:bCs w:val="false"/>
                <w:color w:val="262626"/>
                <w:sz w:val="19"/>
                <w:szCs w:val="19"/>
              </w:rPr>
              <w:t xml:space="preserve">State a reading level rather than describing one. Otherwise complete.</w:t>
            </w:r>
          </w:p>
        </w:tc>
      </w:tr>
      <w:tr>
        <w:trPr>
          <w:cantSplit/>
        </w:trPr>
        <w:tc>
          <w:tcPr>
            <w:tcW w:type="dxa" w:w="2600"/>
            <w:shd w:fill="FAFBFD" w:color="auto" w:val="clear"/>
            <w:tcMar>
              <w:top w:type="dxa" w:w="60"/>
              <w:left w:type="dxa" w:w="105"/>
              <w:bottom w:type="dxa" w:w="60"/>
              <w:right w:type="dxa" w:w="105"/>
            </w:tcMar>
          </w:tcPr>
          <w:p>
            <w:pPr>
              <w:spacing w:after="0" w:line="252"/>
            </w:pPr>
            <w:r>
              <w:rPr>
                <w:rFonts w:ascii="Calibri" w:cs="Calibri" w:eastAsia="Calibri" w:hAnsi="Calibri"/>
                <w:b/>
                <w:bCs/>
                <w:color w:val="262626"/>
                <w:sz w:val="19"/>
                <w:szCs w:val="19"/>
              </w:rPr>
              <w:t xml:space="preserve">Personas  / 20</w:t>
            </w:r>
          </w:p>
        </w:tc>
        <w:tc>
          <w:tcPr>
            <w:tcW w:type="dxa" w:w="1500"/>
            <w:shd w:fill="FAFBFD" w:color="auto" w:val="clear"/>
            <w:tcMar>
              <w:top w:type="dxa" w:w="60"/>
              <w:left w:type="dxa" w:w="105"/>
              <w:bottom w:type="dxa" w:w="60"/>
              <w:right w:type="dxa" w:w="105"/>
            </w:tcMar>
          </w:tcPr>
          <w:p>
            <w:pPr>
              <w:spacing w:after="0" w:line="252"/>
            </w:pPr>
            <w:r>
              <w:rPr>
                <w:rFonts w:ascii="Calibri" w:cs="Calibri" w:eastAsia="Calibri" w:hAnsi="Calibri"/>
                <w:b w:val="false"/>
                <w:bCs w:val="false"/>
                <w:color w:val="9C2B2B"/>
                <w:sz w:val="19"/>
                <w:szCs w:val="19"/>
              </w:rPr>
              <w:t xml:space="preserve">At risk</w:t>
            </w:r>
          </w:p>
        </w:tc>
        <w:tc>
          <w:tcPr>
            <w:tcW w:type="dxa" w:w="5260"/>
            <w:shd w:fill="FAFBFD" w:color="auto" w:val="clear"/>
            <w:tcMar>
              <w:top w:type="dxa" w:w="60"/>
              <w:left w:type="dxa" w:w="105"/>
              <w:bottom w:type="dxa" w:w="60"/>
              <w:right w:type="dxa" w:w="105"/>
            </w:tcMar>
          </w:tcPr>
          <w:p>
            <w:pPr>
              <w:spacing w:after="0" w:line="252"/>
            </w:pPr>
            <w:r>
              <w:rPr>
                <w:rFonts w:ascii="Calibri" w:cs="Calibri" w:eastAsia="Calibri" w:hAnsi="Calibri"/>
                <w:b w:val="false"/>
                <w:bCs w:val="false"/>
                <w:color w:val="262626"/>
                <w:sz w:val="19"/>
                <w:szCs w:val="19"/>
              </w:rPr>
              <w:t xml:space="preserve">Vary the abilities line. Make the two heritage fields consequential or replace them.</w:t>
            </w:r>
          </w:p>
        </w:tc>
      </w:tr>
    </w:tbl>
    <w:p>
      <w:r>
        <w:br w:type="page"/>
      </w:r>
    </w:p>
    <w:p>
      <w:pPr>
        <w:pStyle w:val="Heading1"/>
        <w:pBdr>
          <w:bottom w:val="single" w:color="1F3864" w:sz="10" w:space="6"/>
        </w:pBdr>
        <w:spacing w:after="150" w:before="240"/>
      </w:pPr>
      <w:r>
        <w:rPr>
          <w:rFonts w:ascii="Calibri" w:cs="Calibri" w:eastAsia="Calibri" w:hAnsi="Calibri"/>
          <w:b/>
          <w:bCs/>
          <w:color w:val="1F3864"/>
          <w:sz w:val="29"/>
          <w:szCs w:val="29"/>
        </w:rPr>
        <w:t xml:space="preserve">The board and the document no longer match</w:t>
      </w:r>
    </w:p>
    <w:p>
      <w:pPr>
        <w:spacing w:after="100" w:before="0" w:line="264"/>
      </w:pPr>
      <w:r>
        <w:rPr>
          <w:rFonts w:ascii="Calibri" w:cs="Calibri" w:eastAsia="Calibri" w:hAnsi="Calibri"/>
          <w:color w:val="262626"/>
          <w:sz w:val="21"/>
          <w:szCs w:val="21"/>
        </w:rPr>
        <w:t xml:space="preserve">The document has moved on from the board in five places. In every case the document is the better version, so the fix is to bring the board forward rather than to reverse anything. This matters because the rubric judges consistency across the artifacts, and because the board is the visible working record of the team's process.</w:t>
      </w:r>
    </w:p>
    <w:tbl>
      <w:tblPr>
        <w:tblW w:type="dxa" w:w="9360"/>
        <w:tblBorders>
          <w:top w:val="single" w:color="BFCCE0" w:sz="4"/>
          <w:left w:val="single" w:color="BFCCE0" w:sz="4"/>
          <w:bottom w:val="single" w:color="BFCCE0" w:sz="4"/>
          <w:right w:val="single" w:color="BFCCE0" w:sz="4"/>
          <w:insideH w:val="single" w:color="D8E0EC" w:sz="2"/>
          <w:insideV w:val="single" w:color="D8E0EC" w:sz="2"/>
        </w:tblBorders>
      </w:tblPr>
      <w:tblGrid>
        <w:gridCol w:w="2300"/>
        <w:gridCol w:w="3400"/>
        <w:gridCol w:w="3660"/>
      </w:tblGrid>
      <w:tr>
        <w:trPr>
          <w:tblHeader/>
        </w:trPr>
        <w:tc>
          <w:tcPr>
            <w:tcW w:type="dxa" w:w="2300"/>
            <w:shd w:fill="1F3864" w:color="auto" w:val="clear"/>
            <w:tcMar>
              <w:top w:type="dxa" w:w="60"/>
              <w:left w:type="dxa" w:w="105"/>
              <w:bottom w:type="dxa" w:w="60"/>
              <w:right w:type="dxa" w:w="105"/>
            </w:tcMar>
          </w:tcPr>
          <w:p>
            <w:pPr>
              <w:spacing w:after="0" w:line="252"/>
            </w:pPr>
            <w:r>
              <w:rPr>
                <w:rFonts w:ascii="Calibri" w:cs="Calibri" w:eastAsia="Calibri" w:hAnsi="Calibri"/>
                <w:b/>
                <w:bCs/>
                <w:color w:val="FFFFFF"/>
                <w:sz w:val="19"/>
                <w:szCs w:val="19"/>
              </w:rPr>
              <w:t xml:space="preserve">Artifact</w:t>
            </w:r>
          </w:p>
        </w:tc>
        <w:tc>
          <w:tcPr>
            <w:tcW w:type="dxa" w:w="3400"/>
            <w:shd w:fill="1F3864" w:color="auto" w:val="clear"/>
            <w:tcMar>
              <w:top w:type="dxa" w:w="60"/>
              <w:left w:type="dxa" w:w="105"/>
              <w:bottom w:type="dxa" w:w="60"/>
              <w:right w:type="dxa" w:w="105"/>
            </w:tcMar>
          </w:tcPr>
          <w:p>
            <w:pPr>
              <w:spacing w:after="0" w:line="252"/>
            </w:pPr>
            <w:r>
              <w:rPr>
                <w:rFonts w:ascii="Calibri" w:cs="Calibri" w:eastAsia="Calibri" w:hAnsi="Calibri"/>
                <w:b/>
                <w:bCs/>
                <w:color w:val="FFFFFF"/>
                <w:sz w:val="19"/>
                <w:szCs w:val="19"/>
              </w:rPr>
              <w:t xml:space="preserve">On the board</w:t>
            </w:r>
          </w:p>
        </w:tc>
        <w:tc>
          <w:tcPr>
            <w:tcW w:type="dxa" w:w="3660"/>
            <w:shd w:fill="1F3864" w:color="auto" w:val="clear"/>
            <w:tcMar>
              <w:top w:type="dxa" w:w="60"/>
              <w:left w:type="dxa" w:w="105"/>
              <w:bottom w:type="dxa" w:w="60"/>
              <w:right w:type="dxa" w:w="105"/>
            </w:tcMar>
          </w:tcPr>
          <w:p>
            <w:pPr>
              <w:spacing w:after="0" w:line="252"/>
            </w:pPr>
            <w:r>
              <w:rPr>
                <w:rFonts w:ascii="Calibri" w:cs="Calibri" w:eastAsia="Calibri" w:hAnsi="Calibri"/>
                <w:b/>
                <w:bCs/>
                <w:color w:val="FFFFFF"/>
                <w:sz w:val="19"/>
                <w:szCs w:val="19"/>
              </w:rPr>
              <w:t xml:space="preserve">In the document</w:t>
            </w:r>
          </w:p>
        </w:tc>
      </w:tr>
      <w:tr>
        <w:trPr>
          <w:cantSplit/>
        </w:trPr>
        <w:tc>
          <w:tcPr>
            <w:tcW w:type="dxa" w:w="2300"/>
            <w:tcMar>
              <w:top w:type="dxa" w:w="60"/>
              <w:left w:type="dxa" w:w="105"/>
              <w:bottom w:type="dxa" w:w="60"/>
              <w:right w:type="dxa" w:w="105"/>
            </w:tcMar>
          </w:tcPr>
          <w:p>
            <w:pPr>
              <w:spacing w:after="0" w:line="252"/>
            </w:pPr>
            <w:r>
              <w:rPr>
                <w:rFonts w:ascii="Calibri" w:cs="Calibri" w:eastAsia="Calibri" w:hAnsi="Calibri"/>
                <w:b/>
                <w:bCs/>
                <w:color w:val="262626"/>
                <w:sz w:val="19"/>
                <w:szCs w:val="19"/>
              </w:rPr>
              <w:t xml:space="preserve">Request types</w:t>
            </w:r>
          </w:p>
        </w:tc>
        <w:tc>
          <w:tcPr>
            <w:tcW w:type="dxa" w:w="3400"/>
            <w:tcMar>
              <w:top w:type="dxa" w:w="60"/>
              <w:left w:type="dxa" w:w="105"/>
              <w:bottom w:type="dxa" w:w="60"/>
              <w:right w:type="dxa" w:w="105"/>
            </w:tcMar>
          </w:tcPr>
          <w:p>
            <w:pPr>
              <w:spacing w:after="0" w:line="252"/>
            </w:pPr>
            <w:r>
              <w:rPr>
                <w:rFonts w:ascii="Calibri" w:cs="Calibri" w:eastAsia="Calibri" w:hAnsi="Calibri"/>
                <w:b w:val="false"/>
                <w:bCs w:val="false"/>
                <w:color w:val="262626"/>
                <w:sz w:val="19"/>
                <w:szCs w:val="19"/>
              </w:rPr>
              <w:t xml:space="preserve">Five types — new purchase, planning, modification, repair, warranty — and a data-dictionary entry reading “new furniture, move, replacement or disposition”</w:t>
            </w:r>
          </w:p>
        </w:tc>
        <w:tc>
          <w:tcPr>
            <w:tcW w:type="dxa" w:w="3660"/>
            <w:tcMar>
              <w:top w:type="dxa" w:w="60"/>
              <w:left w:type="dxa" w:w="105"/>
              <w:bottom w:type="dxa" w:w="60"/>
              <w:right w:type="dxa" w:w="105"/>
            </w:tcMar>
          </w:tcPr>
          <w:p>
            <w:pPr>
              <w:spacing w:after="0" w:line="252"/>
            </w:pPr>
            <w:r>
              <w:rPr>
                <w:rFonts w:ascii="Calibri" w:cs="Calibri" w:eastAsia="Calibri" w:hAnsi="Calibri"/>
                <w:b w:val="false"/>
                <w:bCs w:val="false"/>
                <w:color w:val="262626"/>
                <w:sz w:val="19"/>
                <w:szCs w:val="19"/>
              </w:rPr>
              <w:t xml:space="preserve">Eight types — Purchase New, Reconfiguration, Ergonomics, Moves, Recycle, Combination, Greater than 9 Workstations, STIP — taken from the client demonstrations and declared authoritative</w:t>
            </w:r>
          </w:p>
        </w:tc>
      </w:tr>
      <w:tr>
        <w:trPr>
          <w:cantSplit/>
        </w:trPr>
        <w:tc>
          <w:tcPr>
            <w:tcW w:type="dxa" w:w="2300"/>
            <w:shd w:fill="FAFBFD" w:color="auto" w:val="clear"/>
            <w:tcMar>
              <w:top w:type="dxa" w:w="60"/>
              <w:left w:type="dxa" w:w="105"/>
              <w:bottom w:type="dxa" w:w="60"/>
              <w:right w:type="dxa" w:w="105"/>
            </w:tcMar>
          </w:tcPr>
          <w:p>
            <w:pPr>
              <w:spacing w:after="0" w:line="252"/>
            </w:pPr>
            <w:r>
              <w:rPr>
                <w:rFonts w:ascii="Calibri" w:cs="Calibri" w:eastAsia="Calibri" w:hAnsi="Calibri"/>
                <w:b/>
                <w:bCs/>
                <w:color w:val="262626"/>
                <w:sz w:val="19"/>
                <w:szCs w:val="19"/>
              </w:rPr>
              <w:t xml:space="preserve">Personas</w:t>
            </w:r>
          </w:p>
        </w:tc>
        <w:tc>
          <w:tcPr>
            <w:tcW w:type="dxa" w:w="3400"/>
            <w:shd w:fill="FAFBFD" w:color="auto" w:val="clear"/>
            <w:tcMar>
              <w:top w:type="dxa" w:w="60"/>
              <w:left w:type="dxa" w:w="105"/>
              <w:bottom w:type="dxa" w:w="60"/>
              <w:right w:type="dxa" w:w="105"/>
            </w:tcMar>
          </w:tcPr>
          <w:p>
            <w:pPr>
              <w:spacing w:after="0" w:line="252"/>
            </w:pPr>
            <w:r>
              <w:rPr>
                <w:rFonts w:ascii="Calibri" w:cs="Calibri" w:eastAsia="Calibri" w:hAnsi="Calibri"/>
                <w:b w:val="false"/>
                <w:bCs w:val="false"/>
                <w:color w:val="262626"/>
                <w:sz w:val="19"/>
                <w:szCs w:val="19"/>
              </w:rPr>
              <w:t xml:space="preserve">Three: Kevin, Priya, Elena</w:t>
            </w:r>
          </w:p>
        </w:tc>
        <w:tc>
          <w:tcPr>
            <w:tcW w:type="dxa" w:w="3660"/>
            <w:shd w:fill="FAFBFD" w:color="auto" w:val="clear"/>
            <w:tcMar>
              <w:top w:type="dxa" w:w="60"/>
              <w:left w:type="dxa" w:w="105"/>
              <w:bottom w:type="dxa" w:w="60"/>
              <w:right w:type="dxa" w:w="105"/>
            </w:tcMar>
          </w:tcPr>
          <w:p>
            <w:pPr>
              <w:spacing w:after="0" w:line="252"/>
            </w:pPr>
            <w:r>
              <w:rPr>
                <w:rFonts w:ascii="Calibri" w:cs="Calibri" w:eastAsia="Calibri" w:hAnsi="Calibri"/>
                <w:b w:val="false"/>
                <w:bCs w:val="false"/>
                <w:color w:val="262626"/>
                <w:sz w:val="19"/>
                <w:szCs w:val="19"/>
              </w:rPr>
              <w:t xml:space="preserve">Four: Daniel Okafor added for the Infrastructure service-staff group</w:t>
            </w:r>
          </w:p>
        </w:tc>
      </w:tr>
      <w:tr>
        <w:trPr>
          <w:cantSplit/>
        </w:trPr>
        <w:tc>
          <w:tcPr>
            <w:tcW w:type="dxa" w:w="2300"/>
            <w:tcMar>
              <w:top w:type="dxa" w:w="60"/>
              <w:left w:type="dxa" w:w="105"/>
              <w:bottom w:type="dxa" w:w="60"/>
              <w:right w:type="dxa" w:w="105"/>
            </w:tcMar>
          </w:tcPr>
          <w:p>
            <w:pPr>
              <w:spacing w:after="0" w:line="252"/>
            </w:pPr>
            <w:r>
              <w:rPr>
                <w:rFonts w:ascii="Calibri" w:cs="Calibri" w:eastAsia="Calibri" w:hAnsi="Calibri"/>
                <w:b/>
                <w:bCs/>
                <w:color w:val="262626"/>
                <w:sz w:val="19"/>
                <w:szCs w:val="19"/>
              </w:rPr>
              <w:t xml:space="preserve">Scenarios</w:t>
            </w:r>
          </w:p>
        </w:tc>
        <w:tc>
          <w:tcPr>
            <w:tcW w:type="dxa" w:w="3400"/>
            <w:tcMar>
              <w:top w:type="dxa" w:w="60"/>
              <w:left w:type="dxa" w:w="105"/>
              <w:bottom w:type="dxa" w:w="60"/>
              <w:right w:type="dxa" w:w="105"/>
            </w:tcMar>
          </w:tcPr>
          <w:p>
            <w:pPr>
              <w:spacing w:after="0" w:line="252"/>
            </w:pPr>
            <w:r>
              <w:rPr>
                <w:rFonts w:ascii="Calibri" w:cs="Calibri" w:eastAsia="Calibri" w:hAnsi="Calibri"/>
                <w:b w:val="false"/>
                <w:bCs w:val="false"/>
                <w:color w:val="262626"/>
                <w:sz w:val="19"/>
                <w:szCs w:val="19"/>
              </w:rPr>
              <w:t xml:space="preserve">Six</w:t>
            </w:r>
          </w:p>
        </w:tc>
        <w:tc>
          <w:tcPr>
            <w:tcW w:type="dxa" w:w="3660"/>
            <w:tcMar>
              <w:top w:type="dxa" w:w="60"/>
              <w:left w:type="dxa" w:w="105"/>
              <w:bottom w:type="dxa" w:w="60"/>
              <w:right w:type="dxa" w:w="105"/>
            </w:tcMar>
          </w:tcPr>
          <w:p>
            <w:pPr>
              <w:spacing w:after="0" w:line="252"/>
            </w:pPr>
            <w:r>
              <w:rPr>
                <w:rFonts w:ascii="Calibri" w:cs="Calibri" w:eastAsia="Calibri" w:hAnsi="Calibri"/>
                <w:b w:val="false"/>
                <w:bCs w:val="false"/>
                <w:color w:val="262626"/>
                <w:sz w:val="19"/>
                <w:szCs w:val="19"/>
              </w:rPr>
              <w:t xml:space="preserve">Seven, plus a coverage table mapping protagonist to user group and situation</w:t>
            </w:r>
          </w:p>
        </w:tc>
      </w:tr>
      <w:tr>
        <w:trPr>
          <w:cantSplit/>
        </w:trPr>
        <w:tc>
          <w:tcPr>
            <w:tcW w:type="dxa" w:w="2300"/>
            <w:shd w:fill="FAFBFD" w:color="auto" w:val="clear"/>
            <w:tcMar>
              <w:top w:type="dxa" w:w="60"/>
              <w:left w:type="dxa" w:w="105"/>
              <w:bottom w:type="dxa" w:w="60"/>
              <w:right w:type="dxa" w:w="105"/>
            </w:tcMar>
          </w:tcPr>
          <w:p>
            <w:pPr>
              <w:spacing w:after="0" w:line="252"/>
            </w:pPr>
            <w:r>
              <w:rPr>
                <w:rFonts w:ascii="Calibri" w:cs="Calibri" w:eastAsia="Calibri" w:hAnsi="Calibri"/>
                <w:b/>
                <w:bCs/>
                <w:color w:val="262626"/>
                <w:sz w:val="19"/>
                <w:szCs w:val="19"/>
              </w:rPr>
              <w:t xml:space="preserve">Task model</w:t>
            </w:r>
          </w:p>
        </w:tc>
        <w:tc>
          <w:tcPr>
            <w:tcW w:type="dxa" w:w="3400"/>
            <w:shd w:fill="FAFBFD" w:color="auto" w:val="clear"/>
            <w:tcMar>
              <w:top w:type="dxa" w:w="60"/>
              <w:left w:type="dxa" w:w="105"/>
              <w:bottom w:type="dxa" w:w="60"/>
              <w:right w:type="dxa" w:w="105"/>
            </w:tcMar>
          </w:tcPr>
          <w:p>
            <w:pPr>
              <w:spacing w:after="0" w:line="252"/>
            </w:pPr>
            <w:r>
              <w:rPr>
                <w:rFonts w:ascii="Calibri" w:cs="Calibri" w:eastAsia="Calibri" w:hAnsi="Calibri"/>
                <w:b w:val="false"/>
                <w:bCs w:val="false"/>
                <w:color w:val="262626"/>
                <w:sz w:val="19"/>
                <w:szCs w:val="19"/>
              </w:rPr>
              <w:t xml:space="preserve">One hierarchy, the CMAC perspective, with Infrastructure tasks loose in the informal model</w:t>
            </w:r>
          </w:p>
        </w:tc>
        <w:tc>
          <w:tcPr>
            <w:tcW w:type="dxa" w:w="3660"/>
            <w:shd w:fill="FAFBFD" w:color="auto" w:val="clear"/>
            <w:tcMar>
              <w:top w:type="dxa" w:w="60"/>
              <w:left w:type="dxa" w:w="105"/>
              <w:bottom w:type="dxa" w:w="60"/>
              <w:right w:type="dxa" w:w="105"/>
            </w:tcMar>
          </w:tcPr>
          <w:p>
            <w:pPr>
              <w:spacing w:after="0" w:line="252"/>
            </w:pPr>
            <w:r>
              <w:rPr>
                <w:rFonts w:ascii="Calibri" w:cs="Calibri" w:eastAsia="Calibri" w:hAnsi="Calibri"/>
                <w:b w:val="false"/>
                <w:bCs w:val="false"/>
                <w:color w:val="262626"/>
                <w:sz w:val="19"/>
                <w:szCs w:val="19"/>
              </w:rPr>
              <w:t xml:space="preserve">Two hierarchies: the requester goal and the service-staff goal</w:t>
            </w:r>
          </w:p>
        </w:tc>
      </w:tr>
      <w:tr>
        <w:trPr>
          <w:cantSplit/>
        </w:trPr>
        <w:tc>
          <w:tcPr>
            <w:tcW w:type="dxa" w:w="2300"/>
            <w:tcMar>
              <w:top w:type="dxa" w:w="60"/>
              <w:left w:type="dxa" w:w="105"/>
              <w:bottom w:type="dxa" w:w="60"/>
              <w:right w:type="dxa" w:w="105"/>
            </w:tcMar>
          </w:tcPr>
          <w:p>
            <w:pPr>
              <w:spacing w:after="0" w:line="252"/>
            </w:pPr>
            <w:r>
              <w:rPr>
                <w:rFonts w:ascii="Calibri" w:cs="Calibri" w:eastAsia="Calibri" w:hAnsi="Calibri"/>
                <w:b/>
                <w:bCs/>
                <w:color w:val="262626"/>
                <w:sz w:val="19"/>
                <w:szCs w:val="19"/>
              </w:rPr>
              <w:t xml:space="preserve">Data dictionary</w:t>
            </w:r>
          </w:p>
        </w:tc>
        <w:tc>
          <w:tcPr>
            <w:tcW w:type="dxa" w:w="3400"/>
            <w:tcMar>
              <w:top w:type="dxa" w:w="60"/>
              <w:left w:type="dxa" w:w="105"/>
              <w:bottom w:type="dxa" w:w="60"/>
              <w:right w:type="dxa" w:w="105"/>
            </w:tcMar>
          </w:tcPr>
          <w:p>
            <w:pPr>
              <w:spacing w:after="0" w:line="252"/>
            </w:pPr>
            <w:r>
              <w:rPr>
                <w:rFonts w:ascii="Calibri" w:cs="Calibri" w:eastAsia="Calibri" w:hAnsi="Calibri"/>
                <w:b w:val="false"/>
                <w:bCs w:val="false"/>
                <w:color w:val="262626"/>
                <w:sz w:val="19"/>
                <w:szCs w:val="19"/>
              </w:rPr>
              <w:t xml:space="preserve">Two tables with a duplicated Request Type row, a duplicated submission-confirmation row, plus Process Description and Work Order Closure</w:t>
            </w:r>
          </w:p>
        </w:tc>
        <w:tc>
          <w:tcPr>
            <w:tcW w:type="dxa" w:w="3660"/>
            <w:tcMar>
              <w:top w:type="dxa" w:w="60"/>
              <w:left w:type="dxa" w:w="105"/>
              <w:bottom w:type="dxa" w:w="60"/>
              <w:right w:type="dxa" w:w="105"/>
            </w:tcMar>
          </w:tcPr>
          <w:p>
            <w:pPr>
              <w:spacing w:after="0" w:line="252"/>
            </w:pPr>
            <w:r>
              <w:rPr>
                <w:rFonts w:ascii="Calibri" w:cs="Calibri" w:eastAsia="Calibri" w:hAnsi="Calibri"/>
                <w:b w:val="false"/>
                <w:bCs w:val="false"/>
                <w:color w:val="262626"/>
                <w:sz w:val="19"/>
                <w:szCs w:val="19"/>
              </w:rPr>
              <w:t xml:space="preserve">Seven grouped tables with a “Mastered in” column, duplicates merged and the two vague rows removed</w:t>
            </w:r>
          </w:p>
        </w:tc>
      </w:tr>
    </w:tbl>
    <w:tbl>
      <w:tblPr>
        <w:tblW w:type="dxa" w:w="9360"/>
        <w:tblBorders>
          <w:top w:val="single" w:color="D9E2F3" w:sz="6"/>
          <w:left w:val="single" w:color="2E5A88" w:sz="24"/>
          <w:bottom w:val="single" w:color="D9E2F3" w:sz="6"/>
          <w:right w:val="single" w:color="D9E2F3" w:sz="6"/>
          <w:insideH w:val="none"/>
          <w:insideV w:val="none"/>
        </w:tblBorders>
      </w:tblPr>
      <w:tblGrid>
        <w:gridCol w:w="9360"/>
      </w:tblGrid>
      <w:tr>
        <w:trPr>
          <w:cantSplit/>
        </w:trPr>
        <w:tc>
          <w:tcPr>
            <w:tcW w:type="dxa" w:w="9360"/>
            <w:shd w:fill="EDF1F7" w:color="auto" w:val="clear"/>
            <w:tcMar>
              <w:top w:type="dxa" w:w="115"/>
              <w:left w:type="dxa" w:w="165"/>
              <w:bottom w:type="dxa" w:w="115"/>
              <w:right w:type="dxa" w:w="165"/>
            </w:tcMar>
          </w:tcPr>
          <w:p>
            <w:pPr>
              <w:spacing w:after="55" w:before="0" w:line="264"/>
            </w:pPr>
            <w:r>
              <w:rPr>
                <w:rFonts w:ascii="Calibri" w:cs="Calibri" w:eastAsia="Calibri" w:hAnsi="Calibri"/>
                <w:b/>
                <w:bCs/>
                <w:caps/>
                <w:color w:val="1F3864"/>
                <w:sz w:val="18"/>
                <w:szCs w:val="18"/>
              </w:rPr>
              <w:t xml:space="preserve">One board item to settle either way</w:t>
            </w:r>
          </w:p>
          <w:p>
            <w:pPr>
              <w:spacing w:after="0" w:before="0" w:line="264"/>
            </w:pPr>
            <w:r>
              <w:rPr>
                <w:rFonts w:ascii="Calibri" w:cs="Calibri" w:eastAsia="Calibri" w:hAnsi="Calibri"/>
                <w:color w:val="262626"/>
                <w:sz w:val="20"/>
                <w:szCs w:val="20"/>
              </w:rPr>
              <w:t xml:space="preserve">The board's history-and-reporting branch carries a node reading “view request on a map”, and the document keeps it as a task. No requirement and no data element supports it. Either add a requirement for locating requests geographically, or drop the task from both the board and section 4.2. As it stands it is the only task in the model that nothing else in the document accounts for.</w:t>
            </w:r>
          </w:p>
        </w:tc>
      </w:tr>
    </w:tbl>
    <w:p>
      <w:r>
        <w:br w:type="page"/>
      </w:r>
    </w:p>
    <w:p>
      <w:pPr>
        <w:pStyle w:val="Heading1"/>
        <w:pBdr>
          <w:bottom w:val="single" w:color="1F3864" w:sz="10" w:space="6"/>
        </w:pBdr>
        <w:spacing w:after="150" w:before="240"/>
      </w:pPr>
      <w:r>
        <w:rPr>
          <w:rFonts w:ascii="Calibri" w:cs="Calibri" w:eastAsia="Calibri" w:hAnsi="Calibri"/>
          <w:b/>
          <w:bCs/>
          <w:color w:val="1F3864"/>
          <w:sz w:val="29"/>
          <w:szCs w:val="29"/>
        </w:rPr>
        <w:t xml:space="preserve">1.  Requirements Document</w:t>
      </w:r>
    </w:p>
    <w:p>
      <w:pPr>
        <w:spacing w:after="100" w:before="0" w:line="264"/>
      </w:pPr>
      <w:r>
        <w:rPr>
          <w:rFonts w:ascii="Calibri" w:cs="Calibri" w:eastAsia="Calibri" w:hAnsi="Calibri"/>
          <w:color w:val="262626"/>
          <w:sz w:val="21"/>
          <w:szCs w:val="21"/>
        </w:rPr>
        <w:t xml:space="preserve">The structure is right. Drivers and constraints, scope, functional requirements grouped by journey stage, then non-functional requirements under the Volere headings, with each statement in the active voice and confined to a single function. The scope section does something the course material asks for and most teams skip: it states the system boundary explicitly, and the in-and-out table makes it legible at a glance. The performance requirements carry proposed figures rather than the word “promptly” alone, which is the difference between a requirement that can be judged met and one that cannot.</w:t>
      </w:r>
    </w:p>
    <w:p>
      <w:pPr>
        <w:spacing w:after="100" w:before="0" w:line="264"/>
      </w:pPr>
      <w:r>
        <w:rPr>
          <w:rFonts w:ascii="Calibri" w:cs="Calibri" w:eastAsia="Calibri" w:hAnsi="Calibri"/>
          <w:color w:val="262626"/>
          <w:sz w:val="21"/>
          <w:szCs w:val="21"/>
        </w:rPr>
        <w:t xml:space="preserve">The gap is coverage, not quality. Four things the rest of the document depends on are never stated as requirements.</w:t>
      </w:r>
    </w:p>
    <w:p>
      <w:pPr>
        <w:spacing w:after="55" w:before="130"/>
      </w:pPr>
      <w:r>
        <w:rPr>
          <w:rFonts w:ascii="Calibri" w:cs="Calibri" w:eastAsia="Calibri" w:hAnsi="Calibri"/>
          <w:b/>
          <w:bCs/>
          <w:caps/>
          <w:color w:val="2E6B41"/>
          <w:sz w:val="18"/>
          <w:szCs w:val="18"/>
        </w:rPr>
        <w:t xml:space="preserve">Add these requirements</w:t>
      </w:r>
    </w:p>
    <w:p>
      <w:pPr>
        <w:pStyle w:val="ListParagraph"/>
        <w:numPr>
          <w:ilvl w:val="0"/>
          <w:numId w:val="2"/>
        </w:numPr>
        <w:spacing w:after="55" w:line="258"/>
      </w:pPr>
      <w:r>
        <w:rPr>
          <w:rFonts w:ascii="Calibri" w:cs="Calibri" w:eastAsia="Calibri" w:hAnsi="Calibri"/>
          <w:b/>
          <w:bCs/>
          <w:i w:val="false"/>
          <w:iCs w:val="false"/>
          <w:color w:val="262626"/>
          <w:sz w:val="21"/>
          <w:szCs w:val="21"/>
        </w:rPr>
        <w:t xml:space="preserve">Notification. </w:t>
      </w:r>
      <w:r>
        <w:rPr>
          <w:rFonts w:ascii="Calibri" w:cs="Calibri" w:eastAsia="Calibri" w:hAnsi="Calibri"/>
          <w:b w:val="false"/>
          <w:bCs w:val="false"/>
          <w:i w:val="false"/>
          <w:iCs w:val="false"/>
          <w:color w:val="262626"/>
          <w:sz w:val="21"/>
          <w:szCs w:val="21"/>
        </w:rPr>
        <w:t xml:space="preserve">Nothing in the functional requirements says the product notifies anyone. Yet three personas list notifications among their core needs, the informal model and the requester hierarchy both contain “get notified of changes”, and the service-staff hierarchy contains “notify the requester when action is needed from them”. This is the single clearest omission in the document.</w:t>
      </w:r>
    </w:p>
    <w:p>
      <w:pPr>
        <w:pStyle w:val="ListParagraph"/>
        <w:numPr>
          <w:ilvl w:val="0"/>
          <w:numId w:val="2"/>
        </w:numPr>
        <w:spacing w:after="55" w:line="258"/>
      </w:pPr>
      <w:r>
        <w:rPr>
          <w:rFonts w:ascii="Calibri" w:cs="Calibri" w:eastAsia="Calibri" w:hAnsi="Calibri"/>
          <w:b/>
          <w:bCs/>
          <w:i w:val="false"/>
          <w:iCs w:val="false"/>
          <w:color w:val="262626"/>
          <w:sz w:val="21"/>
          <w:szCs w:val="21"/>
        </w:rPr>
        <w:t xml:space="preserve">Visible ownership. </w:t>
      </w:r>
      <w:r>
        <w:rPr>
          <w:rFonts w:ascii="Calibri" w:cs="Calibri" w:eastAsia="Calibri" w:hAnsi="Calibri"/>
          <w:b w:val="false"/>
          <w:bCs w:val="false"/>
          <w:i w:val="false"/>
          <w:iCs w:val="false"/>
          <w:color w:val="262626"/>
          <w:sz w:val="21"/>
          <w:szCs w:val="21"/>
        </w:rPr>
        <w:t xml:space="preserve">FR-13 and FR-14 cover status and lifecycle stage, but no requirement says a requester can see who currently holds the request. Scenario 1 turns on Kevin identifying who is responsible for the correction, Priya's frustrations name unclear ownership at handoff, and the data dictionary already holds Assigned Coordinator.</w:t>
      </w:r>
    </w:p>
    <w:p>
      <w:pPr>
        <w:pStyle w:val="ListParagraph"/>
        <w:numPr>
          <w:ilvl w:val="0"/>
          <w:numId w:val="2"/>
        </w:numPr>
        <w:spacing w:after="55" w:line="258"/>
      </w:pPr>
      <w:r>
        <w:rPr>
          <w:rFonts w:ascii="Calibri" w:cs="Calibri" w:eastAsia="Calibri" w:hAnsi="Calibri"/>
          <w:b/>
          <w:bCs/>
          <w:i w:val="false"/>
          <w:iCs w:val="false"/>
          <w:color w:val="262626"/>
          <w:sz w:val="21"/>
          <w:szCs w:val="21"/>
        </w:rPr>
        <w:t xml:space="preserve">Closure and remaining issues. </w:t>
      </w:r>
      <w:r>
        <w:rPr>
          <w:rFonts w:ascii="Calibri" w:cs="Calibri" w:eastAsia="Calibri" w:hAnsi="Calibri"/>
          <w:b w:val="false"/>
          <w:bCs w:val="false"/>
          <w:i w:val="false"/>
          <w:iCs w:val="false"/>
          <w:color w:val="262626"/>
          <w:sz w:val="21"/>
          <w:szCs w:val="21"/>
        </w:rPr>
        <w:t xml:space="preserve">The requester hierarchy ends with “confirm satisfaction with the result” and the data dictionary holds both Closure Confirmation and Issue Report, but no requirement lets a requester confirm completion or report what is outstanding.</w:t>
      </w:r>
    </w:p>
    <w:p>
      <w:pPr>
        <w:pStyle w:val="ListParagraph"/>
        <w:numPr>
          <w:ilvl w:val="0"/>
          <w:numId w:val="2"/>
        </w:numPr>
        <w:spacing w:after="55" w:line="258"/>
      </w:pPr>
      <w:r>
        <w:rPr>
          <w:rFonts w:ascii="Calibri" w:cs="Calibri" w:eastAsia="Calibri" w:hAnsi="Calibri"/>
          <w:b/>
          <w:bCs/>
          <w:i w:val="false"/>
          <w:iCs w:val="false"/>
          <w:color w:val="262626"/>
          <w:sz w:val="21"/>
          <w:szCs w:val="21"/>
        </w:rPr>
        <w:t xml:space="preserve">Accessibility. </w:t>
      </w:r>
      <w:r>
        <w:rPr>
          <w:rFonts w:ascii="Calibri" w:cs="Calibri" w:eastAsia="Calibri" w:hAnsi="Calibri"/>
          <w:b w:val="false"/>
          <w:bCs w:val="false"/>
          <w:i w:val="false"/>
          <w:iCs w:val="false"/>
          <w:color w:val="262626"/>
          <w:sz w:val="21"/>
          <w:szCs w:val="21"/>
        </w:rPr>
        <w:t xml:space="preserve">Section 7 commits to keyboard and screen-reader operability and section 10 says the product is designed to be accessible by default, but no non-functional requirement states it. For a Government of Alberta service this belongs in the document as a testable requirement, against WCAG 2.1 Level AA.</w:t>
      </w:r>
    </w:p>
    <w:p>
      <w:pPr>
        <w:pStyle w:val="ListParagraph"/>
        <w:numPr>
          <w:ilvl w:val="0"/>
          <w:numId w:val="2"/>
        </w:numPr>
        <w:spacing w:after="55" w:line="258"/>
      </w:pPr>
      <w:r>
        <w:rPr>
          <w:rFonts w:ascii="Calibri" w:cs="Calibri" w:eastAsia="Calibri" w:hAnsi="Calibri"/>
          <w:b/>
          <w:bCs/>
          <w:i w:val="false"/>
          <w:iCs w:val="false"/>
          <w:color w:val="262626"/>
          <w:sz w:val="21"/>
          <w:szCs w:val="21"/>
        </w:rPr>
        <w:t xml:space="preserve">Priority. </w:t>
      </w:r>
      <w:r>
        <w:rPr>
          <w:rFonts w:ascii="Calibri" w:cs="Calibri" w:eastAsia="Calibri" w:hAnsi="Calibri"/>
          <w:b w:val="false"/>
          <w:bCs w:val="false"/>
          <w:i w:val="false"/>
          <w:iCs w:val="false"/>
          <w:color w:val="262626"/>
          <w:sz w:val="21"/>
          <w:szCs w:val="21"/>
        </w:rPr>
        <w:t xml:space="preserve">Priority Level is in the data dictionary and Kevin's frustrations name missed priority information, but no requirement captures it. A one-line addition alongside FR-04.</w:t>
      </w:r>
    </w:p>
    <w:p>
      <w:pPr>
        <w:spacing w:after="55" w:before="130"/>
      </w:pPr>
      <w:r>
        <w:rPr>
          <w:rFonts w:ascii="Calibri" w:cs="Calibri" w:eastAsia="Calibri" w:hAnsi="Calibri"/>
          <w:b/>
          <w:bCs/>
          <w:caps/>
          <w:color w:val="8A6018"/>
          <w:sz w:val="18"/>
          <w:szCs w:val="18"/>
        </w:rPr>
        <w:t xml:space="preserve">Fix this wording</w:t>
      </w:r>
    </w:p>
    <w:p>
      <w:pPr>
        <w:pStyle w:val="ListParagraph"/>
        <w:numPr>
          <w:ilvl w:val="0"/>
          <w:numId w:val="2"/>
        </w:numPr>
        <w:spacing w:after="55" w:line="258"/>
      </w:pPr>
      <w:r>
        <w:rPr>
          <w:rFonts w:ascii="Calibri" w:cs="Calibri" w:eastAsia="Calibri" w:hAnsi="Calibri"/>
          <w:b w:val="false"/>
          <w:bCs w:val="false"/>
          <w:i w:val="false"/>
          <w:iCs w:val="false"/>
          <w:color w:val="262626"/>
          <w:sz w:val="21"/>
          <w:szCs w:val="21"/>
        </w:rPr>
        <w:t xml:space="preserve">FR-01 is the only requirement that says “furniture work order”; every other requirement says “Furniture Request”. The document never defines the relationship between the two terms, although it uses both throughout and the data dictionary is built on Work Order ID. Add one sentence to section 1: a Furniture Request is what a CMAC submits and follows, and a Work Order is the fulfilment record created from it. Then make FR-01 read “Furniture Request”.</w:t>
      </w:r>
    </w:p>
    <w:p>
      <w:pPr>
        <w:pStyle w:val="ListParagraph"/>
        <w:numPr>
          <w:ilvl w:val="0"/>
          <w:numId w:val="2"/>
        </w:numPr>
        <w:spacing w:after="55" w:line="258"/>
      </w:pPr>
      <w:r>
        <w:rPr>
          <w:rFonts w:ascii="Calibri" w:cs="Calibri" w:eastAsia="Calibri" w:hAnsi="Calibri"/>
          <w:b w:val="false"/>
          <w:bCs w:val="false"/>
          <w:i w:val="false"/>
          <w:iCs w:val="false"/>
          <w:color w:val="262626"/>
          <w:sz w:val="21"/>
          <w:szCs w:val="21"/>
        </w:rPr>
        <w:t xml:space="preserve">NFR-03 and NFR-04 overlap heavily, as do NFR-07 and NFR-08. Each pair can be one requirement without losing anything.</w:t>
      </w:r>
    </w:p>
    <w:p>
      <w:pPr>
        <w:pStyle w:val="ListParagraph"/>
        <w:numPr>
          <w:ilvl w:val="0"/>
          <w:numId w:val="2"/>
        </w:numPr>
        <w:spacing w:after="55" w:line="258"/>
      </w:pPr>
      <w:r>
        <w:rPr>
          <w:rFonts w:ascii="Calibri" w:cs="Calibri" w:eastAsia="Calibri" w:hAnsi="Calibri"/>
          <w:b w:val="false"/>
          <w:bCs w:val="false"/>
          <w:i w:val="false"/>
          <w:iCs w:val="false"/>
          <w:color w:val="262626"/>
          <w:sz w:val="21"/>
          <w:szCs w:val="21"/>
        </w:rPr>
        <w:t xml:space="preserve">An auditability requirement would connect the mandated constraint about Government of Alberta access rules to Milestone 1, which names preserved auditability as a key result. Currently nothing carries it.</w:t>
      </w:r>
    </w:p>
    <w:p>
      <w:pPr>
        <w:spacing w:after="55" w:before="130"/>
      </w:pPr>
      <w:r>
        <w:rPr>
          <w:rFonts w:ascii="Calibri" w:cs="Calibri" w:eastAsia="Calibri" w:hAnsi="Calibri"/>
          <w:b/>
          <w:bCs/>
          <w:caps/>
          <w:color w:val="595959"/>
          <w:sz w:val="18"/>
          <w:szCs w:val="18"/>
        </w:rPr>
        <w:t xml:space="preserve">Leave alone</w:t>
      </w:r>
    </w:p>
    <w:p>
      <w:pPr>
        <w:pStyle w:val="ListParagraph"/>
        <w:numPr>
          <w:ilvl w:val="0"/>
          <w:numId w:val="2"/>
        </w:numPr>
        <w:spacing w:after="55" w:line="258"/>
      </w:pPr>
      <w:r>
        <w:rPr>
          <w:rFonts w:ascii="Calibri" w:cs="Calibri" w:eastAsia="Calibri" w:hAnsi="Calibri"/>
          <w:sz w:val="21"/>
          <w:szCs w:val="21"/>
        </w:rPr>
        <w:t xml:space="preserve">The decision to treat access as functional rather than only as a security property, and to say why. That reasoning is worth the space it takes.</w:t>
      </w:r>
    </w:p>
    <w:p>
      <w:pPr>
        <w:pStyle w:val="ListParagraph"/>
        <w:numPr>
          <w:ilvl w:val="0"/>
          <w:numId w:val="2"/>
        </w:numPr>
        <w:spacing w:after="55" w:line="258"/>
      </w:pPr>
      <w:r>
        <w:rPr>
          <w:rFonts w:ascii="Calibri" w:cs="Calibri" w:eastAsia="Calibri" w:hAnsi="Calibri"/>
          <w:sz w:val="21"/>
          <w:szCs w:val="21"/>
        </w:rPr>
        <w:t xml:space="preserve">The explicit note that Business Requirements are reserved for MDPM 881. It answers the obvious question before a marker asks it.</w:t>
      </w:r>
    </w:p>
    <w:p>
      <w:pPr>
        <w:pStyle w:val="Heading1"/>
        <w:pBdr>
          <w:bottom w:val="single" w:color="1F3864" w:sz="10" w:space="6"/>
        </w:pBdr>
        <w:spacing w:after="150" w:before="240"/>
      </w:pPr>
      <w:r>
        <w:rPr>
          <w:rFonts w:ascii="Calibri" w:cs="Calibri" w:eastAsia="Calibri" w:hAnsi="Calibri"/>
          <w:b/>
          <w:bCs/>
          <w:color w:val="1F3864"/>
          <w:sz w:val="29"/>
          <w:szCs w:val="29"/>
        </w:rPr>
        <w:t xml:space="preserve">2.  Task Model</w:t>
      </w:r>
    </w:p>
    <w:p>
      <w:pPr>
        <w:spacing w:after="100" w:before="0" w:line="264"/>
      </w:pPr>
      <w:r>
        <w:rPr>
          <w:rFonts w:ascii="Calibri" w:cs="Calibri" w:eastAsia="Calibri" w:hAnsi="Calibri"/>
          <w:color w:val="262626"/>
          <w:sz w:val="21"/>
          <w:szCs w:val="21"/>
        </w:rPr>
        <w:t xml:space="preserve">This is the best section in the document. The informal model is a genuine brainstorm at mixed levels, as the method requires, and the two observations drawn from it — that much of the list is about finding out what is happening rather than submitting anything, and that the CMAC is often relaying someone else's need — are real findings rather than filler. Both hierarchies read correctly downwards as decomposition, and section 4.2 defends two decomposition choices explicitly, including the one the lecture flags as the common error: putting sequence where decomposition belongs.</w:t>
      </w:r>
    </w:p>
    <w:p>
      <w:pPr>
        <w:spacing w:after="100" w:before="0" w:line="264"/>
      </w:pPr>
      <w:r>
        <w:rPr>
          <w:rFonts w:ascii="Calibri" w:cs="Calibri" w:eastAsia="Calibri" w:hAnsi="Calibri"/>
          <w:color w:val="262626"/>
          <w:sz w:val="21"/>
          <w:szCs w:val="21"/>
        </w:rPr>
        <w:t xml:space="preserve">Every branch is phrased as a task. That is worth saying because the board is not: its branches read “follow request”, “History and reporting” and “closure”, and the rubric penalises tasks not phrased as tasks. The document fixed all three. Modelling the service-staff goal separately also rescues the two board stickies that were phrased from the system's point of view — identifying the input medium and inputting the data files — by putting them where they belong, in the staff hierarchy.</w:t>
      </w:r>
    </w:p>
    <w:p>
      <w:pPr>
        <w:spacing w:after="55" w:before="130"/>
      </w:pPr>
      <w:r>
        <w:rPr>
          <w:rFonts w:ascii="Calibri" w:cs="Calibri" w:eastAsia="Calibri" w:hAnsi="Calibri"/>
          <w:b/>
          <w:bCs/>
          <w:caps/>
          <w:color w:val="8A6018"/>
          <w:sz w:val="18"/>
          <w:szCs w:val="18"/>
        </w:rPr>
        <w:t xml:space="preserve">The one thing to resolve</w:t>
      </w:r>
    </w:p>
    <w:p>
      <w:pPr>
        <w:pStyle w:val="ListParagraph"/>
        <w:numPr>
          <w:ilvl w:val="0"/>
          <w:numId w:val="2"/>
        </w:numPr>
        <w:spacing w:after="55" w:line="258"/>
      </w:pPr>
      <w:r>
        <w:rPr>
          <w:rFonts w:ascii="Calibri" w:cs="Calibri" w:eastAsia="Calibri" w:hAnsi="Calibri"/>
          <w:sz w:val="21"/>
          <w:szCs w:val="21"/>
        </w:rPr>
        <w:t xml:space="preserve">“View requests on a map” has no requirement and no data element behind it. Add the requirement or remove the task.</w:t>
      </w:r>
    </w:p>
    <w:p>
      <w:pPr>
        <w:spacing w:after="55" w:before="130"/>
      </w:pPr>
      <w:r>
        <w:rPr>
          <w:rFonts w:ascii="Calibri" w:cs="Calibri" w:eastAsia="Calibri" w:hAnsi="Calibri"/>
          <w:b/>
          <w:bCs/>
          <w:caps/>
          <w:color w:val="595959"/>
          <w:sz w:val="18"/>
          <w:szCs w:val="18"/>
        </w:rPr>
        <w:t xml:space="preserve">Small improvements</w:t>
      </w:r>
    </w:p>
    <w:p>
      <w:pPr>
        <w:pStyle w:val="ListParagraph"/>
        <w:numPr>
          <w:ilvl w:val="0"/>
          <w:numId w:val="2"/>
        </w:numPr>
        <w:spacing w:after="55" w:line="258"/>
      </w:pPr>
      <w:r>
        <w:rPr>
          <w:rFonts w:ascii="Calibri" w:cs="Calibri" w:eastAsia="Calibri" w:hAnsi="Calibri"/>
          <w:sz w:val="21"/>
          <w:szCs w:val="21"/>
        </w:rPr>
        <w:t xml:space="preserve">“Receive submission confirmation” under Prepare and submit is the system acting, not the user. “Confirm the request was received” keeps it a task.</w:t>
      </w:r>
    </w:p>
    <w:p>
      <w:pPr>
        <w:pStyle w:val="ListParagraph"/>
        <w:numPr>
          <w:ilvl w:val="0"/>
          <w:numId w:val="2"/>
        </w:numPr>
        <w:spacing w:after="55" w:line="258"/>
      </w:pPr>
      <w:r>
        <w:rPr>
          <w:rFonts w:ascii="Calibri" w:cs="Calibri" w:eastAsia="Calibri" w:hAnsi="Calibri"/>
          <w:sz w:val="21"/>
          <w:szCs w:val="21"/>
        </w:rPr>
        <w:t xml:space="preserve">Section 4.4 makes the boundary argument well in prose. A single line listing which numbered tasks fall outside the product would make it checkable.</w:t>
      </w:r>
    </w:p>
    <w:p>
      <w:pPr>
        <w:pStyle w:val="Heading1"/>
        <w:pBdr>
          <w:bottom w:val="single" w:color="1F3864" w:sz="10" w:space="6"/>
        </w:pBdr>
        <w:spacing w:after="150" w:before="240"/>
      </w:pPr>
      <w:r>
        <w:rPr>
          <w:rFonts w:ascii="Calibri" w:cs="Calibri" w:eastAsia="Calibri" w:hAnsi="Calibri"/>
          <w:b/>
          <w:bCs/>
          <w:color w:val="1F3864"/>
          <w:sz w:val="29"/>
          <w:szCs w:val="29"/>
        </w:rPr>
        <w:t xml:space="preserve">3.  Scenarios</w:t>
      </w:r>
    </w:p>
    <w:p>
      <w:pPr>
        <w:spacing w:after="100" w:before="0" w:line="264"/>
      </w:pPr>
      <w:r>
        <w:rPr>
          <w:rFonts w:ascii="Calibri" w:cs="Calibri" w:eastAsia="Calibri" w:hAnsi="Calibri"/>
          <w:color w:val="262626"/>
          <w:sz w:val="21"/>
          <w:szCs w:val="21"/>
        </w:rPr>
        <w:t xml:space="preserve">Seven scenarios, comfortably past the six the rubric asks for, each with a named protagonist and a concrete sequence of actions, and none of them describing a screen. The range is good: a mis-delivery corrected from a fragmented history, a duplicate arriving by a second route, a supply-path decision, a portfolio under weekly review, a move across two buildings, a closed request retrieved after two years, and a request that cannot be actioned at intake. Scenario 7 earns its place twice over — it is the only one written from the service side, and it is the origin of FR-03.</w:t>
      </w:r>
    </w:p>
    <w:p>
      <w:pPr>
        <w:spacing w:after="100" w:before="0" w:line="264"/>
      </w:pPr>
      <w:r>
        <w:rPr>
          <w:rFonts w:ascii="Calibri" w:cs="Calibri" w:eastAsia="Calibri" w:hAnsi="Calibri"/>
          <w:color w:val="262626"/>
          <w:sz w:val="21"/>
          <w:szCs w:val="21"/>
        </w:rPr>
        <w:t xml:space="preserve">The coverage table is a strong addition. It shows the marker at a glance that the set spans the user groups and mixes typical use with interesting cases, and the note recording which scenarios produced which requirements is precisely the iterative refinement the course material describes.</w:t>
      </w:r>
    </w:p>
    <w:p>
      <w:pPr>
        <w:spacing w:after="55" w:before="130"/>
      </w:pPr>
      <w:r>
        <w:rPr>
          <w:rFonts w:ascii="Calibri" w:cs="Calibri" w:eastAsia="Calibri" w:hAnsi="Calibri"/>
          <w:b/>
          <w:bCs/>
          <w:caps/>
          <w:color w:val="9C2B2B"/>
          <w:sz w:val="18"/>
          <w:szCs w:val="18"/>
        </w:rPr>
        <w:t xml:space="preserve">One inconsistency to fix</w:t>
      </w:r>
    </w:p>
    <w:p>
      <w:pPr>
        <w:pStyle w:val="ListParagraph"/>
        <w:numPr>
          <w:ilvl w:val="0"/>
          <w:numId w:val="2"/>
        </w:numPr>
        <w:spacing w:after="55" w:line="258"/>
      </w:pPr>
      <w:r>
        <w:rPr>
          <w:rFonts w:ascii="Calibri" w:cs="Calibri" w:eastAsia="Calibri" w:hAnsi="Calibri"/>
          <w:sz w:val="21"/>
          <w:szCs w:val="21"/>
        </w:rPr>
        <w:t xml:space="preserve">Scenario 3 places Kevin's office in Calgary. Kevin's persona is Edmonton; Calgary is Priya's. Change the scenario, since nothing in it depends on the city.</w:t>
      </w:r>
    </w:p>
    <w:p>
      <w:pPr>
        <w:spacing w:after="55" w:before="130"/>
      </w:pPr>
      <w:r>
        <w:rPr>
          <w:rFonts w:ascii="Calibri" w:cs="Calibri" w:eastAsia="Calibri" w:hAnsi="Calibri"/>
          <w:b/>
          <w:bCs/>
          <w:caps/>
          <w:color w:val="595959"/>
          <w:sz w:val="18"/>
          <w:szCs w:val="18"/>
        </w:rPr>
        <w:t xml:space="preserve">Optional strengthening</w:t>
      </w:r>
    </w:p>
    <w:p>
      <w:pPr>
        <w:pStyle w:val="ListParagraph"/>
        <w:numPr>
          <w:ilvl w:val="0"/>
          <w:numId w:val="2"/>
        </w:numPr>
        <w:spacing w:after="55" w:line="258"/>
      </w:pPr>
      <w:r>
        <w:rPr>
          <w:rFonts w:ascii="Calibri" w:cs="Calibri" w:eastAsia="Calibri" w:hAnsi="Calibri"/>
          <w:sz w:val="21"/>
          <w:szCs w:val="21"/>
        </w:rPr>
        <w:t xml:space="preserve">Scenarios 1, 2 and 4 describe their closing actions in general terms — “provides the information needed to resolve the issue” — where Scenarios 3, 5 and 6 are specific about quantities, floors and timescales. A concrete detail in each would level the set.</w:t>
      </w:r>
    </w:p>
    <w:p>
      <w:pPr>
        <w:pStyle w:val="ListParagraph"/>
        <w:numPr>
          <w:ilvl w:val="0"/>
          <w:numId w:val="2"/>
        </w:numPr>
        <w:spacing w:after="55" w:line="258"/>
      </w:pPr>
      <w:r>
        <w:rPr>
          <w:rFonts w:ascii="Calibri" w:cs="Calibri" w:eastAsia="Calibri" w:hAnsi="Calibri"/>
          <w:sz w:val="21"/>
          <w:szCs w:val="21"/>
        </w:rPr>
        <w:t xml:space="preserve">No scenario shows a request being saved and resumed, although FR-05 provides for it and Elena's persona is built around interruption. Elena also has no scenario of her own, which is a small gap given that Milestone 1 identified the occasional requester as the primary experience.</w:t>
      </w:r>
    </w:p>
    <w:p>
      <w:pPr>
        <w:pStyle w:val="Heading1"/>
        <w:pBdr>
          <w:bottom w:val="single" w:color="1F3864" w:sz="10" w:space="6"/>
        </w:pBdr>
        <w:spacing w:after="150" w:before="240"/>
      </w:pPr>
      <w:r>
        <w:rPr>
          <w:rFonts w:ascii="Calibri" w:cs="Calibri" w:eastAsia="Calibri" w:hAnsi="Calibri"/>
          <w:b/>
          <w:bCs/>
          <w:color w:val="1F3864"/>
          <w:sz w:val="29"/>
          <w:szCs w:val="29"/>
        </w:rPr>
        <w:t xml:space="preserve">4.  Data Dictionary</w:t>
      </w:r>
    </w:p>
    <w:p>
      <w:pPr>
        <w:spacing w:after="100" w:before="0" w:line="264"/>
      </w:pPr>
      <w:r>
        <w:rPr>
          <w:rFonts w:ascii="Calibri" w:cs="Calibri" w:eastAsia="Calibri" w:hAnsi="Calibri"/>
          <w:color w:val="262626"/>
          <w:sz w:val="21"/>
          <w:szCs w:val="21"/>
        </w:rPr>
        <w:t xml:space="preserve">The grouping is clear and the descriptions are written for business users, as the lecture asks. The “Mastered in” column is the best decision in the section: it turns the dictionary into a statement about the product boundary, ties directly to the mandated constraint that the product sits inside PRISM Core, and gives NFR-09 a visible origin. The board's duplicated Request Type row, its duplicated submission-confirmation row, and the two vague entries — Process Description and Work Order Closure — have all been dealt with.</w:t>
      </w:r>
    </w:p>
    <w:p>
      <w:pPr>
        <w:spacing w:after="55" w:before="130"/>
      </w:pPr>
      <w:r>
        <w:rPr>
          <w:rFonts w:ascii="Calibri" w:cs="Calibri" w:eastAsia="Calibri" w:hAnsi="Calibri"/>
          <w:b/>
          <w:bCs/>
          <w:caps/>
          <w:color w:val="2E6B41"/>
          <w:sz w:val="18"/>
          <w:szCs w:val="18"/>
        </w:rPr>
        <w:t xml:space="preserve">Data the requirements assume but the dictionary does not hold</w:t>
      </w:r>
    </w:p>
    <w:p>
      <w:pPr>
        <w:pStyle w:val="ListParagraph"/>
        <w:numPr>
          <w:ilvl w:val="0"/>
          <w:numId w:val="2"/>
        </w:numPr>
        <w:spacing w:after="55" w:line="258"/>
      </w:pPr>
      <w:r>
        <w:rPr>
          <w:rFonts w:ascii="Calibri" w:cs="Calibri" w:eastAsia="Calibri" w:hAnsi="Calibri"/>
          <w:b/>
          <w:bCs/>
          <w:i w:val="false"/>
          <w:iCs w:val="false"/>
          <w:color w:val="262626"/>
          <w:sz w:val="21"/>
          <w:szCs w:val="21"/>
        </w:rPr>
        <w:t xml:space="preserve">Notification. </w:t>
      </w:r>
      <w:r>
        <w:rPr>
          <w:rFonts w:ascii="Calibri" w:cs="Calibri" w:eastAsia="Calibri" w:hAnsi="Calibri"/>
          <w:b w:val="false"/>
          <w:bCs w:val="false"/>
          <w:i w:val="false"/>
          <w:iCs w:val="false"/>
          <w:color w:val="262626"/>
          <w:sz w:val="21"/>
          <w:szCs w:val="21"/>
        </w:rPr>
        <w:t xml:space="preserve">Required by the service-staff hierarchy and by three personas, and it will be required by the notification requirement recommended above. It was on the board and has been dropped.</w:t>
      </w:r>
    </w:p>
    <w:p>
      <w:pPr>
        <w:pStyle w:val="ListParagraph"/>
        <w:numPr>
          <w:ilvl w:val="0"/>
          <w:numId w:val="2"/>
        </w:numPr>
        <w:spacing w:after="55" w:line="258"/>
      </w:pPr>
      <w:r>
        <w:rPr>
          <w:rFonts w:ascii="Calibri" w:cs="Calibri" w:eastAsia="Calibri" w:hAnsi="Calibri"/>
          <w:b/>
          <w:bCs/>
          <w:i w:val="false"/>
          <w:iCs w:val="false"/>
          <w:color w:val="262626"/>
          <w:sz w:val="21"/>
          <w:szCs w:val="21"/>
        </w:rPr>
        <w:t xml:space="preserve">User Role. </w:t>
      </w:r>
      <w:r>
        <w:rPr>
          <w:rFonts w:ascii="Calibri" w:cs="Calibri" w:eastAsia="Calibri" w:hAnsi="Calibri"/>
          <w:b w:val="false"/>
          <w:bCs w:val="false"/>
          <w:i w:val="false"/>
          <w:iCs w:val="false"/>
          <w:color w:val="262626"/>
          <w:sz w:val="21"/>
          <w:szCs w:val="21"/>
        </w:rPr>
        <w:t xml:space="preserve">FR-25 and FR-26 both depend on it, and NFR-14 to NFR-16 are expressed in terms of it.</w:t>
      </w:r>
    </w:p>
    <w:p>
      <w:pPr>
        <w:pStyle w:val="ListParagraph"/>
        <w:numPr>
          <w:ilvl w:val="0"/>
          <w:numId w:val="2"/>
        </w:numPr>
        <w:spacing w:after="55" w:line="258"/>
      </w:pPr>
      <w:r>
        <w:rPr>
          <w:rFonts w:ascii="Calibri" w:cs="Calibri" w:eastAsia="Calibri" w:hAnsi="Calibri"/>
          <w:b/>
          <w:bCs/>
          <w:i w:val="false"/>
          <w:iCs w:val="false"/>
          <w:color w:val="262626"/>
          <w:sz w:val="21"/>
          <w:szCs w:val="21"/>
        </w:rPr>
        <w:t xml:space="preserve">Recycled Furniture Preference. </w:t>
      </w:r>
      <w:r>
        <w:rPr>
          <w:rFonts w:ascii="Calibri" w:cs="Calibri" w:eastAsia="Calibri" w:hAnsi="Calibri"/>
          <w:b w:val="false"/>
          <w:bCs w:val="false"/>
          <w:i w:val="false"/>
          <w:iCs w:val="false"/>
          <w:color w:val="262626"/>
          <w:sz w:val="21"/>
          <w:szCs w:val="21"/>
        </w:rPr>
        <w:t xml:space="preserve">FR-11 lets a requester indicate it; nothing records it. Inventory covers the stock, not the preference.</w:t>
      </w:r>
    </w:p>
    <w:p>
      <w:pPr>
        <w:pStyle w:val="ListParagraph"/>
        <w:numPr>
          <w:ilvl w:val="0"/>
          <w:numId w:val="2"/>
        </w:numPr>
        <w:spacing w:after="55" w:line="258"/>
      </w:pPr>
      <w:r>
        <w:rPr>
          <w:rFonts w:ascii="Calibri" w:cs="Calibri" w:eastAsia="Calibri" w:hAnsi="Calibri"/>
          <w:b/>
          <w:bCs/>
          <w:i w:val="false"/>
          <w:iCs w:val="false"/>
          <w:color w:val="262626"/>
          <w:sz w:val="21"/>
          <w:szCs w:val="21"/>
        </w:rPr>
        <w:t xml:space="preserve">Related Request Link. </w:t>
      </w:r>
      <w:r>
        <w:rPr>
          <w:rFonts w:ascii="Calibri" w:cs="Calibri" w:eastAsia="Calibri" w:hAnsi="Calibri"/>
          <w:b w:val="false"/>
          <w:bCs w:val="false"/>
          <w:i w:val="false"/>
          <w:iCs w:val="false"/>
          <w:color w:val="262626"/>
          <w:sz w:val="21"/>
          <w:szCs w:val="21"/>
        </w:rPr>
        <w:t xml:space="preserve">FR-22 resolves duplicates while preserving the surviving request's history, and the staff hierarchy decides which request continues. Nothing records the link between them.</w:t>
      </w:r>
    </w:p>
    <w:p>
      <w:pPr>
        <w:spacing w:after="55" w:before="130"/>
      </w:pPr>
      <w:r>
        <w:rPr>
          <w:rFonts w:ascii="Calibri" w:cs="Calibri" w:eastAsia="Calibri" w:hAnsi="Calibri"/>
          <w:b/>
          <w:bCs/>
          <w:caps/>
          <w:color w:val="8A6018"/>
          <w:sz w:val="18"/>
          <w:szCs w:val="18"/>
        </w:rPr>
        <w:t xml:space="preserve">Clarify</w:t>
      </w:r>
    </w:p>
    <w:p>
      <w:pPr>
        <w:pStyle w:val="ListParagraph"/>
        <w:numPr>
          <w:ilvl w:val="0"/>
          <w:numId w:val="2"/>
        </w:numPr>
        <w:spacing w:after="55" w:line="258"/>
      </w:pPr>
      <w:r>
        <w:rPr>
          <w:rFonts w:ascii="Calibri" w:cs="Calibri" w:eastAsia="Calibri" w:hAnsi="Calibri"/>
          <w:sz w:val="21"/>
          <w:szCs w:val="21"/>
        </w:rPr>
        <w:t xml:space="preserve">Fulfilment Date reads “the date the work order request was completed”. Work order request is neither term; make it one or the other.</w:t>
      </w:r>
    </w:p>
    <w:p>
      <w:pPr>
        <w:pStyle w:val="ListParagraph"/>
        <w:numPr>
          <w:ilvl w:val="0"/>
          <w:numId w:val="2"/>
        </w:numPr>
        <w:spacing w:after="55" w:line="258"/>
      </w:pPr>
      <w:r>
        <w:rPr>
          <w:rFonts w:ascii="Calibri" w:cs="Calibri" w:eastAsia="Calibri" w:hAnsi="Calibri"/>
          <w:sz w:val="21"/>
          <w:szCs w:val="21"/>
        </w:rPr>
        <w:t xml:space="preserve">Client Checklist describes the intake information collected outside the system today. Keep it only if the product is meant to receive it as an attachment; if the intake form replaces it, it is current-state process rather than product data and belongs in Milestone 1.</w:t>
      </w:r>
    </w:p>
    <w:p>
      <w:pPr>
        <w:pStyle w:val="Heading1"/>
        <w:pBdr>
          <w:bottom w:val="single" w:color="1F3864" w:sz="10" w:space="6"/>
        </w:pBdr>
        <w:spacing w:after="150" w:before="240"/>
      </w:pPr>
      <w:r>
        <w:rPr>
          <w:rFonts w:ascii="Calibri" w:cs="Calibri" w:eastAsia="Calibri" w:hAnsi="Calibri"/>
          <w:b/>
          <w:bCs/>
          <w:color w:val="1F3864"/>
          <w:sz w:val="29"/>
          <w:szCs w:val="29"/>
        </w:rPr>
        <w:t xml:space="preserve">5.  User Characterization</w:t>
      </w:r>
    </w:p>
    <w:p>
      <w:pPr>
        <w:spacing w:after="100" w:before="0" w:line="264"/>
      </w:pPr>
      <w:r>
        <w:rPr>
          <w:rFonts w:ascii="Calibri" w:cs="Calibri" w:eastAsia="Calibri" w:hAnsi="Calibri"/>
          <w:color w:val="262626"/>
          <w:sz w:val="21"/>
          <w:szCs w:val="21"/>
        </w:rPr>
        <w:t xml:space="preserve">This section meets the rubric closely. All five required dimensions are covered, each is grounded in the Milestone 1 research rather than asserted, and — the part that matters most — each is followed by the design constraint it creates. The abilities paragraph is handled with unusual care: rather than treating the absence of an identified accessibility profile as permission to ignore the question, it says plainly that it would be unsafe to read absence of evidence as evidence of absence, and designs inclusively by default. The closing finding, that frequency of use rather than age or ability is the sharpest difference between users, is a real conclusion and it is carried through into the non-functional requirements.</w:t>
      </w:r>
    </w:p>
    <w:p>
      <w:pPr>
        <w:spacing w:after="55" w:before="130"/>
      </w:pPr>
      <w:r>
        <w:rPr>
          <w:rFonts w:ascii="Calibri" w:cs="Calibri" w:eastAsia="Calibri" w:hAnsi="Calibri"/>
          <w:b/>
          <w:bCs/>
          <w:caps/>
          <w:color w:val="8A6018"/>
          <w:sz w:val="18"/>
          <w:szCs w:val="18"/>
        </w:rPr>
        <w:t xml:space="preserve">Two refinements</w:t>
      </w:r>
    </w:p>
    <w:p>
      <w:pPr>
        <w:pStyle w:val="ListParagraph"/>
        <w:numPr>
          <w:ilvl w:val="0"/>
          <w:numId w:val="2"/>
        </w:numPr>
        <w:spacing w:after="55" w:line="258"/>
      </w:pPr>
      <w:r>
        <w:rPr>
          <w:rFonts w:ascii="Calibri" w:cs="Calibri" w:eastAsia="Calibri" w:hAnsi="Calibri"/>
          <w:sz w:val="21"/>
          <w:szCs w:val="21"/>
        </w:rPr>
        <w:t xml:space="preserve">The rubric asks for reading levels to be formulated. The section describes them — “those of general professional workplace communication” — rather than setting one. A stated target, such as plain language at a Grade 9 level consistent with Government of Alberta plain-language guidance, is checkable where the description is not.</w:t>
      </w:r>
    </w:p>
    <w:p>
      <w:pPr>
        <w:pStyle w:val="ListParagraph"/>
        <w:numPr>
          <w:ilvl w:val="0"/>
          <w:numId w:val="2"/>
        </w:numPr>
        <w:spacing w:after="55" w:line="258"/>
      </w:pPr>
      <w:r>
        <w:rPr>
          <w:rFonts w:ascii="Calibri" w:cs="Calibri" w:eastAsia="Calibri" w:hAnsi="Calibri"/>
          <w:sz w:val="21"/>
          <w:szCs w:val="21"/>
        </w:rPr>
        <w:t xml:space="preserve">The cultural paragraph is titled “Cultural and organizational context” and is strongest on the organizational half. The cultural half concludes that no profile was identified. That is honest, but it sits oddly beside two personas whose defining cultural attribute is a heritage. Either the heritage informs the design, in which case the characterization should say how, or it does not, in which case the personas should not lead with it.</w:t>
      </w:r>
    </w:p>
    <w:p>
      <w:pPr>
        <w:pStyle w:val="Heading1"/>
        <w:pBdr>
          <w:bottom w:val="single" w:color="1F3864" w:sz="10" w:space="6"/>
        </w:pBdr>
        <w:spacing w:after="150" w:before="240"/>
      </w:pPr>
      <w:r>
        <w:rPr>
          <w:rFonts w:ascii="Calibri" w:cs="Calibri" w:eastAsia="Calibri" w:hAnsi="Calibri"/>
          <w:b/>
          <w:bCs/>
          <w:color w:val="1F3864"/>
          <w:sz w:val="29"/>
          <w:szCs w:val="29"/>
        </w:rPr>
        <w:t xml:space="preserve">6.  Personas</w:t>
      </w:r>
    </w:p>
    <w:p>
      <w:pPr>
        <w:spacing w:after="100" w:before="0" w:line="264"/>
      </w:pPr>
      <w:r>
        <w:rPr>
          <w:rFonts w:ascii="Calibri" w:cs="Calibri" w:eastAsia="Calibri" w:hAnsi="Calibri"/>
          <w:color w:val="262626"/>
          <w:sz w:val="21"/>
          <w:szCs w:val="21"/>
        </w:rPr>
        <w:t xml:space="preserve">Four personas, professionally formatted, each with a quote, goals, motivations, frustrations, needs and design opportunities, and each mapped to a user group. They vary along the axis the characterization identified, which is the right axis, and adding Daniel to represent the service side is a sound decision given that section 7 names Infrastructure staff as secondary users. Kevin and Priya are distinguished more clearly here than on the board, where their technical backgrounds were described in nearly identical words.</w:t>
      </w:r>
    </w:p>
    <w:p>
      <w:pPr>
        <w:spacing w:after="100" w:before="0" w:line="264"/>
      </w:pPr>
      <w:r>
        <w:rPr>
          <w:rFonts w:ascii="Calibri" w:cs="Calibri" w:eastAsia="Calibri" w:hAnsi="Calibri"/>
          <w:color w:val="262626"/>
          <w:sz w:val="21"/>
          <w:szCs w:val="21"/>
        </w:rPr>
        <w:t xml:space="preserve">Two problems are worth fixing before submission, because they touch rubric lines directly.</w:t>
      </w:r>
    </w:p>
    <w:p>
      <w:pPr>
        <w:spacing w:after="55" w:before="130"/>
      </w:pPr>
      <w:r>
        <w:rPr>
          <w:rFonts w:ascii="Calibri" w:cs="Calibri" w:eastAsia="Calibri" w:hAnsi="Calibri"/>
          <w:b/>
          <w:bCs/>
          <w:caps/>
          <w:color w:val="9C2B2B"/>
          <w:sz w:val="18"/>
          <w:szCs w:val="18"/>
        </w:rPr>
        <w:t xml:space="preserve">Abilities</w:t>
      </w:r>
    </w:p>
    <w:p>
      <w:pPr>
        <w:spacing w:after="90" w:before="0" w:line="264"/>
      </w:pPr>
      <w:r>
        <w:rPr>
          <w:rFonts w:ascii="Calibri" w:cs="Calibri" w:eastAsia="Calibri" w:hAnsi="Calibri"/>
          <w:color w:val="262626"/>
          <w:sz w:val="21"/>
          <w:szCs w:val="21"/>
        </w:rPr>
        <w:t xml:space="preserve">All four personas record “no known accessibility needs”. Section 7 spends a paragraph arguing that this cannot be assumed of a workforce this size, and section 10 lists it as an open issue — so the personas contradict the characterization they are supposed to be consistent with, and the set as a whole represents no variation in ability at all. The fix is small and need not be tokenistic: a permanent constraint on one persona, or a situational one, which is truer to this user group anyway. Elena works in interrupted sessions on a small screen; Priya spends her day in the system and would plausibly work at increased display scaling and by keyboard. Either makes the set honest without inventing a user.</w:t>
      </w:r>
    </w:p>
    <w:p>
      <w:pPr>
        <w:spacing w:after="55" w:before="130"/>
      </w:pPr>
      <w:r>
        <w:rPr>
          <w:rFonts w:ascii="Calibri" w:cs="Calibri" w:eastAsia="Calibri" w:hAnsi="Calibri"/>
          <w:b/>
          <w:bCs/>
          <w:caps/>
          <w:color w:val="8A6018"/>
          <w:sz w:val="18"/>
          <w:szCs w:val="18"/>
        </w:rPr>
        <w:t xml:space="preserve">Cultural background</w:t>
      </w:r>
    </w:p>
    <w:p>
      <w:pPr>
        <w:spacing w:after="90" w:before="0" w:line="264"/>
      </w:pPr>
      <w:r>
        <w:rPr>
          <w:rFonts w:ascii="Calibri" w:cs="Calibri" w:eastAsia="Calibri" w:hAnsi="Calibri"/>
          <w:color w:val="262626"/>
          <w:sz w:val="21"/>
          <w:szCs w:val="21"/>
        </w:rPr>
        <w:t xml:space="preserve">Kevin's field reads “Of Japanese heritage; works in a central Edmonton office” and Elena's reads “French Canadian”. Neither heritage produces a design consequence anywhere in the document, which is the pattern the rubric describes as background that is mentioned but fails to inform design constraints. Priya's and Daniel's fields are better, because they describe how the person works across teams and handoffs — which does shape the product. Bring Kevin's and Elena's into line: keep the heritage if it carries a consequence and state the consequence, or replace it with the organizational context that does.</w:t>
      </w:r>
    </w:p>
    <w:p>
      <w:pPr>
        <w:spacing w:after="90" w:before="0" w:line="264"/>
      </w:pPr>
      <w:r>
        <w:rPr>
          <w:rFonts w:ascii="Calibri" w:cs="Calibri" w:eastAsia="Calibri" w:hAnsi="Calibri"/>
          <w:color w:val="262626"/>
          <w:sz w:val="21"/>
          <w:szCs w:val="21"/>
        </w:rPr>
        <w:t xml:space="preserve">A related point: Elena Rostova is described as French Canadian. The pairing is entirely possible, but a reader will notice it, and the board has the same pairing. Make it deliberate — a Francophone Albertan with a Russian family name, whose first language is French and who is slowed by unexplained acronyms — or change one of the two.</w:t>
      </w:r>
    </w:p>
    <w:p>
      <w:pPr>
        <w:spacing w:after="55" w:before="130"/>
      </w:pPr>
      <w:r>
        <w:rPr>
          <w:rFonts w:ascii="Calibri" w:cs="Calibri" w:eastAsia="Calibri" w:hAnsi="Calibri"/>
          <w:b/>
          <w:bCs/>
          <w:caps/>
          <w:color w:val="595959"/>
          <w:sz w:val="18"/>
          <w:szCs w:val="18"/>
        </w:rPr>
        <w:t xml:space="preserve">Smaller notes</w:t>
      </w:r>
    </w:p>
    <w:p>
      <w:pPr>
        <w:pStyle w:val="ListParagraph"/>
        <w:numPr>
          <w:ilvl w:val="0"/>
          <w:numId w:val="2"/>
        </w:numPr>
        <w:spacing w:after="55" w:line="258"/>
      </w:pPr>
      <w:r>
        <w:rPr>
          <w:rFonts w:ascii="Calibri" w:cs="Calibri" w:eastAsia="Calibri" w:hAnsi="Calibri"/>
          <w:sz w:val="21"/>
          <w:szCs w:val="21"/>
        </w:rPr>
        <w:t xml:space="preserve">The course persona template includes a short biography. None of the four has one, and two or three sentences each would add the backstory the template asks for.</w:t>
      </w:r>
    </w:p>
    <w:p>
      <w:pPr>
        <w:pStyle w:val="ListParagraph"/>
        <w:numPr>
          <w:ilvl w:val="0"/>
          <w:numId w:val="2"/>
        </w:numPr>
        <w:spacing w:after="55" w:line="258"/>
      </w:pPr>
      <w:r>
        <w:rPr>
          <w:rFonts w:ascii="Calibri" w:cs="Calibri" w:eastAsia="Calibri" w:hAnsi="Calibri"/>
          <w:sz w:val="21"/>
          <w:szCs w:val="21"/>
        </w:rPr>
        <w:t xml:space="preserve">The rubric asks for three personas. Four is not a problem, but if space is tight at submission, Daniel is the one whose absence would cost least — he sits in the secondary user group, and Scenario 7 already carries the service-side perspective.</w:t>
      </w:r>
    </w:p>
    <w:p>
      <w:pPr>
        <w:pStyle w:val="Heading1"/>
        <w:pBdr>
          <w:bottom w:val="single" w:color="1F3864" w:sz="10" w:space="6"/>
        </w:pBdr>
        <w:spacing w:after="150" w:before="240"/>
      </w:pPr>
      <w:r>
        <w:rPr>
          <w:rFonts w:ascii="Calibri" w:cs="Calibri" w:eastAsia="Calibri" w:hAnsi="Calibri"/>
          <w:b/>
          <w:bCs/>
          <w:color w:val="1F3864"/>
          <w:sz w:val="29"/>
          <w:szCs w:val="29"/>
        </w:rPr>
        <w:t xml:space="preserve">Copy-edits</w:t>
      </w:r>
    </w:p>
    <w:p>
      <w:pPr>
        <w:spacing w:after="100" w:before="0" w:line="264"/>
      </w:pPr>
      <w:r>
        <w:rPr>
          <w:rFonts w:ascii="Calibri" w:cs="Calibri" w:eastAsia="Calibri" w:hAnsi="Calibri"/>
          <w:color w:val="262626"/>
          <w:sz w:val="21"/>
          <w:szCs w:val="21"/>
        </w:rPr>
        <w:t xml:space="preserve">Line-level changes, in document order. None of them changes an argument.</w:t>
      </w:r>
    </w:p>
    <w:tbl>
      <w:tblPr>
        <w:tblW w:type="dxa" w:w="9360"/>
        <w:tblBorders>
          <w:top w:val="single" w:color="BFCCE0" w:sz="4"/>
          <w:left w:val="single" w:color="BFCCE0" w:sz="4"/>
          <w:bottom w:val="single" w:color="BFCCE0" w:sz="4"/>
          <w:right w:val="single" w:color="BFCCE0" w:sz="4"/>
          <w:insideH w:val="single" w:color="D8E0EC" w:sz="2"/>
          <w:insideV w:val="single" w:color="D8E0EC" w:sz="2"/>
        </w:tblBorders>
      </w:tblPr>
      <w:tblGrid>
        <w:gridCol w:w="2000"/>
        <w:gridCol w:w="3600"/>
        <w:gridCol w:w="3760"/>
      </w:tblGrid>
      <w:tr>
        <w:trPr>
          <w:tblHeader/>
        </w:trPr>
        <w:tc>
          <w:tcPr>
            <w:tcW w:type="dxa" w:w="2000"/>
            <w:shd w:fill="1F3864" w:color="auto" w:val="clear"/>
            <w:tcMar>
              <w:top w:type="dxa" w:w="60"/>
              <w:left w:type="dxa" w:w="105"/>
              <w:bottom w:type="dxa" w:w="60"/>
              <w:right w:type="dxa" w:w="105"/>
            </w:tcMar>
          </w:tcPr>
          <w:p>
            <w:pPr>
              <w:spacing w:after="0" w:line="252"/>
            </w:pPr>
            <w:r>
              <w:rPr>
                <w:rFonts w:ascii="Calibri" w:cs="Calibri" w:eastAsia="Calibri" w:hAnsi="Calibri"/>
                <w:b/>
                <w:bCs/>
                <w:color w:val="FFFFFF"/>
                <w:sz w:val="19"/>
                <w:szCs w:val="19"/>
              </w:rPr>
              <w:t xml:space="preserve">Where</w:t>
            </w:r>
          </w:p>
        </w:tc>
        <w:tc>
          <w:tcPr>
            <w:tcW w:type="dxa" w:w="3600"/>
            <w:shd w:fill="1F3864" w:color="auto" w:val="clear"/>
            <w:tcMar>
              <w:top w:type="dxa" w:w="60"/>
              <w:left w:type="dxa" w:w="105"/>
              <w:bottom w:type="dxa" w:w="60"/>
              <w:right w:type="dxa" w:w="105"/>
            </w:tcMar>
          </w:tcPr>
          <w:p>
            <w:pPr>
              <w:spacing w:after="0" w:line="252"/>
            </w:pPr>
            <w:r>
              <w:rPr>
                <w:rFonts w:ascii="Calibri" w:cs="Calibri" w:eastAsia="Calibri" w:hAnsi="Calibri"/>
                <w:b/>
                <w:bCs/>
                <w:color w:val="FFFFFF"/>
                <w:sz w:val="19"/>
                <w:szCs w:val="19"/>
              </w:rPr>
              <w:t xml:space="preserve">Reads</w:t>
            </w:r>
          </w:p>
        </w:tc>
        <w:tc>
          <w:tcPr>
            <w:tcW w:type="dxa" w:w="3760"/>
            <w:shd w:fill="1F3864" w:color="auto" w:val="clear"/>
            <w:tcMar>
              <w:top w:type="dxa" w:w="60"/>
              <w:left w:type="dxa" w:w="105"/>
              <w:bottom w:type="dxa" w:w="60"/>
              <w:right w:type="dxa" w:w="105"/>
            </w:tcMar>
          </w:tcPr>
          <w:p>
            <w:pPr>
              <w:spacing w:after="0" w:line="252"/>
            </w:pPr>
            <w:r>
              <w:rPr>
                <w:rFonts w:ascii="Calibri" w:cs="Calibri" w:eastAsia="Calibri" w:hAnsi="Calibri"/>
                <w:b/>
                <w:bCs/>
                <w:color w:val="FFFFFF"/>
                <w:sz w:val="19"/>
                <w:szCs w:val="19"/>
              </w:rPr>
              <w:t xml:space="preserve">Change to</w:t>
            </w:r>
          </w:p>
        </w:tc>
      </w:tr>
      <w:tr>
        <w:trPr>
          <w:cantSplit/>
        </w:trPr>
        <w:tc>
          <w:tcPr>
            <w:tcW w:type="dxa" w:w="2000"/>
            <w:tcMar>
              <w:top w:type="dxa" w:w="60"/>
              <w:left w:type="dxa" w:w="105"/>
              <w:bottom w:type="dxa" w:w="60"/>
              <w:right w:type="dxa" w:w="105"/>
            </w:tcMar>
          </w:tcPr>
          <w:p>
            <w:pPr>
              <w:spacing w:after="0" w:line="252"/>
            </w:pPr>
            <w:r>
              <w:rPr>
                <w:rFonts w:ascii="Calibri" w:cs="Calibri" w:eastAsia="Calibri" w:hAnsi="Calibri"/>
                <w:b/>
                <w:bCs/>
                <w:color w:val="262626"/>
                <w:sz w:val="19"/>
                <w:szCs w:val="19"/>
              </w:rPr>
              <w:t xml:space="preserve">FR-01</w:t>
            </w:r>
          </w:p>
        </w:tc>
        <w:tc>
          <w:tcPr>
            <w:tcW w:type="dxa" w:w="3600"/>
            <w:tcMar>
              <w:top w:type="dxa" w:w="60"/>
              <w:left w:type="dxa" w:w="105"/>
              <w:bottom w:type="dxa" w:w="60"/>
              <w:right w:type="dxa" w:w="105"/>
            </w:tcMar>
          </w:tcPr>
          <w:p>
            <w:pPr>
              <w:spacing w:after="0" w:line="252"/>
            </w:pPr>
            <w:r>
              <w:rPr>
                <w:rFonts w:ascii="Calibri" w:cs="Calibri" w:eastAsia="Calibri" w:hAnsi="Calibri"/>
                <w:b w:val="false"/>
                <w:bCs w:val="false"/>
                <w:color w:val="262626"/>
                <w:sz w:val="19"/>
                <w:szCs w:val="19"/>
              </w:rPr>
              <w:t xml:space="preserve">“create a furniture work order for all supported request types”</w:t>
            </w:r>
          </w:p>
        </w:tc>
        <w:tc>
          <w:tcPr>
            <w:tcW w:type="dxa" w:w="3760"/>
            <w:tcMar>
              <w:top w:type="dxa" w:w="60"/>
              <w:left w:type="dxa" w:w="105"/>
              <w:bottom w:type="dxa" w:w="60"/>
              <w:right w:type="dxa" w:w="105"/>
            </w:tcMar>
          </w:tcPr>
          <w:p>
            <w:pPr>
              <w:spacing w:after="0" w:line="252"/>
            </w:pPr>
            <w:r>
              <w:rPr>
                <w:rFonts w:ascii="Calibri" w:cs="Calibri" w:eastAsia="Calibri" w:hAnsi="Calibri"/>
                <w:b w:val="false"/>
                <w:bCs w:val="false"/>
                <w:color w:val="262626"/>
                <w:sz w:val="19"/>
                <w:szCs w:val="19"/>
              </w:rPr>
              <w:t xml:space="preserve">“create a Furniture Request for all supported request types”</w:t>
            </w:r>
          </w:p>
        </w:tc>
      </w:tr>
      <w:tr>
        <w:trPr>
          <w:cantSplit/>
        </w:trPr>
        <w:tc>
          <w:tcPr>
            <w:tcW w:type="dxa" w:w="2000"/>
            <w:shd w:fill="FAFBFD" w:color="auto" w:val="clear"/>
            <w:tcMar>
              <w:top w:type="dxa" w:w="60"/>
              <w:left w:type="dxa" w:w="105"/>
              <w:bottom w:type="dxa" w:w="60"/>
              <w:right w:type="dxa" w:w="105"/>
            </w:tcMar>
          </w:tcPr>
          <w:p>
            <w:pPr>
              <w:spacing w:after="0" w:line="252"/>
            </w:pPr>
            <w:r>
              <w:rPr>
                <w:rFonts w:ascii="Calibri" w:cs="Calibri" w:eastAsia="Calibri" w:hAnsi="Calibri"/>
                <w:b/>
                <w:bCs/>
                <w:color w:val="262626"/>
                <w:sz w:val="19"/>
                <w:szCs w:val="19"/>
              </w:rPr>
              <w:t xml:space="preserve">Section 1</w:t>
            </w:r>
          </w:p>
        </w:tc>
        <w:tc>
          <w:tcPr>
            <w:tcW w:type="dxa" w:w="3600"/>
            <w:shd w:fill="FAFBFD" w:color="auto" w:val="clear"/>
            <w:tcMar>
              <w:top w:type="dxa" w:w="60"/>
              <w:left w:type="dxa" w:w="105"/>
              <w:bottom w:type="dxa" w:w="60"/>
              <w:right w:type="dxa" w:w="105"/>
            </w:tcMar>
          </w:tcPr>
          <w:p>
            <w:pPr>
              <w:spacing w:after="0" w:line="252"/>
            </w:pPr>
            <w:r>
              <w:rPr>
                <w:rFonts w:ascii="Calibri" w:cs="Calibri" w:eastAsia="Calibri" w:hAnsi="Calibri"/>
                <w:b w:val="false"/>
                <w:bCs w:val="false"/>
                <w:color w:val="262626"/>
                <w:sz w:val="19"/>
                <w:szCs w:val="19"/>
              </w:rPr>
              <w:t xml:space="preserve">No definition of Work Order against Furniture Request</w:t>
            </w:r>
          </w:p>
        </w:tc>
        <w:tc>
          <w:tcPr>
            <w:tcW w:type="dxa" w:w="3760"/>
            <w:shd w:fill="FAFBFD" w:color="auto" w:val="clear"/>
            <w:tcMar>
              <w:top w:type="dxa" w:w="60"/>
              <w:left w:type="dxa" w:w="105"/>
              <w:bottom w:type="dxa" w:w="60"/>
              <w:right w:type="dxa" w:w="105"/>
            </w:tcMar>
          </w:tcPr>
          <w:p>
            <w:pPr>
              <w:spacing w:after="0" w:line="252"/>
            </w:pPr>
            <w:r>
              <w:rPr>
                <w:rFonts w:ascii="Calibri" w:cs="Calibri" w:eastAsia="Calibri" w:hAnsi="Calibri"/>
                <w:b w:val="false"/>
                <w:bCs w:val="false"/>
                <w:color w:val="262626"/>
                <w:sz w:val="19"/>
                <w:szCs w:val="19"/>
              </w:rPr>
              <w:t xml:space="preserve">Add one sentence distinguishing the request a CMAC submits from the work order created to fulfil it</w:t>
            </w:r>
          </w:p>
        </w:tc>
      </w:tr>
      <w:tr>
        <w:trPr>
          <w:cantSplit/>
        </w:trPr>
        <w:tc>
          <w:tcPr>
            <w:tcW w:type="dxa" w:w="2000"/>
            <w:tcMar>
              <w:top w:type="dxa" w:w="60"/>
              <w:left w:type="dxa" w:w="105"/>
              <w:bottom w:type="dxa" w:w="60"/>
              <w:right w:type="dxa" w:w="105"/>
            </w:tcMar>
          </w:tcPr>
          <w:p>
            <w:pPr>
              <w:spacing w:after="0" w:line="252"/>
            </w:pPr>
            <w:r>
              <w:rPr>
                <w:rFonts w:ascii="Calibri" w:cs="Calibri" w:eastAsia="Calibri" w:hAnsi="Calibri"/>
                <w:b/>
                <w:bCs/>
                <w:color w:val="262626"/>
                <w:sz w:val="19"/>
                <w:szCs w:val="19"/>
              </w:rPr>
              <w:t xml:space="preserve">NFR-03 / NFR-04</w:t>
            </w:r>
          </w:p>
        </w:tc>
        <w:tc>
          <w:tcPr>
            <w:tcW w:type="dxa" w:w="3600"/>
            <w:tcMar>
              <w:top w:type="dxa" w:w="60"/>
              <w:left w:type="dxa" w:w="105"/>
              <w:bottom w:type="dxa" w:w="60"/>
              <w:right w:type="dxa" w:w="105"/>
            </w:tcMar>
          </w:tcPr>
          <w:p>
            <w:pPr>
              <w:spacing w:after="0" w:line="252"/>
            </w:pPr>
            <w:r>
              <w:rPr>
                <w:rFonts w:ascii="Calibri" w:cs="Calibri" w:eastAsia="Calibri" w:hAnsi="Calibri"/>
                <w:b w:val="false"/>
                <w:bCs w:val="false"/>
                <w:color w:val="262626"/>
                <w:sz w:val="19"/>
                <w:szCs w:val="19"/>
              </w:rPr>
              <w:t xml:space="preserve">Two requirements about new and experienced users completing a request</w:t>
            </w:r>
          </w:p>
        </w:tc>
        <w:tc>
          <w:tcPr>
            <w:tcW w:type="dxa" w:w="3760"/>
            <w:tcMar>
              <w:top w:type="dxa" w:w="60"/>
              <w:left w:type="dxa" w:w="105"/>
              <w:bottom w:type="dxa" w:w="60"/>
              <w:right w:type="dxa" w:w="105"/>
            </w:tcMar>
          </w:tcPr>
          <w:p>
            <w:pPr>
              <w:spacing w:after="0" w:line="252"/>
            </w:pPr>
            <w:r>
              <w:rPr>
                <w:rFonts w:ascii="Calibri" w:cs="Calibri" w:eastAsia="Calibri" w:hAnsi="Calibri"/>
                <w:b w:val="false"/>
                <w:bCs w:val="false"/>
                <w:color w:val="262626"/>
                <w:sz w:val="19"/>
                <w:szCs w:val="19"/>
              </w:rPr>
              <w:t xml:space="preserve">Merge into one</w:t>
            </w:r>
          </w:p>
        </w:tc>
      </w:tr>
      <w:tr>
        <w:trPr>
          <w:cantSplit/>
        </w:trPr>
        <w:tc>
          <w:tcPr>
            <w:tcW w:type="dxa" w:w="2000"/>
            <w:shd w:fill="FAFBFD" w:color="auto" w:val="clear"/>
            <w:tcMar>
              <w:top w:type="dxa" w:w="60"/>
              <w:left w:type="dxa" w:w="105"/>
              <w:bottom w:type="dxa" w:w="60"/>
              <w:right w:type="dxa" w:w="105"/>
            </w:tcMar>
          </w:tcPr>
          <w:p>
            <w:pPr>
              <w:spacing w:after="0" w:line="252"/>
            </w:pPr>
            <w:r>
              <w:rPr>
                <w:rFonts w:ascii="Calibri" w:cs="Calibri" w:eastAsia="Calibri" w:hAnsi="Calibri"/>
                <w:b/>
                <w:bCs/>
                <w:color w:val="262626"/>
                <w:sz w:val="19"/>
                <w:szCs w:val="19"/>
              </w:rPr>
              <w:t xml:space="preserve">NFR-07 / NFR-08</w:t>
            </w:r>
          </w:p>
        </w:tc>
        <w:tc>
          <w:tcPr>
            <w:tcW w:type="dxa" w:w="3600"/>
            <w:shd w:fill="FAFBFD" w:color="auto" w:val="clear"/>
            <w:tcMar>
              <w:top w:type="dxa" w:w="60"/>
              <w:left w:type="dxa" w:w="105"/>
              <w:bottom w:type="dxa" w:w="60"/>
              <w:right w:type="dxa" w:w="105"/>
            </w:tcMar>
          </w:tcPr>
          <w:p>
            <w:pPr>
              <w:spacing w:after="0" w:line="252"/>
            </w:pPr>
            <w:r>
              <w:rPr>
                <w:rFonts w:ascii="Calibri" w:cs="Calibri" w:eastAsia="Calibri" w:hAnsi="Calibri"/>
                <w:b w:val="false"/>
                <w:bCs w:val="false"/>
                <w:color w:val="262626"/>
                <w:sz w:val="19"/>
                <w:szCs w:val="19"/>
              </w:rPr>
              <w:t xml:space="preserve">“without interpretation or enquiry” and “clear, familiar workplace language” overlap</w:t>
            </w:r>
          </w:p>
        </w:tc>
        <w:tc>
          <w:tcPr>
            <w:tcW w:type="dxa" w:w="3760"/>
            <w:shd w:fill="FAFBFD" w:color="auto" w:val="clear"/>
            <w:tcMar>
              <w:top w:type="dxa" w:w="60"/>
              <w:left w:type="dxa" w:w="105"/>
              <w:bottom w:type="dxa" w:w="60"/>
              <w:right w:type="dxa" w:w="105"/>
            </w:tcMar>
          </w:tcPr>
          <w:p>
            <w:pPr>
              <w:spacing w:after="0" w:line="252"/>
            </w:pPr>
            <w:r>
              <w:rPr>
                <w:rFonts w:ascii="Calibri" w:cs="Calibri" w:eastAsia="Calibri" w:hAnsi="Calibri"/>
                <w:b w:val="false"/>
                <w:bCs w:val="false"/>
                <w:color w:val="262626"/>
                <w:sz w:val="19"/>
                <w:szCs w:val="19"/>
              </w:rPr>
              <w:t xml:space="preserve">Keep NFR-08; fold the status point into NFR-07 alone</w:t>
            </w:r>
          </w:p>
        </w:tc>
      </w:tr>
      <w:tr>
        <w:trPr>
          <w:cantSplit/>
        </w:trPr>
        <w:tc>
          <w:tcPr>
            <w:tcW w:type="dxa" w:w="2000"/>
            <w:tcMar>
              <w:top w:type="dxa" w:w="60"/>
              <w:left w:type="dxa" w:w="105"/>
              <w:bottom w:type="dxa" w:w="60"/>
              <w:right w:type="dxa" w:w="105"/>
            </w:tcMar>
          </w:tcPr>
          <w:p>
            <w:pPr>
              <w:spacing w:after="0" w:line="252"/>
            </w:pPr>
            <w:r>
              <w:rPr>
                <w:rFonts w:ascii="Calibri" w:cs="Calibri" w:eastAsia="Calibri" w:hAnsi="Calibri"/>
                <w:b/>
                <w:bCs/>
                <w:color w:val="262626"/>
                <w:sz w:val="19"/>
                <w:szCs w:val="19"/>
              </w:rPr>
              <w:t xml:space="preserve">Section 4.2</w:t>
            </w:r>
          </w:p>
        </w:tc>
        <w:tc>
          <w:tcPr>
            <w:tcW w:type="dxa" w:w="3600"/>
            <w:tcMar>
              <w:top w:type="dxa" w:w="60"/>
              <w:left w:type="dxa" w:w="105"/>
              <w:bottom w:type="dxa" w:w="60"/>
              <w:right w:type="dxa" w:w="105"/>
            </w:tcMar>
          </w:tcPr>
          <w:p>
            <w:pPr>
              <w:spacing w:after="0" w:line="252"/>
            </w:pPr>
            <w:r>
              <w:rPr>
                <w:rFonts w:ascii="Calibri" w:cs="Calibri" w:eastAsia="Calibri" w:hAnsi="Calibri"/>
                <w:b w:val="false"/>
                <w:bCs w:val="false"/>
                <w:color w:val="262626"/>
                <w:sz w:val="19"/>
                <w:szCs w:val="19"/>
              </w:rPr>
              <w:t xml:space="preserve">“Receive submission confirmation”</w:t>
            </w:r>
          </w:p>
        </w:tc>
        <w:tc>
          <w:tcPr>
            <w:tcW w:type="dxa" w:w="3760"/>
            <w:tcMar>
              <w:top w:type="dxa" w:w="60"/>
              <w:left w:type="dxa" w:w="105"/>
              <w:bottom w:type="dxa" w:w="60"/>
              <w:right w:type="dxa" w:w="105"/>
            </w:tcMar>
          </w:tcPr>
          <w:p>
            <w:pPr>
              <w:spacing w:after="0" w:line="252"/>
            </w:pPr>
            <w:r>
              <w:rPr>
                <w:rFonts w:ascii="Calibri" w:cs="Calibri" w:eastAsia="Calibri" w:hAnsi="Calibri"/>
                <w:b w:val="false"/>
                <w:bCs w:val="false"/>
                <w:color w:val="262626"/>
                <w:sz w:val="19"/>
                <w:szCs w:val="19"/>
              </w:rPr>
              <w:t xml:space="preserve">“Confirm the request was received”</w:t>
            </w:r>
          </w:p>
        </w:tc>
      </w:tr>
      <w:tr>
        <w:trPr>
          <w:cantSplit/>
        </w:trPr>
        <w:tc>
          <w:tcPr>
            <w:tcW w:type="dxa" w:w="2000"/>
            <w:shd w:fill="FAFBFD" w:color="auto" w:val="clear"/>
            <w:tcMar>
              <w:top w:type="dxa" w:w="60"/>
              <w:left w:type="dxa" w:w="105"/>
              <w:bottom w:type="dxa" w:w="60"/>
              <w:right w:type="dxa" w:w="105"/>
            </w:tcMar>
          </w:tcPr>
          <w:p>
            <w:pPr>
              <w:spacing w:after="0" w:line="252"/>
            </w:pPr>
            <w:r>
              <w:rPr>
                <w:rFonts w:ascii="Calibri" w:cs="Calibri" w:eastAsia="Calibri" w:hAnsi="Calibri"/>
                <w:b/>
                <w:bCs/>
                <w:color w:val="262626"/>
                <w:sz w:val="19"/>
                <w:szCs w:val="19"/>
              </w:rPr>
              <w:t xml:space="preserve">Scenario 3</w:t>
            </w:r>
          </w:p>
        </w:tc>
        <w:tc>
          <w:tcPr>
            <w:tcW w:type="dxa" w:w="3600"/>
            <w:shd w:fill="FAFBFD" w:color="auto" w:val="clear"/>
            <w:tcMar>
              <w:top w:type="dxa" w:w="60"/>
              <w:left w:type="dxa" w:w="105"/>
              <w:bottom w:type="dxa" w:w="60"/>
              <w:right w:type="dxa" w:w="105"/>
            </w:tcMar>
          </w:tcPr>
          <w:p>
            <w:pPr>
              <w:spacing w:after="0" w:line="252"/>
            </w:pPr>
            <w:r>
              <w:rPr>
                <w:rFonts w:ascii="Calibri" w:cs="Calibri" w:eastAsia="Calibri" w:hAnsi="Calibri"/>
                <w:b w:val="false"/>
                <w:bCs w:val="false"/>
                <w:color w:val="262626"/>
                <w:sz w:val="19"/>
                <w:szCs w:val="19"/>
              </w:rPr>
              <w:t xml:space="preserve">“fourteen chairs for an office in Calgary”</w:t>
            </w:r>
          </w:p>
        </w:tc>
        <w:tc>
          <w:tcPr>
            <w:tcW w:type="dxa" w:w="3760"/>
            <w:shd w:fill="FAFBFD" w:color="auto" w:val="clear"/>
            <w:tcMar>
              <w:top w:type="dxa" w:w="60"/>
              <w:left w:type="dxa" w:w="105"/>
              <w:bottom w:type="dxa" w:w="60"/>
              <w:right w:type="dxa" w:w="105"/>
            </w:tcMar>
          </w:tcPr>
          <w:p>
            <w:pPr>
              <w:spacing w:after="0" w:line="252"/>
            </w:pPr>
            <w:r>
              <w:rPr>
                <w:rFonts w:ascii="Calibri" w:cs="Calibri" w:eastAsia="Calibri" w:hAnsi="Calibri"/>
                <w:b w:val="false"/>
                <w:bCs w:val="false"/>
                <w:color w:val="262626"/>
                <w:sz w:val="19"/>
                <w:szCs w:val="19"/>
              </w:rPr>
              <w:t xml:space="preserve">“fourteen chairs for an office in Edmonton”</w:t>
            </w:r>
          </w:p>
        </w:tc>
      </w:tr>
      <w:tr>
        <w:trPr>
          <w:cantSplit/>
        </w:trPr>
        <w:tc>
          <w:tcPr>
            <w:tcW w:type="dxa" w:w="2000"/>
            <w:tcMar>
              <w:top w:type="dxa" w:w="60"/>
              <w:left w:type="dxa" w:w="105"/>
              <w:bottom w:type="dxa" w:w="60"/>
              <w:right w:type="dxa" w:w="105"/>
            </w:tcMar>
          </w:tcPr>
          <w:p>
            <w:pPr>
              <w:spacing w:after="0" w:line="252"/>
            </w:pPr>
            <w:r>
              <w:rPr>
                <w:rFonts w:ascii="Calibri" w:cs="Calibri" w:eastAsia="Calibri" w:hAnsi="Calibri"/>
                <w:b/>
                <w:bCs/>
                <w:color w:val="262626"/>
                <w:sz w:val="19"/>
                <w:szCs w:val="19"/>
              </w:rPr>
              <w:t xml:space="preserve">Data dictionary</w:t>
            </w:r>
          </w:p>
        </w:tc>
        <w:tc>
          <w:tcPr>
            <w:tcW w:type="dxa" w:w="3600"/>
            <w:tcMar>
              <w:top w:type="dxa" w:w="60"/>
              <w:left w:type="dxa" w:w="105"/>
              <w:bottom w:type="dxa" w:w="60"/>
              <w:right w:type="dxa" w:w="105"/>
            </w:tcMar>
          </w:tcPr>
          <w:p>
            <w:pPr>
              <w:spacing w:after="0" w:line="252"/>
            </w:pPr>
            <w:r>
              <w:rPr>
                <w:rFonts w:ascii="Calibri" w:cs="Calibri" w:eastAsia="Calibri" w:hAnsi="Calibri"/>
                <w:b w:val="false"/>
                <w:bCs w:val="false"/>
                <w:color w:val="262626"/>
                <w:sz w:val="19"/>
                <w:szCs w:val="19"/>
              </w:rPr>
              <w:t xml:space="preserve">Fulfilment Date: “the work order request was completed”</w:t>
            </w:r>
          </w:p>
        </w:tc>
        <w:tc>
          <w:tcPr>
            <w:tcW w:type="dxa" w:w="3760"/>
            <w:tcMar>
              <w:top w:type="dxa" w:w="60"/>
              <w:left w:type="dxa" w:w="105"/>
              <w:bottom w:type="dxa" w:w="60"/>
              <w:right w:type="dxa" w:w="105"/>
            </w:tcMar>
          </w:tcPr>
          <w:p>
            <w:pPr>
              <w:spacing w:after="0" w:line="252"/>
            </w:pPr>
            <w:r>
              <w:rPr>
                <w:rFonts w:ascii="Calibri" w:cs="Calibri" w:eastAsia="Calibri" w:hAnsi="Calibri"/>
                <w:b w:val="false"/>
                <w:bCs w:val="false"/>
                <w:color w:val="262626"/>
                <w:sz w:val="19"/>
                <w:szCs w:val="19"/>
              </w:rPr>
              <w:t xml:space="preserve">“the work order was completed”</w:t>
            </w:r>
          </w:p>
        </w:tc>
      </w:tr>
      <w:tr>
        <w:trPr>
          <w:cantSplit/>
        </w:trPr>
        <w:tc>
          <w:tcPr>
            <w:tcW w:type="dxa" w:w="2000"/>
            <w:shd w:fill="FAFBFD" w:color="auto" w:val="clear"/>
            <w:tcMar>
              <w:top w:type="dxa" w:w="60"/>
              <w:left w:type="dxa" w:w="105"/>
              <w:bottom w:type="dxa" w:w="60"/>
              <w:right w:type="dxa" w:w="105"/>
            </w:tcMar>
          </w:tcPr>
          <w:p>
            <w:pPr>
              <w:spacing w:after="0" w:line="252"/>
            </w:pPr>
            <w:r>
              <w:rPr>
                <w:rFonts w:ascii="Calibri" w:cs="Calibri" w:eastAsia="Calibri" w:hAnsi="Calibri"/>
                <w:b/>
                <w:bCs/>
                <w:color w:val="262626"/>
                <w:sz w:val="19"/>
                <w:szCs w:val="19"/>
              </w:rPr>
              <w:t xml:space="preserve">Data dictionary</w:t>
            </w:r>
          </w:p>
        </w:tc>
        <w:tc>
          <w:tcPr>
            <w:tcW w:type="dxa" w:w="3600"/>
            <w:shd w:fill="FAFBFD" w:color="auto" w:val="clear"/>
            <w:tcMar>
              <w:top w:type="dxa" w:w="60"/>
              <w:left w:type="dxa" w:w="105"/>
              <w:bottom w:type="dxa" w:w="60"/>
              <w:right w:type="dxa" w:w="105"/>
            </w:tcMar>
          </w:tcPr>
          <w:p>
            <w:pPr>
              <w:spacing w:after="0" w:line="252"/>
            </w:pPr>
            <w:r>
              <w:rPr>
                <w:rFonts w:ascii="Calibri" w:cs="Calibri" w:eastAsia="Calibri" w:hAnsi="Calibri"/>
                <w:b w:val="false"/>
                <w:bCs w:val="false"/>
                <w:color w:val="262626"/>
                <w:sz w:val="19"/>
                <w:szCs w:val="19"/>
              </w:rPr>
              <w:t xml:space="preserve">Submission Confirmation: “the work order was successfully submitted”</w:t>
            </w:r>
          </w:p>
        </w:tc>
        <w:tc>
          <w:tcPr>
            <w:tcW w:type="dxa" w:w="3760"/>
            <w:shd w:fill="FAFBFD" w:color="auto" w:val="clear"/>
            <w:tcMar>
              <w:top w:type="dxa" w:w="60"/>
              <w:left w:type="dxa" w:w="105"/>
              <w:bottom w:type="dxa" w:w="60"/>
              <w:right w:type="dxa" w:w="105"/>
            </w:tcMar>
          </w:tcPr>
          <w:p>
            <w:pPr>
              <w:spacing w:after="0" w:line="252"/>
            </w:pPr>
            <w:r>
              <w:rPr>
                <w:rFonts w:ascii="Calibri" w:cs="Calibri" w:eastAsia="Calibri" w:hAnsi="Calibri"/>
                <w:b w:val="false"/>
                <w:bCs w:val="false"/>
                <w:color w:val="262626"/>
                <w:sz w:val="19"/>
                <w:szCs w:val="19"/>
              </w:rPr>
              <w:t xml:space="preserve">“the Furniture Request was successfully submitted”</w:t>
            </w:r>
          </w:p>
        </w:tc>
      </w:tr>
      <w:tr>
        <w:trPr>
          <w:cantSplit/>
        </w:trPr>
        <w:tc>
          <w:tcPr>
            <w:tcW w:type="dxa" w:w="2000"/>
            <w:tcMar>
              <w:top w:type="dxa" w:w="60"/>
              <w:left w:type="dxa" w:w="105"/>
              <w:bottom w:type="dxa" w:w="60"/>
              <w:right w:type="dxa" w:w="105"/>
            </w:tcMar>
          </w:tcPr>
          <w:p>
            <w:pPr>
              <w:spacing w:after="0" w:line="252"/>
            </w:pPr>
            <w:r>
              <w:rPr>
                <w:rFonts w:ascii="Calibri" w:cs="Calibri" w:eastAsia="Calibri" w:hAnsi="Calibri"/>
                <w:b/>
                <w:bCs/>
                <w:color w:val="262626"/>
                <w:sz w:val="19"/>
                <w:szCs w:val="19"/>
              </w:rPr>
              <w:t xml:space="preserve">Section 7</w:t>
            </w:r>
          </w:p>
        </w:tc>
        <w:tc>
          <w:tcPr>
            <w:tcW w:type="dxa" w:w="3600"/>
            <w:tcMar>
              <w:top w:type="dxa" w:w="60"/>
              <w:left w:type="dxa" w:w="105"/>
              <w:bottom w:type="dxa" w:w="60"/>
              <w:right w:type="dxa" w:w="105"/>
            </w:tcMar>
          </w:tcPr>
          <w:p>
            <w:pPr>
              <w:spacing w:after="0" w:line="252"/>
            </w:pPr>
            <w:r>
              <w:rPr>
                <w:rFonts w:ascii="Calibri" w:cs="Calibri" w:eastAsia="Calibri" w:hAnsi="Calibri"/>
                <w:b w:val="false"/>
                <w:bCs w:val="false"/>
                <w:color w:val="262626"/>
                <w:sz w:val="19"/>
                <w:szCs w:val="19"/>
              </w:rPr>
              <w:t xml:space="preserve">“Reading levels are those of general professional workplace communication”</w:t>
            </w:r>
          </w:p>
        </w:tc>
        <w:tc>
          <w:tcPr>
            <w:tcW w:type="dxa" w:w="3760"/>
            <w:tcMar>
              <w:top w:type="dxa" w:w="60"/>
              <w:left w:type="dxa" w:w="105"/>
              <w:bottom w:type="dxa" w:w="60"/>
              <w:right w:type="dxa" w:w="105"/>
            </w:tcMar>
          </w:tcPr>
          <w:p>
            <w:pPr>
              <w:spacing w:after="0" w:line="252"/>
            </w:pPr>
            <w:r>
              <w:rPr>
                <w:rFonts w:ascii="Calibri" w:cs="Calibri" w:eastAsia="Calibri" w:hAnsi="Calibri"/>
                <w:b w:val="false"/>
                <w:bCs w:val="false"/>
                <w:color w:val="262626"/>
                <w:sz w:val="19"/>
                <w:szCs w:val="19"/>
              </w:rPr>
              <w:t xml:space="preserve">State a target level explicitly</w:t>
            </w:r>
          </w:p>
        </w:tc>
      </w:tr>
      <w:tr>
        <w:trPr>
          <w:cantSplit/>
        </w:trPr>
        <w:tc>
          <w:tcPr>
            <w:tcW w:type="dxa" w:w="2000"/>
            <w:shd w:fill="FAFBFD" w:color="auto" w:val="clear"/>
            <w:tcMar>
              <w:top w:type="dxa" w:w="60"/>
              <w:left w:type="dxa" w:w="105"/>
              <w:bottom w:type="dxa" w:w="60"/>
              <w:right w:type="dxa" w:w="105"/>
            </w:tcMar>
          </w:tcPr>
          <w:p>
            <w:pPr>
              <w:spacing w:after="0" w:line="252"/>
            </w:pPr>
            <w:r>
              <w:rPr>
                <w:rFonts w:ascii="Calibri" w:cs="Calibri" w:eastAsia="Calibri" w:hAnsi="Calibri"/>
                <w:b/>
                <w:bCs/>
                <w:color w:val="262626"/>
                <w:sz w:val="19"/>
                <w:szCs w:val="19"/>
              </w:rPr>
              <w:t xml:space="preserve">Personas</w:t>
            </w:r>
          </w:p>
        </w:tc>
        <w:tc>
          <w:tcPr>
            <w:tcW w:type="dxa" w:w="3600"/>
            <w:shd w:fill="FAFBFD" w:color="auto" w:val="clear"/>
            <w:tcMar>
              <w:top w:type="dxa" w:w="60"/>
              <w:left w:type="dxa" w:w="105"/>
              <w:bottom w:type="dxa" w:w="60"/>
              <w:right w:type="dxa" w:w="105"/>
            </w:tcMar>
          </w:tcPr>
          <w:p>
            <w:pPr>
              <w:spacing w:after="0" w:line="252"/>
            </w:pPr>
            <w:r>
              <w:rPr>
                <w:rFonts w:ascii="Calibri" w:cs="Calibri" w:eastAsia="Calibri" w:hAnsi="Calibri"/>
                <w:b w:val="false"/>
                <w:bCs w:val="false"/>
                <w:color w:val="262626"/>
                <w:sz w:val="19"/>
                <w:szCs w:val="19"/>
              </w:rPr>
              <w:t xml:space="preserve">“No known accessibility needs” on all four</w:t>
            </w:r>
          </w:p>
        </w:tc>
        <w:tc>
          <w:tcPr>
            <w:tcW w:type="dxa" w:w="3760"/>
            <w:shd w:fill="FAFBFD" w:color="auto" w:val="clear"/>
            <w:tcMar>
              <w:top w:type="dxa" w:w="60"/>
              <w:left w:type="dxa" w:w="105"/>
              <w:bottom w:type="dxa" w:w="60"/>
              <w:right w:type="dxa" w:w="105"/>
            </w:tcMar>
          </w:tcPr>
          <w:p>
            <w:pPr>
              <w:spacing w:after="0" w:line="252"/>
            </w:pPr>
            <w:r>
              <w:rPr>
                <w:rFonts w:ascii="Calibri" w:cs="Calibri" w:eastAsia="Calibri" w:hAnsi="Calibri"/>
                <w:b w:val="false"/>
                <w:bCs w:val="false"/>
                <w:color w:val="262626"/>
                <w:sz w:val="19"/>
                <w:szCs w:val="19"/>
              </w:rPr>
              <w:t xml:space="preserve">Vary at least one, permanent or situational</w:t>
            </w:r>
          </w:p>
        </w:tc>
      </w:tr>
    </w:tbl>
    <w:p>
      <w:pPr>
        <w:pStyle w:val="Heading1"/>
        <w:pBdr>
          <w:bottom w:val="single" w:color="1F3864" w:sz="10" w:space="6"/>
        </w:pBdr>
        <w:spacing w:after="150" w:before="240"/>
      </w:pPr>
      <w:r>
        <w:rPr>
          <w:rFonts w:ascii="Calibri" w:cs="Calibri" w:eastAsia="Calibri" w:hAnsi="Calibri"/>
          <w:b/>
          <w:bCs/>
          <w:color w:val="1F3864"/>
          <w:sz w:val="29"/>
          <w:szCs w:val="29"/>
        </w:rPr>
        <w:t xml:space="preserve">What to do, in order</w:t>
      </w:r>
    </w:p>
    <w:p>
      <w:pPr>
        <w:spacing w:after="100" w:before="0" w:line="264"/>
      </w:pPr>
      <w:r>
        <w:rPr>
          <w:rFonts w:ascii="Calibri" w:cs="Calibri" w:eastAsia="Calibri" w:hAnsi="Calibri"/>
          <w:color w:val="262626"/>
          <w:sz w:val="21"/>
          <w:szCs w:val="21"/>
        </w:rPr>
        <w:t xml:space="preserve">Roughly two hours of work, most of it in the requirements and the personas.</w:t>
      </w:r>
    </w:p>
    <w:p>
      <w:pPr>
        <w:spacing w:after="80" w:line="258"/>
      </w:pPr>
      <w:r>
        <w:rPr>
          <w:rFonts w:ascii="Calibri" w:cs="Calibri" w:eastAsia="Calibri" w:hAnsi="Calibri"/>
          <w:b/>
          <w:bCs/>
          <w:i w:val="false"/>
          <w:iCs w:val="false"/>
          <w:color w:val="262626"/>
          <w:sz w:val="21"/>
          <w:szCs w:val="21"/>
        </w:rPr>
        <w:t xml:space="preserve">1.  </w:t>
      </w:r>
      <w:r>
        <w:rPr>
          <w:rFonts w:ascii="Calibri" w:cs="Calibri" w:eastAsia="Calibri" w:hAnsi="Calibri"/>
          <w:b w:val="false"/>
          <w:bCs w:val="false"/>
          <w:i w:val="false"/>
          <w:iCs w:val="false"/>
          <w:color w:val="262626"/>
          <w:sz w:val="21"/>
          <w:szCs w:val="21"/>
        </w:rPr>
        <w:t xml:space="preserve">Add the five missing requirements — notification, visible ownership, closure and issue reporting, accessibility, priority — and the four missing data elements that go with them. This is the largest single gain available and it closes the only real consistency gaps in the document.</w:t>
      </w:r>
    </w:p>
    <w:p>
      <w:pPr>
        <w:spacing w:after="80" w:line="258"/>
      </w:pPr>
      <w:r>
        <w:rPr>
          <w:rFonts w:ascii="Calibri" w:cs="Calibri" w:eastAsia="Calibri" w:hAnsi="Calibri"/>
          <w:b/>
          <w:bCs/>
          <w:i w:val="false"/>
          <w:iCs w:val="false"/>
          <w:color w:val="262626"/>
          <w:sz w:val="21"/>
          <w:szCs w:val="21"/>
        </w:rPr>
        <w:t xml:space="preserve">2.  </w:t>
      </w:r>
      <w:r>
        <w:rPr>
          <w:rFonts w:ascii="Calibri" w:cs="Calibri" w:eastAsia="Calibri" w:hAnsi="Calibri"/>
          <w:b w:val="false"/>
          <w:bCs w:val="false"/>
          <w:i w:val="false"/>
          <w:iCs w:val="false"/>
          <w:color w:val="262626"/>
          <w:sz w:val="21"/>
          <w:szCs w:val="21"/>
        </w:rPr>
        <w:t xml:space="preserve">Fix the personas: vary the abilities line, and make the two cultural background fields consequential. Twenty rubric marks sit on this section and it is currently the weakest.</w:t>
      </w:r>
    </w:p>
    <w:p>
      <w:pPr>
        <w:spacing w:after="80" w:line="258"/>
      </w:pPr>
      <w:r>
        <w:rPr>
          <w:rFonts w:ascii="Calibri" w:cs="Calibri" w:eastAsia="Calibri" w:hAnsi="Calibri"/>
          <w:b/>
          <w:bCs/>
          <w:i w:val="false"/>
          <w:iCs w:val="false"/>
          <w:color w:val="262626"/>
          <w:sz w:val="21"/>
          <w:szCs w:val="21"/>
        </w:rPr>
        <w:t xml:space="preserve">3.  </w:t>
      </w:r>
      <w:r>
        <w:rPr>
          <w:rFonts w:ascii="Calibri" w:cs="Calibri" w:eastAsia="Calibri" w:hAnsi="Calibri"/>
          <w:b w:val="false"/>
          <w:bCs w:val="false"/>
          <w:i w:val="false"/>
          <w:iCs w:val="false"/>
          <w:color w:val="262626"/>
          <w:sz w:val="21"/>
          <w:szCs w:val="21"/>
        </w:rPr>
        <w:t xml:space="preserve">Settle “view requests on a map”, one way or the other, so that every task in the model is accounted for.</w:t>
      </w:r>
    </w:p>
    <w:p>
      <w:pPr>
        <w:spacing w:after="80" w:line="258"/>
      </w:pPr>
      <w:r>
        <w:rPr>
          <w:rFonts w:ascii="Calibri" w:cs="Calibri" w:eastAsia="Calibri" w:hAnsi="Calibri"/>
          <w:b/>
          <w:bCs/>
          <w:i w:val="false"/>
          <w:iCs w:val="false"/>
          <w:color w:val="262626"/>
          <w:sz w:val="21"/>
          <w:szCs w:val="21"/>
        </w:rPr>
        <w:t xml:space="preserve">4.  </w:t>
      </w:r>
      <w:r>
        <w:rPr>
          <w:rFonts w:ascii="Calibri" w:cs="Calibri" w:eastAsia="Calibri" w:hAnsi="Calibri"/>
          <w:b w:val="false"/>
          <w:bCs w:val="false"/>
          <w:i w:val="false"/>
          <w:iCs w:val="false"/>
          <w:color w:val="262626"/>
          <w:sz w:val="21"/>
          <w:szCs w:val="21"/>
        </w:rPr>
        <w:t xml:space="preserve">Apply the copy-edits above, including Kevin's location in Scenario 3 and the work order terminology.</w:t>
      </w:r>
    </w:p>
    <w:p>
      <w:pPr>
        <w:spacing w:after="80" w:line="258"/>
      </w:pPr>
      <w:r>
        <w:rPr>
          <w:rFonts w:ascii="Calibri" w:cs="Calibri" w:eastAsia="Calibri" w:hAnsi="Calibri"/>
          <w:b/>
          <w:bCs/>
          <w:i w:val="false"/>
          <w:iCs w:val="false"/>
          <w:color w:val="262626"/>
          <w:sz w:val="21"/>
          <w:szCs w:val="21"/>
        </w:rPr>
        <w:t xml:space="preserve">5.  </w:t>
      </w:r>
      <w:r>
        <w:rPr>
          <w:rFonts w:ascii="Calibri" w:cs="Calibri" w:eastAsia="Calibri" w:hAnsi="Calibri"/>
          <w:b w:val="false"/>
          <w:bCs w:val="false"/>
          <w:i w:val="false"/>
          <w:iCs w:val="false"/>
          <w:color w:val="262626"/>
          <w:sz w:val="21"/>
          <w:szCs w:val="21"/>
        </w:rPr>
        <w:t xml:space="preserve">Update the Miro board to match the document: four personas, seven scenarios, both hierarchies, the eight request types, and the revised data dictionary. Do this last, once the document is final, so the board is brought forward only once.</w:t>
      </w:r>
    </w:p>
    <w:sectPr>
      <w:footerReference w:type="default" r:id="rId7"/>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Calibri" w:cs="Calibri" w:eastAsia="Calibri" w:hAnsi="Calibri"/>
        <w:color w:val="595959"/>
        <w:sz w:val="16"/>
        <w:szCs w:val="16"/>
      </w:rPr>
      <w:t xml:space="preserve">Team Dart  ·  MDPM 883  ·  Requirements Documents review  ·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rPr>
        <w:color w:val="2E5A88"/>
      </w:rPr>
    </w:lvl>
    <w:lvl w:ilvl="1" w15:tentative="1">
      <w:start w:val="1"/>
      <w:numFmt w:val="bullet"/>
      <w:lvlText w:val="–"/>
      <w:lvlJc w:val="left"/>
      <w:pPr>
        <w:ind w:left="760" w:hanging="240"/>
      </w:pPr>
      <w:rPr>
        <w:color w:val="2E5A8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Documents — Pre-submission review</dc:title>
  <dc:creator>Team Dart</dc:creator>
  <dc:description>MDPM 883 Assignment 1 review</dc:description>
  <cp:lastModifiedBy>Un-named</cp:lastModifiedBy>
  <cp:revision>1</cp:revision>
  <dcterms:created xsi:type="dcterms:W3CDTF">2026-09-19T11:09:01.356Z</dcterms:created>
  <dcterms:modified xsi:type="dcterms:W3CDTF">2026-09-19T11:09:01.356Z</dcterms:modified>
</cp:coreProperties>
</file>

<file path=docProps/custom.xml><?xml version="1.0" encoding="utf-8"?>
<Properties xmlns="http://schemas.openxmlformats.org/officeDocument/2006/custom-properties" xmlns:vt="http://schemas.openxmlformats.org/officeDocument/2006/docPropsVTypes"/>
</file>