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The Hierarchical Task Model, Task by Task</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task model has to be readable at a glance, so its labels are short. This document says what each one means: every task in both hierarchies, a sentence each, with the side of the product boundary it falls 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Numbers show parentage, not sequence: 5.6.1 is part of 5.6, not the step after it. Level 1 tasks are the subgoals, levels 2 and 3 what they decompose into, and the numbering is the same in sections 4.2 and 4.3 of the Requirements Documents deliverable.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column carries the board’s wording word for word; only the first letter is capitalised and four spellings corrected — “worn out” at 2.1, “exists” at 2.5 and 3.4.2, “communication” at 5.6.2. Where performed marks a task in product, partly outside or outside, following the scope note on the board: procurement, warehousing, installation and delivery sit outside the product, which tracks their status without performing them.</w:t>
      </w:r>
    </w:p>
    <w:p>
      <w:pPr>
        <w:pStyle w:val="Heading1"/>
        <w:pBdr>
          <w:bottom w:val="single" w:color="C6D0E0" w:sz="8" w:space="6"/>
        </w:pBdr>
        <w:spacing w:after="160" w:before="360"/>
      </w:pPr>
      <w:r>
        <w:rPr>
          <w:rFonts w:ascii="Calibri" w:cs="Calibri" w:eastAsia="Calibri" w:hAnsi="Calibri"/>
          <w:b/>
          <w:bCs/>
          <w:color w:val="1F3864"/>
          <w:sz w:val="30"/>
          <w:szCs w:val="30"/>
        </w:rPr>
        <w:t xml:space="preserve">The Requester Goal — Task Hierarchy and Descriptions</w:t>
      </w:r>
    </w:p>
    <w:p>
      <w:pPr>
        <w:keepNext w:val="false"/>
        <w:spacing w:after="160" w:before="0" w:line="276"/>
        <w:jc w:val="both"/>
      </w:pPr>
      <w:r>
        <w:rPr>
          <w:rFonts w:ascii="Calibri" w:cs="Calibri" w:eastAsia="Calibri" w:hAnsi="Calibri"/>
          <w:b w:val="false"/>
          <w:bCs w:val="false"/>
          <w:i w:val="false"/>
          <w:iCs w:val="false"/>
          <w:color w:val="000000"/>
          <w:sz w:val="22"/>
          <w:szCs w:val="22"/>
        </w:rPr>
        <w:t xml:space="preserve">Section 4.2 of the Requirements Documents deliverable, and the requester hierarchy on the board, task by task: the work of a Client Ministry Accommodation Contact or other authorized requester, from being able to use the service at all through to accepting the result. Six subgoals — get set up on the system, understand the furniture need, locate where the work needs to be done, prepare and submit the request, follow it, and complete and close it.</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900"/>
        <w:gridCol w:w="600"/>
        <w:gridCol w:w="1380"/>
        <w:gridCol w:w="458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9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45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fulfilled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Turn a furniture need in the office into furniture that is in place, working and accepted by the requester.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setup on the system</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the access, the vocabulary and the confidence a requester needs before a request can be raised at 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that a furniture need goes through this service rather than a maintenance request, a procurement process or an email to a facilities contact.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 log in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working credentials and reach the point where a request can be started.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form fields and terminology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what the form is asking for, in vocabulary that belongs to Infrastructure rather than to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hints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Resolve a doubt from the guidance attached to a field while filling it in, rather than from documentation read beforehand.</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Understand the furniture need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what is actually needed, usually by talking to whoever reported it and looking at the furniture.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the furniture problem (broken / worn out /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item is broken, worn out, unsuitable or simply missing, since that decides whether the answer is repair, warranty, replacement or purchase.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Choose the request type, because each one asks for different information and takes a different route through Infrastructure.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it belongs to a group or an individual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whether the need is one person’s workstation or a shared area, which changes the quantity, the approval path and the urgency.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recycled vs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Settle whether furniture already in government stock can meet the need before a purchase is considered, and record the preference.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out whether the recycle program holds something suitable, in the right quantity and condition, when it is needed.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Look for an open request covering the same need, which is the requester’s own defence against raising a duplicate.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warranty / retrieve original specs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the original request to establish whether the item is still under warranty and exactly what was supplied.</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Locate where work needs to be done</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Describe the place precisely enough that the furniture arrives in the right room.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Pick the facility from the buildings the requester is authorized for, since the rest of the location data follows from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address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the address that comes with the building rather than typing it again.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Narrow the location to the floor and the area, room or workstation that the delivery and installation teams need.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floor plan and mark the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Mark on a plan exactly where the furniture goes, which is what words handle badly.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 stored floor plan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Use a plan the facility already holds, which is quicker and matches what the installers work from.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Draw or photograph the area when no plan is held, so the request does not stall for want of 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Prepare and submit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Assemble everything gathered so far into a request and send it to Infrastructure.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need, the type, the location, the quantities, the priority and the reason for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the photographs, plans, quotes, approvals and checklists that show what is needed.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several files in one action rather than one at a time.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mobile at time of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Photograph the problem where it is, when it is noticed, and attach it from the phone.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 a fault a still photograph cannot, such as a desk that stops partway through raising.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Name each attachment so a coordinator, or the requester two years later, can tell what it shows without opening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 a part-finished request aside and come back to it after an interruption.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Send the finished request for review in one action, with no separate status change to remember.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a clear acknowledgement, with a reference, that the request arrived.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that the request is complete before submitting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the request against what the chosen request type requires, while it can still be fixed without a coordinator.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Follow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track of the request between submission and completion without relying on email, phone calls and memory.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current status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out what state the request is in without asking anyone.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workflow stage / next steps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what is happening now, who has the request and what happens next.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 party vendor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how far an outside supplier, mover or installer has got, without the supplier working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progressing or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silence means normal progress or a problem that needs chasing.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Stay informed about changes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 told when something changes instead of going to look.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immediate notification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 alerted promptly when the change needs something from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requests for additional information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Supply what a coordinator has asked for, against the request rather than by return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Hold the questions, clarifications and decisions a request generates in one place.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to whoever holds the request now, rather than whoever answered last time.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what was asked, answered and decided on the request rather than in a private mailbox.</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Chase coordinator if/when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Escalate to the coordinator when nothing has moved.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what was delivered against what was asked for, and act on any difference.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work was done correctly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that the furniture arrived in the right place, in the right quantity and in working order.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wrong item, a wrong room or damage on the existing request rather than opening a new 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6</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Complete and close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Bring the request to a definite end that shows the requester accepted the work.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completion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State that the need has been met and the request can close.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anything still outstanding at closure, so it is not buried by the close.</w:t>
            </w:r>
          </w:p>
        </w:tc>
      </w:tr>
    </w:tbl>
    <w:p>
      <w:pPr>
        <w:keepNext/>
        <w:spacing w:after="60" w:before="0" w:line="276"/>
        <w:jc w:val="left"/>
      </w:pPr>
      <w:r>
        <w:rPr>
          <w:rFonts w:ascii="Calibri" w:cs="Calibri" w:eastAsia="Calibri" w:hAnsi="Calibri"/>
          <w:b/>
          <w:bCs/>
          <w:i w:val="false"/>
          <w:iCs w:val="false"/>
          <w:color w:val="1F3864"/>
          <w:sz w:val="22"/>
          <w:szCs w:val="22"/>
        </w:rPr>
        <w:t xml:space="preserve">Tasks not on the board</w:t>
      </w:r>
    </w:p>
    <w:p>
      <w:pPr>
        <w:keepNext w:val="false"/>
        <w:spacing w:after="200" w:before="0" w:line="276"/>
        <w:jc w:val="both"/>
      </w:pPr>
      <w:r>
        <w:rPr>
          <w:rFonts w:ascii="Calibri" w:cs="Calibri" w:eastAsia="Calibri" w:hAnsi="Calibri"/>
          <w:b w:val="false"/>
          <w:bCs w:val="false"/>
          <w:i w:val="false"/>
          <w:iCs w:val="false"/>
          <w:color w:val="000000"/>
          <w:sz w:val="20"/>
          <w:szCs w:val="20"/>
        </w:rPr>
        <w:t xml:space="preserve">Four tasks from an earlier draft of this document are not on the board, so they are not rows above. Being added to the system as a user is an administrative act carried out by someone else. Identifying an origin and a destination is, on the board, two uses of 3.1 to 3.4 rather than a task of its own. Resolving a duplicate request and approving a change of supply path sit on the service staff side, at 1.4 and 2 of the second table, with the requester taking part through 5.5 and 5.6. The history and reporting tasks from that draft — finding an old request, listing active requests, reporting by location, status or period — are also absent from the board. What the requester needed them for survives at 2.5 and 2.6, the two points where a requester reaches back into past requests in order to raise a new one. The functional requirements on the board still carry all four: assigning and maintaining authorized roles, capturing origin and destination for move requests, resolving duplicates while preserving the history of the request that continues, and retrieving, searching and reporting on past requests. They are noted here so that leaving them off the hierarchy stays a decision someone made rather than something that slipped, and so that the model and the requirements are read together.</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The Service Staff Goal — Task Hierarchy and Descriptions</w:t>
      </w:r>
    </w:p>
    <w:p>
      <w:pPr>
        <w:keepNext w:val="false"/>
        <w:spacing w:after="160" w:before="0" w:line="276"/>
        <w:jc w:val="both"/>
      </w:pPr>
      <w:r>
        <w:rPr>
          <w:rFonts w:ascii="Calibri" w:cs="Calibri" w:eastAsia="Calibri" w:hAnsi="Calibri"/>
          <w:b w:val="false"/>
          <w:bCs w:val="false"/>
          <w:i w:val="false"/>
          <w:iCs w:val="false"/>
          <w:color w:val="000000"/>
          <w:sz w:val="22"/>
          <w:szCs w:val="22"/>
        </w:rPr>
        <w:t xml:space="preserve">Section 4.3, the Infrastructure side of the same request; a request only ends well if both halves succeed. It is numbered like the requester table above, so the two read against each other: the requester’s 5.5 answers the staff 1.3, 5.1 answers 4.1, and 6.1 meets 5.1.</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900"/>
        <w:gridCol w:w="600"/>
        <w:gridCol w:w="1380"/>
        <w:gridCol w:w="458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9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45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delivered for the client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Turn a submitted request into furniture in place, coordinated across whichever groups and suppliers the work needs.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Take on an incoming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a request from arriving to being work that someone can act 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the request, its attachments and its location detail to understand what is being asked for.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whether the request can go forward as it stands or whether something essential is missing.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what is missing, as part of the request rather than through an exchange of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Raise a specific query where the requester and whoever handles the request next can both see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what form the missing information has to take before asking for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what was supplied and confirm with the requester that it describes the need correctly.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that two requests describe the same furniture need.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Choose which of the two requests carries the work forward.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Make sure resolving a duplicate discards no information, decisions or attachments.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Decide how the need will be met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the supply path, which sets the cost, the timescale and the groups that become involved.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suitable furniture already exists in government stock, honouring any stated preference.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Conclude that no suitable recycled item exists and move the request onto the procurement path.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Capture the approval and the decision information that comes with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Link the purchase order reference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the procurement reference so the request and the order it produced can be read together.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Coordinate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Move the request through the groups and suppliers that carry out the physical work.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explicit ownership, so everyone can tell who is holding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Pass ownership on with the information, decisions and conversation still attached.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stage reached, which is what makes status mean something to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Enter what suppliers and installers are doing, since external parties do not transact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 the date for the physical work and make it visible to the requester, who may have to arrange access.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Keep the client informed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Do the service side of the following-up, removing chases the requester would otherwise have to make.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the state the client sees matching reality.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Answer on the request, so the answer is there for everyone who needs it later.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Alert the requester when the request is waiting on them.</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Close and account for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Finish the request properly and make it available to the reporting the service is measured by.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that the furniture is in place and the request has been fulfilled as agreed.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asset and warranty information for what was supplied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Capture the manufacturer, model or serial number and any warranty period, once, by whoever has it to hand.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 how the request ended and capture anything the requester reported as outstanding.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Produce the view across many requests that service managers need for capacity, cost and performance.</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2026-09-19T10:18:06.634Z</dcterms:created>
  <dcterms:modified xsi:type="dcterms:W3CDTF">2026-09-19T10:18:06.648Z</dcterms:modified>
</cp:coreProperties>
</file>

<file path=docProps/custom.xml><?xml version="1.0" encoding="utf-8"?>
<Properties xmlns="http://schemas.openxmlformats.org/officeDocument/2006/custom-properties" xmlns:vt="http://schemas.openxmlformats.org/officeDocument/2006/docPropsVTypes"/>
</file>