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0"/>
        </w:rPr>
        <w:t>Environmental Scanning: The Canadian Hospitality Industry (Hotels &amp; Restaurants)</w:t>
      </w:r>
    </w:p>
    <w:p>
      <w:pPr>
        <w:spacing w:after="0"/>
        <w:jc w:val="center"/>
      </w:pPr>
      <w:r>
        <w:rPr>
          <w:i w:val="0"/>
          <w:sz w:val="20"/>
        </w:rPr>
        <w:t>Name: [Your Name]   |   Student Number: [Your Student Number]</w:t>
      </w:r>
    </w:p>
    <w:p>
      <w:pPr>
        <w:spacing w:after="160"/>
        <w:jc w:val="center"/>
      </w:pPr>
      <w:r>
        <w:rPr>
          <w:i w:val="0"/>
          <w:sz w:val="20"/>
        </w:rPr>
        <w:t>MGMT6121 Business Intelligence, Fanshawe College   |   [Professor Name]   |   [Submission Date]</w:t>
      </w:r>
    </w:p>
    <w:p>
      <w:pPr>
        <w:spacing w:before="160" w:after="60"/>
      </w:pPr>
      <w:r>
        <w:rPr>
          <w:b/>
          <w:color w:val="1F3A5F"/>
          <w:sz w:val="25"/>
        </w:rPr>
        <w:t>1. Industry Overview</w:t>
      </w:r>
    </w:p>
    <w:p>
      <w:r>
        <w:rPr>
          <w:i w:val="0"/>
        </w:rPr>
        <w:t>Canada’s hospitality sector covers two closely linked businesses: places that put people up for the night and places that feed them. On paper, 2025 looked like a good year. Canadian hotels posted their best annual results on record, with occupancy of 66.1%, an average daily rate (ADR) of $216.10 and RevPAR of $142.89 (CoStar, 2026a). Restaurants told a different story. Sales grew, but costs grew faster, and by mid-2026 about 41% of operators said they were losing money or just breaking even (Restaurants Canada, 2026b). That gap between strong top-line numbers and thin margins is the main thread running through this scan. Below, I break down the external forces behind it, the competitors shaping the market, what customers are doing differently, and where operators can respond.</w:t>
      </w:r>
    </w:p>
    <w:p>
      <w:pPr>
        <w:spacing w:before="160" w:after="60"/>
      </w:pPr>
      <w:r>
        <w:rPr>
          <w:b/>
          <w:color w:val="1F3A5F"/>
          <w:sz w:val="25"/>
        </w:rPr>
        <w:t>2. Key External Factors (PESTEL Summary)</w:t>
      </w:r>
    </w:p>
    <w:p>
      <w:pPr>
        <w:pStyle w:val="ListBullet"/>
        <w:spacing w:after="60"/>
      </w:pPr>
      <w:r>
        <w:rPr>
          <w:b/>
        </w:rPr>
        <w:t xml:space="preserve">Economic: </w:t>
      </w:r>
      <w:r>
        <w:t>Food costs are a top worry for 88% of restaurant operators and labour costs for 89% (Restaurants Canada, 2026b). Restaurants Canada expects total foodservice sales to grow only 2.1% in 2026, partly because two temporary boosts from 2025 have faded: the GST/HST holiday and the money Canadians spent at home instead of travelling south (Restaurants Canada, 2026a). Hotels are still growing revenue, but mostly through price. In June 2026, occupancy fell 3.5% while ADR rose 5.4% (CoStar, 2026b). Pushing rates while fewer rooms are filled can only go on for so long.</w:t>
      </w:r>
    </w:p>
    <w:p>
      <w:pPr>
        <w:pStyle w:val="ListBullet"/>
        <w:spacing w:after="60"/>
      </w:pPr>
      <w:r>
        <w:rPr>
          <w:b/>
        </w:rPr>
        <w:t xml:space="preserve">Political/Legal: </w:t>
      </w:r>
      <w:r>
        <w:t>U.S. tariffs and the cross-border tension that followed changed how Canadians travel. Canadian trips to the U.S. fell from about 39 million in 2024 to roughly 23 million in 2025, and return trips were still down year over year in early 2026, the 14th straight monthly decline by February (Statistics Canada, 2026). Ottawa also tightened the Temporary Foreign Worker (TFW) Program, which hotels and quick-service chains have leaned on heavily. On top of that, provincial short-term rental rules (such as B.C.’s principal-residence requirement) and the federal ban on drip pricing affect how hotels compete and how they display fees.</w:t>
      </w:r>
    </w:p>
    <w:p>
      <w:pPr>
        <w:pStyle w:val="ListBullet"/>
        <w:spacing w:after="60"/>
      </w:pPr>
      <w:r>
        <w:rPr>
          <w:b/>
        </w:rPr>
        <w:t xml:space="preserve">Social: </w:t>
      </w:r>
      <w:r>
        <w:t>Diners are more careful with money and very aware of value. Online, complaints about “tipflation” and pre-set tip screens of 18% to 25% come up constantly, and Reddit threads like r/PersonalFinanceCanada are full of people saying they eat out less. At the same time, the “Buy Canadian” movement turned national pride into a reason to buy, and the brands that leaned into it, like A&amp;W Canada, got noticed.</w:t>
      </w:r>
    </w:p>
    <w:p>
      <w:pPr>
        <w:pStyle w:val="ListBullet"/>
        <w:spacing w:after="60"/>
      </w:pPr>
      <w:r>
        <w:rPr>
          <w:b/>
        </w:rPr>
        <w:t xml:space="preserve">Technological: </w:t>
      </w:r>
      <w:r>
        <w:t>Mobile ordering, self-serve kiosks, loyalty apps, dynamic pricing and AI chatbots are becoming normal. The real gap now is less about who has the tools and more about who actually uses the data those tools produce.</w:t>
      </w:r>
    </w:p>
    <w:p>
      <w:pPr>
        <w:pStyle w:val="ListBullet"/>
        <w:spacing w:after="60"/>
      </w:pPr>
      <w:r>
        <w:rPr>
          <w:b/>
        </w:rPr>
        <w:t xml:space="preserve">Environmental: </w:t>
      </w:r>
      <w:r>
        <w:t>Climate events now hit revenue directly. The 2024 Jasper wildfire closed one of the country’s best-known resort towns in peak season, and smoke-filled summers keep threatening outdoor dining and mountain tourism. Guests and corporate travel buyers are also asking more questions about sustainability, from food waste to energy use.</w:t>
      </w:r>
    </w:p>
    <w:p>
      <w:pPr>
        <w:spacing w:before="160" w:after="60"/>
      </w:pPr>
      <w:r>
        <w:rPr>
          <w:b/>
          <w:color w:val="1F3A5F"/>
          <w:sz w:val="25"/>
        </w:rPr>
        <w:t>3. Competitive Landscape</w:t>
      </w:r>
    </w:p>
    <w:p>
      <w:pPr>
        <w:spacing w:after="80"/>
      </w:pPr>
      <w:r>
        <w:rPr>
          <w:i w:val="0"/>
        </w:rPr>
        <w:t>The market is split between large, well-funded chains and a long tail of independents. The table below summarizes the major players and what they have done recently.</w:t>
      </w:r>
    </w:p>
    <w:tbl>
      <w:tblPr>
        <w:tblStyle w:val="LightGrid-Accent1"/>
        <w:tblW w:type="auto" w:w="0"/>
        <w:tblLook w:firstColumn="1" w:firstRow="1" w:lastColumn="0" w:lastRow="0" w:noHBand="0" w:noVBand="1" w:val="04A0"/>
      </w:tblPr>
      <w:tblGrid>
        <w:gridCol w:w="2340"/>
        <w:gridCol w:w="2340"/>
        <w:gridCol w:w="2340"/>
        <w:gridCol w:w="2340"/>
      </w:tblGrid>
      <w:tr>
        <w:tc>
          <w:tcPr>
            <w:tcW w:type="dxa" w:w="1800"/>
          </w:tcPr>
          <w:p>
            <w:pPr>
              <w:spacing w:after="0"/>
            </w:pPr>
            <w:r/>
            <w:r>
              <w:rPr>
                <w:b/>
                <w:sz w:val="18"/>
              </w:rPr>
              <w:t>Competitor</w:t>
            </w:r>
          </w:p>
        </w:tc>
        <w:tc>
          <w:tcPr>
            <w:tcW w:type="dxa" w:w="2304"/>
          </w:tcPr>
          <w:p>
            <w:pPr>
              <w:spacing w:after="0"/>
            </w:pPr>
            <w:r/>
            <w:r>
              <w:rPr>
                <w:b/>
                <w:sz w:val="18"/>
              </w:rPr>
              <w:t>Strengths</w:t>
            </w:r>
          </w:p>
        </w:tc>
        <w:tc>
          <w:tcPr>
            <w:tcW w:type="dxa" w:w="2304"/>
          </w:tcPr>
          <w:p>
            <w:pPr>
              <w:spacing w:after="0"/>
            </w:pPr>
            <w:r/>
            <w:r>
              <w:rPr>
                <w:b/>
                <w:sz w:val="18"/>
              </w:rPr>
              <w:t>Weaknesses</w:t>
            </w:r>
          </w:p>
        </w:tc>
        <w:tc>
          <w:tcPr>
            <w:tcW w:type="dxa" w:w="2952"/>
          </w:tcPr>
          <w:p>
            <w:pPr>
              <w:spacing w:after="0"/>
            </w:pPr>
            <w:r/>
            <w:r>
              <w:rPr>
                <w:b/>
                <w:sz w:val="18"/>
              </w:rPr>
              <w:t>Recent Strategic Moves</w:t>
            </w:r>
          </w:p>
        </w:tc>
      </w:tr>
      <w:tr>
        <w:tc>
          <w:tcPr>
            <w:tcW w:type="dxa" w:w="1800"/>
          </w:tcPr>
          <w:p>
            <w:pPr>
              <w:spacing w:after="0"/>
            </w:pPr>
            <w:r/>
            <w:r>
              <w:rPr>
                <w:b/>
                <w:sz w:val="18"/>
              </w:rPr>
              <w:t>Tim Hortons (RBI)</w:t>
            </w:r>
          </w:p>
        </w:tc>
        <w:tc>
          <w:tcPr>
            <w:tcW w:type="dxa" w:w="2304"/>
          </w:tcPr>
          <w:p>
            <w:pPr>
              <w:spacing w:after="0"/>
            </w:pPr>
            <w:r/>
            <w:r>
              <w:rPr>
                <w:b w:val="0"/>
                <w:sz w:val="18"/>
              </w:rPr>
              <w:t>About 6,200 restaurants; strong brand loyalty; scale in purchasing</w:t>
            </w:r>
          </w:p>
        </w:tc>
        <w:tc>
          <w:tcPr>
            <w:tcW w:type="dxa" w:w="2304"/>
          </w:tcPr>
          <w:p>
            <w:pPr>
              <w:spacing w:after="0"/>
            </w:pPr>
            <w:r/>
            <w:r>
              <w:rPr>
                <w:b w:val="0"/>
                <w:sz w:val="18"/>
              </w:rPr>
              <w:t>Canadian same-store sales growth slowed from 3.6% to almost zero by Q2 2026</w:t>
            </w:r>
          </w:p>
        </w:tc>
        <w:tc>
          <w:tcPr>
            <w:tcW w:type="dxa" w:w="2952"/>
          </w:tcPr>
          <w:p>
            <w:pPr>
              <w:spacing w:after="0"/>
            </w:pPr>
            <w:r/>
            <w:r>
              <w:rPr>
                <w:b w:val="0"/>
                <w:sz w:val="18"/>
              </w:rPr>
              <w:t>“Back-to-basics” menu upgrades (espresso, muffins, fountain drinks); loyalty tie-up with Canadian Tire; cutting reliance on TFWs (RBI, 2026; Retail Insider, 2026)</w:t>
            </w:r>
          </w:p>
        </w:tc>
      </w:tr>
      <w:tr>
        <w:tc>
          <w:tcPr>
            <w:tcW w:type="dxa" w:w="1800"/>
          </w:tcPr>
          <w:p>
            <w:pPr>
              <w:spacing w:after="0"/>
            </w:pPr>
            <w:r/>
            <w:r>
              <w:rPr>
                <w:b/>
                <w:sz w:val="18"/>
              </w:rPr>
              <w:t>A&amp;W Canada</w:t>
            </w:r>
          </w:p>
        </w:tc>
        <w:tc>
          <w:tcPr>
            <w:tcW w:type="dxa" w:w="2304"/>
          </w:tcPr>
          <w:p>
            <w:pPr>
              <w:spacing w:after="0"/>
            </w:pPr>
            <w:r/>
            <w:r>
              <w:rPr>
                <w:b w:val="0"/>
                <w:sz w:val="18"/>
              </w:rPr>
              <w:t>Canadian-owned; clear positioning on ingredients and “made in Canada”</w:t>
            </w:r>
          </w:p>
        </w:tc>
        <w:tc>
          <w:tcPr>
            <w:tcW w:type="dxa" w:w="2304"/>
          </w:tcPr>
          <w:p>
            <w:pPr>
              <w:spacing w:after="0"/>
            </w:pPr>
            <w:r/>
            <w:r>
              <w:rPr>
                <w:b w:val="0"/>
                <w:sz w:val="18"/>
              </w:rPr>
              <w:t>Franchisees in Quebec warn TFW limits could force shorter hours or closures</w:t>
            </w:r>
          </w:p>
        </w:tc>
        <w:tc>
          <w:tcPr>
            <w:tcW w:type="dxa" w:w="2952"/>
          </w:tcPr>
          <w:p>
            <w:pPr>
              <w:spacing w:after="0"/>
            </w:pPr>
            <w:r/>
            <w:r>
              <w:rPr>
                <w:b w:val="0"/>
                <w:sz w:val="18"/>
              </w:rPr>
              <w:t>Leaned into Buy Canadian sentiment during the tariff dispute</w:t>
            </w:r>
          </w:p>
        </w:tc>
      </w:tr>
      <w:tr>
        <w:tc>
          <w:tcPr>
            <w:tcW w:type="dxa" w:w="1800"/>
          </w:tcPr>
          <w:p>
            <w:pPr>
              <w:spacing w:after="0"/>
            </w:pPr>
            <w:r/>
            <w:r>
              <w:rPr>
                <w:b/>
                <w:sz w:val="18"/>
              </w:rPr>
              <w:t>Recipe Unlimited (Fairfax)</w:t>
            </w:r>
          </w:p>
        </w:tc>
        <w:tc>
          <w:tcPr>
            <w:tcW w:type="dxa" w:w="2304"/>
          </w:tcPr>
          <w:p>
            <w:pPr>
              <w:spacing w:after="0"/>
            </w:pPr>
            <w:r/>
            <w:r>
              <w:rPr>
                <w:b w:val="0"/>
                <w:sz w:val="18"/>
              </w:rPr>
              <w:t>Broad portfolio (Swiss Chalet, Harvey’s, The Keg, etc.) across price points</w:t>
            </w:r>
          </w:p>
        </w:tc>
        <w:tc>
          <w:tcPr>
            <w:tcW w:type="dxa" w:w="2304"/>
          </w:tcPr>
          <w:p>
            <w:pPr>
              <w:spacing w:after="0"/>
            </w:pPr>
            <w:r/>
            <w:r>
              <w:rPr>
                <w:b w:val="0"/>
                <w:sz w:val="18"/>
              </w:rPr>
              <w:t>Casual dining is the segment most hurt by squeezed household budgets</w:t>
            </w:r>
          </w:p>
        </w:tc>
        <w:tc>
          <w:tcPr>
            <w:tcW w:type="dxa" w:w="2952"/>
          </w:tcPr>
          <w:p>
            <w:pPr>
              <w:spacing w:after="0"/>
            </w:pPr>
            <w:r/>
            <w:r>
              <w:rPr>
                <w:b w:val="0"/>
                <w:sz w:val="18"/>
              </w:rPr>
              <w:t>Private ownership since 2022 lets it restructure without quarterly market pressure</w:t>
            </w:r>
          </w:p>
        </w:tc>
      </w:tr>
      <w:tr>
        <w:tc>
          <w:tcPr>
            <w:tcW w:type="dxa" w:w="1800"/>
          </w:tcPr>
          <w:p>
            <w:pPr>
              <w:spacing w:after="0"/>
            </w:pPr>
            <w:r/>
            <w:r>
              <w:rPr>
                <w:b/>
                <w:sz w:val="18"/>
              </w:rPr>
              <w:t>Marriott, Hilton, IHG, Accor (Fairmont)</w:t>
            </w:r>
          </w:p>
        </w:tc>
        <w:tc>
          <w:tcPr>
            <w:tcW w:type="dxa" w:w="2304"/>
          </w:tcPr>
          <w:p>
            <w:pPr>
              <w:spacing w:after="0"/>
            </w:pPr>
            <w:r/>
            <w:r>
              <w:rPr>
                <w:b w:val="0"/>
                <w:sz w:val="18"/>
              </w:rPr>
              <w:t>Huge loyalty programs, global booking engines, strong brand trust</w:t>
            </w:r>
          </w:p>
        </w:tc>
        <w:tc>
          <w:tcPr>
            <w:tcW w:type="dxa" w:w="2304"/>
          </w:tcPr>
          <w:p>
            <w:pPr>
              <w:spacing w:after="0"/>
            </w:pPr>
            <w:r/>
            <w:r>
              <w:rPr>
                <w:b w:val="0"/>
                <w:sz w:val="18"/>
              </w:rPr>
              <w:t>Exposed to softer U.S. inbound demand; high franchise fees for owners</w:t>
            </w:r>
          </w:p>
        </w:tc>
        <w:tc>
          <w:tcPr>
            <w:tcW w:type="dxa" w:w="2952"/>
          </w:tcPr>
          <w:p>
            <w:pPr>
              <w:spacing w:after="0"/>
            </w:pPr>
            <w:r/>
            <w:r>
              <w:rPr>
                <w:b w:val="0"/>
                <w:sz w:val="18"/>
              </w:rPr>
              <w:t>Expanding midscale and extended-stay brands; growth driven mainly by rate</w:t>
            </w:r>
          </w:p>
        </w:tc>
      </w:tr>
      <w:tr>
        <w:tc>
          <w:tcPr>
            <w:tcW w:type="dxa" w:w="1800"/>
          </w:tcPr>
          <w:p>
            <w:pPr>
              <w:spacing w:after="0"/>
            </w:pPr>
            <w:r/>
            <w:r>
              <w:rPr>
                <w:b/>
                <w:sz w:val="18"/>
              </w:rPr>
              <w:t>Airbnb &amp; Uber Eats / DoorDash</w:t>
            </w:r>
          </w:p>
        </w:tc>
        <w:tc>
          <w:tcPr>
            <w:tcW w:type="dxa" w:w="2304"/>
          </w:tcPr>
          <w:p>
            <w:pPr>
              <w:spacing w:after="0"/>
            </w:pPr>
            <w:r/>
            <w:r>
              <w:rPr>
                <w:b w:val="0"/>
                <w:sz w:val="18"/>
              </w:rPr>
              <w:t>Convenience and huge reach; own the customer relationship</w:t>
            </w:r>
          </w:p>
        </w:tc>
        <w:tc>
          <w:tcPr>
            <w:tcW w:type="dxa" w:w="2304"/>
          </w:tcPr>
          <w:p>
            <w:pPr>
              <w:spacing w:after="0"/>
            </w:pPr>
            <w:r/>
            <w:r>
              <w:rPr>
                <w:b w:val="0"/>
                <w:sz w:val="18"/>
              </w:rPr>
              <w:t>Tighter short-term rental rules; restaurants resent 20–30% delivery commissions</w:t>
            </w:r>
          </w:p>
        </w:tc>
        <w:tc>
          <w:tcPr>
            <w:tcW w:type="dxa" w:w="2952"/>
          </w:tcPr>
          <w:p>
            <w:pPr>
              <w:spacing w:after="0"/>
            </w:pPr>
            <w:r/>
            <w:r>
              <w:rPr>
                <w:b w:val="0"/>
                <w:sz w:val="18"/>
              </w:rPr>
              <w:t>Platforms keep adding ads and membership tiers that pull margin away from operators</w:t>
            </w:r>
          </w:p>
        </w:tc>
      </w:tr>
    </w:tbl>
    <w:p>
      <w:pPr>
        <w:spacing w:after="100" w:before="100"/>
      </w:pPr>
      <w:r>
        <w:rPr>
          <w:i w:val="0"/>
        </w:rPr>
        <w:t>The pattern is clear. Large chains are protecting their market share with value pricing, loyalty and better data. Independents, on the other hand, are getting squeezed between rising costs and the commissions they pay platforms.</w:t>
      </w:r>
    </w:p>
    <w:p>
      <w:pPr>
        <w:spacing w:before="160" w:after="60"/>
      </w:pPr>
      <w:r>
        <w:rPr>
          <w:b/>
          <w:color w:val="1F3A5F"/>
          <w:sz w:val="25"/>
        </w:rPr>
        <w:t>4. Market Changes, Trends and Opportunities</w:t>
      </w:r>
    </w:p>
    <w:p>
      <w:pPr>
        <w:pStyle w:val="ListBullet"/>
        <w:spacing w:after="60"/>
      </w:pPr>
      <w:r>
        <w:rPr>
          <w:b/>
        </w:rPr>
        <w:t xml:space="preserve">Domestic travel has gained ground. </w:t>
      </w:r>
      <w:r>
        <w:t>With fewer Canadians heading south, more vacation money is being spent at home: road trips, staycations and visits to national parks. Hotels outside the big cities and restaurants in tourist areas are in a good position to capture it.</w:t>
      </w:r>
    </w:p>
    <w:p>
      <w:pPr>
        <w:pStyle w:val="ListBullet"/>
        <w:spacing w:after="60"/>
      </w:pPr>
      <w:r>
        <w:rPr>
          <w:b/>
        </w:rPr>
        <w:t xml:space="preserve">Big events help, but less than expected. </w:t>
      </w:r>
      <w:r>
        <w:t>The 2026 FIFA World Cup in Toronto and Vancouver showed this. Hotel occupancy actually dipped in both cities, though higher rates made up for part of it. Restaurants did better, with card spending up 12% and spending by international visitors up 57% (CBC News, 2026; CoStar, 2026c). Planning based on hype is risky. Planning based on data is not.</w:t>
      </w:r>
    </w:p>
    <w:p>
      <w:pPr>
        <w:pStyle w:val="ListBullet"/>
        <w:spacing w:after="60"/>
      </w:pPr>
      <w:r>
        <w:rPr>
          <w:b/>
        </w:rPr>
        <w:t xml:space="preserve">Value is back. </w:t>
      </w:r>
      <w:r>
        <w:t>On TikTok and Instagram, “budget eats” and “worth it or not” reviews draw large audiences. Customers will still spend, but they want to feel the price is fair, with no surprise fees and no guilt-trip tip screens.</w:t>
      </w:r>
    </w:p>
    <w:p>
      <w:pPr>
        <w:pStyle w:val="ListBullet"/>
        <w:spacing w:after="60"/>
      </w:pPr>
      <w:r>
        <w:rPr>
          <w:b/>
        </w:rPr>
        <w:t xml:space="preserve">Labour scarcity is driving automation. </w:t>
      </w:r>
      <w:r>
        <w:t>Hotels Canada reports that 46% of hotels lost TFWs to expiring permits in early 2026 and 58% expect shortages in the year ahead (Hotelier Magazine, 2026). That is pushing operators toward kiosks, mobile check-in and smarter scheduling.</w:t>
      </w:r>
    </w:p>
    <w:p>
      <w:pPr>
        <w:pStyle w:val="ListBullet"/>
        <w:spacing w:after="60"/>
      </w:pPr>
      <w:r>
        <w:rPr>
          <w:b/>
        </w:rPr>
        <w:t xml:space="preserve">Unstructured data is underused. </w:t>
      </w:r>
      <w:r>
        <w:t>Google, TripAdvisor and Reddit reviews contain honest feedback on service, cleanliness and pricing. Most independent operators read reviews one at a time when they could be analyzing them in bulk.</w:t>
      </w:r>
    </w:p>
    <w:p>
      <w:pPr>
        <w:spacing w:before="160" w:after="60"/>
      </w:pPr>
      <w:r>
        <w:rPr>
          <w:b/>
          <w:color w:val="1F3A5F"/>
          <w:sz w:val="25"/>
        </w:rPr>
        <w:t>5. Recommendations</w:t>
      </w:r>
    </w:p>
    <w:p>
      <w:pPr>
        <w:spacing w:after="60"/>
      </w:pPr>
      <w:r>
        <w:rPr>
          <w:i w:val="0"/>
        </w:rPr>
        <w:t>Based on this scan, I would recommend that hospitality businesses in Canada focus on five practical moves:</w:t>
      </w:r>
    </w:p>
    <w:p>
      <w:pPr>
        <w:pStyle w:val="ListBullet"/>
        <w:spacing w:after="60"/>
      </w:pPr>
      <w:r>
        <w:rPr>
          <w:b/>
        </w:rPr>
        <w:t xml:space="preserve">Build one view of the customer. </w:t>
      </w:r>
      <w:r>
        <w:t>Hotels should connect their property management, booking and loyalty systems. Restaurants should do the same with POS, online ordering and reservation data. Put it all in a simple data warehouse so managers can see who their guests are, how often they come back and what they spend.</w:t>
      </w:r>
    </w:p>
    <w:p>
      <w:pPr>
        <w:pStyle w:val="ListBullet"/>
        <w:spacing w:after="60"/>
      </w:pPr>
      <w:r>
        <w:rPr>
          <w:b/>
        </w:rPr>
        <w:t xml:space="preserve">Use dashboards to protect margin, not just track sales. </w:t>
      </w:r>
      <w:r>
        <w:t>A weekly dashboard showing food cost %, labour cost %, RevPAR and covers per labour hour helps managers catch problems early. Revenue is already rising on price alone. Cost discipline is what decides whether operators stay profitable.</w:t>
      </w:r>
    </w:p>
    <w:p>
      <w:pPr>
        <w:pStyle w:val="ListBullet"/>
        <w:spacing w:after="60"/>
      </w:pPr>
      <w:r>
        <w:rPr>
          <w:b/>
        </w:rPr>
        <w:t xml:space="preserve">Mine reviews and social media. </w:t>
      </w:r>
      <w:r>
        <w:t>Simple sentiment analysis on reviews and social posts can show recurring complaints (slow service, fees, cleanliness) and turn them into fixes that can be measured.</w:t>
      </w:r>
    </w:p>
    <w:p>
      <w:pPr>
        <w:pStyle w:val="ListBullet"/>
        <w:spacing w:after="60"/>
      </w:pPr>
      <w:r>
        <w:rPr>
          <w:b/>
        </w:rPr>
        <w:t xml:space="preserve">Compete on honest value. </w:t>
      </w:r>
      <w:r>
        <w:t>Show all-in pricing, offer fixed-price menus or hotel packages, and lean into Canadian sourcing. This builds trust and keeps businesses ahead of drip-pricing rules.</w:t>
      </w:r>
    </w:p>
    <w:p>
      <w:pPr>
        <w:pStyle w:val="ListBullet"/>
        <w:spacing w:after="60"/>
      </w:pPr>
      <w:r>
        <w:rPr>
          <w:b/>
        </w:rPr>
        <w:t xml:space="preserve">Plan for fewer workers. </w:t>
      </w:r>
      <w:r>
        <w:t>Cross-train staff, use demand forecasting to schedule shifts, and invest in retaining good employees (housing support in resort towns, clear career paths) rather than counting on foreign worker programs that keep getting tighter.</w:t>
      </w:r>
    </w:p>
    <w:p>
      <w:pPr>
        <w:spacing w:after="120"/>
      </w:pPr>
      <w:r>
        <w:rPr>
          <w:i w:val="0"/>
        </w:rPr>
        <w:t>In short, demand for Canadian hospitality has not gone away, but the easy wins have. The operators that turn their data into faster, better decisions will be the ones that stay profitable.</w:t>
      </w:r>
    </w:p>
    <w:p>
      <w:pPr>
        <w:spacing w:before="160" w:after="60"/>
      </w:pPr>
      <w:r>
        <w:rPr>
          <w:b/>
          <w:color w:val="1F3A5F"/>
          <w:sz w:val="25"/>
        </w:rPr>
        <w:t>References</w:t>
      </w:r>
    </w:p>
    <w:p>
      <w:pPr>
        <w:spacing w:after="40"/>
        <w:ind w:left="576" w:hanging="576"/>
      </w:pPr>
      <w:r>
        <w:rPr>
          <w:sz w:val="19"/>
        </w:rPr>
        <w:t>CBC News. (2026). Toronto saw little economic gain during World Cup’s first 2 weeks in city, data shows. https://www.cbc.ca/news/canada/toronto/economic-impact-toronto-fifa-9.7258589</w:t>
      </w:r>
    </w:p>
    <w:p>
      <w:pPr>
        <w:spacing w:after="40"/>
        <w:ind w:left="576" w:hanging="576"/>
      </w:pPr>
      <w:r>
        <w:rPr>
          <w:sz w:val="19"/>
        </w:rPr>
        <w:t>CoStar. (2026a). Canada hotels post record-setting performance in 2025. https://www.costar.com/products/str-benchmark/resources/press-releases/canada-hotels-post-record-setting-performance-2025</w:t>
      </w:r>
    </w:p>
    <w:p>
      <w:pPr>
        <w:spacing w:after="40"/>
        <w:ind w:left="576" w:hanging="576"/>
      </w:pPr>
      <w:r>
        <w:rPr>
          <w:sz w:val="19"/>
        </w:rPr>
        <w:t>CoStar. (2026b). Canada hotels report first monthly occupancy decline of 2026. https://www.costar.com/products/str-benchmark/resources/press-releases/canada-hotels-report-first-monthly-occupancy</w:t>
      </w:r>
    </w:p>
    <w:p>
      <w:pPr>
        <w:spacing w:after="40"/>
        <w:ind w:left="576" w:hanging="576"/>
      </w:pPr>
      <w:r>
        <w:rPr>
          <w:sz w:val="19"/>
        </w:rPr>
        <w:t>CoStar. (2026c). World Cup’s impact on hotels in Canada underperforms that in US. https://www.costar.com/article/510500866/world-cups-impact-on-hotels-in-canada-underperforms-that-in-us</w:t>
      </w:r>
    </w:p>
    <w:p>
      <w:pPr>
        <w:spacing w:after="40"/>
        <w:ind w:left="576" w:hanging="576"/>
      </w:pPr>
      <w:r>
        <w:rPr>
          <w:sz w:val="19"/>
        </w:rPr>
        <w:t>Hotelier Magazine. (2026). Hotels Canada report highlights workforce concerns. https://www.hoteliermagazine.com/hotels-canada-report-highlights-workforce-concerns/</w:t>
      </w:r>
    </w:p>
    <w:p>
      <w:pPr>
        <w:spacing w:after="40"/>
        <w:ind w:left="576" w:hanging="576"/>
      </w:pPr>
      <w:r>
        <w:rPr>
          <w:sz w:val="19"/>
        </w:rPr>
        <w:t>Restaurant Brands International. (2026). Form 10-Q for the quarterly period ended June 30, 2026. U.S. Securities and Exchange Commission. https://www.sec.gov/Archives/edgar/data/0001618756/000161875626000045/qsr-20260630.htm</w:t>
      </w:r>
    </w:p>
    <w:p>
      <w:pPr>
        <w:spacing w:after="40"/>
        <w:ind w:left="576" w:hanging="576"/>
      </w:pPr>
      <w:r>
        <w:rPr>
          <w:sz w:val="19"/>
        </w:rPr>
        <w:t>Restaurants Canada. (2026a). 2025 foodservice sales buffered by GST holiday as rising operating costs and tariffs cut into profits. https://www.restaurantscanada.org/2025-foodservice-sales-buffered-by-gst-holiday-as-rising-operating-costs-and-tariffs-cut-into-profits-restaurants-brace-for-more-obstacles-in-2026/</w:t>
      </w:r>
    </w:p>
    <w:p>
      <w:pPr>
        <w:spacing w:after="40"/>
        <w:ind w:left="576" w:hanging="576"/>
      </w:pPr>
      <w:r>
        <w:rPr>
          <w:sz w:val="19"/>
        </w:rPr>
        <w:t>Restaurants Canada. (2026b). Rising costs outpace sales growth [Report coverage]. Foodservice and Hospitality Magazine. https://www.foodserviceandhospitality.com/rising-costs-outpace-sales-growth/</w:t>
      </w:r>
    </w:p>
    <w:p>
      <w:pPr>
        <w:spacing w:after="40"/>
        <w:ind w:left="576" w:hanging="576"/>
      </w:pPr>
      <w:r>
        <w:rPr>
          <w:sz w:val="19"/>
        </w:rPr>
        <w:t>Retail Insider. (2026). Tim Hortons targets stronger Canadian growth with new stores, beverages and loyalty. https://retail-insider.com/retail-insider/2026/08/tim-hortons-targets-stronger-canadian-growth-with-new-stores-beverages-and-loyalty/</w:t>
      </w:r>
    </w:p>
    <w:p>
      <w:pPr>
        <w:spacing w:after="40"/>
        <w:ind w:left="576" w:hanging="576"/>
      </w:pPr>
      <w:r>
        <w:rPr>
          <w:sz w:val="19"/>
        </w:rPr>
        <w:t>Statistics Canada. (2026, April 23). Travel between Canada and other countries, February 2026. The Daily. https://www150.statcan.gc.ca/n1/daily-quotidien/260423/dq260423b-eng.htm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