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val="0"/>
          <w:color w:val="666666"/>
          <w:sz w:val="18"/>
        </w:rPr>
        <w:t>TEAM DART  |  PRISM REQUESTS  |  MDPM 883 ASSIGNMENT 3</w:t>
      </w:r>
    </w:p>
    <w:p>
      <w:pPr>
        <w:spacing w:after="0"/>
      </w:pPr>
      <w:r>
        <w:rPr>
          <w:b/>
          <w:color w:val="1F3A5F"/>
          <w:sz w:val="44"/>
        </w:rPr>
        <w:t>Deliverables: objectives, expectations and strategy</w:t>
      </w:r>
    </w:p>
    <w:p>
      <w:pPr>
        <w:spacing w:after="160"/>
      </w:pPr>
      <w:r>
        <w:rPr>
          <w:b w:val="0"/>
          <w:color w:val="444444"/>
          <w:sz w:val="22"/>
        </w:rPr>
        <w:t>For Adekunle Adeniji, ahead of the working session on Monday 5 October 2026</w:t>
      </w:r>
    </w:p>
    <w:tbl>
      <w:tblPr>
        <w:tblStyle w:val="TableGrid"/>
        <w:tblW w:type="auto" w:w="0"/>
        <w:tblLook w:firstColumn="1" w:firstRow="1" w:lastColumn="0" w:lastRow="0" w:noHBand="0" w:noVBand="1" w:val="04A0"/>
      </w:tblPr>
      <w:tblGrid>
        <w:gridCol w:w="9936"/>
      </w:tblGrid>
      <w:tr>
        <w:tc>
          <w:tcPr>
            <w:tcW w:type="dxa" w:w="9936"/>
            <w:shd w:val="clear" w:color="auto" w:fill="DCE8F5"/>
          </w:tcPr>
          <w:p>
            <w:pPr>
              <w:spacing w:after="60"/>
            </w:pPr>
            <w:r/>
            <w:r>
              <w:rPr>
                <w:b/>
                <w:sz w:val="20"/>
              </w:rPr>
              <w:t>The short version.</w:t>
            </w:r>
            <w:r>
              <w:rPr>
                <w:b w:val="0"/>
                <w:sz w:val="20"/>
              </w:rPr>
              <w:t xml:space="preserve"> You own three things. (1) The </w:t>
            </w:r>
            <w:r>
              <w:rPr>
                <w:b/>
                <w:sz w:val="20"/>
              </w:rPr>
              <w:t>QA list</w:t>
            </w:r>
            <w:r>
              <w:rPr>
                <w:b w:val="0"/>
                <w:sz w:val="20"/>
              </w:rPr>
              <w:t xml:space="preserve"> for Monday: one owned, formal pass that turns Saturday’s open questions into decisions and gives Felix and Anne-Marie a change list. It is delivered as a clean new document. (2) The </w:t>
            </w:r>
            <w:r>
              <w:rPr>
                <w:b/>
                <w:sz w:val="20"/>
              </w:rPr>
              <w:t>Requirements Document</w:t>
            </w:r>
            <w:r>
              <w:rPr>
                <w:b w:val="0"/>
                <w:sz w:val="20"/>
              </w:rPr>
              <w:t xml:space="preserve">, which must carry the QA outcomes into the 18 October submission and close the gaps that cost marks in Revision 2. (3) The </w:t>
            </w:r>
            <w:r>
              <w:rPr>
                <w:b/>
                <w:sz w:val="20"/>
              </w:rPr>
              <w:t>prototype story</w:t>
            </w:r>
            <w:r>
              <w:rPr>
                <w:b w:val="0"/>
                <w:sz w:val="20"/>
              </w:rPr>
              <w:t xml:space="preserve"> (Figma file and video) that the QA list protects from overclaiming. Everything below says what each needs, how it will be judged, and the order to do it in.</w:t>
            </w:r>
          </w:p>
        </w:tc>
      </w:tr>
    </w:tbl>
    <w:p>
      <w:pPr>
        <w:spacing w:after="40"/>
      </w:pPr>
    </w:p>
    <w:p>
      <w:pPr>
        <w:pStyle w:val="Heading1"/>
      </w:pPr>
      <w:r>
        <w:t>1. Basis and limits</w:t>
      </w:r>
    </w:p>
    <w:p>
      <w:pPr>
        <w:pStyle w:val="ListBullet"/>
        <w:spacing w:after="40"/>
      </w:pPr>
      <w:r>
        <w:rPr>
          <w:b/>
        </w:rPr>
        <w:t>The grading rubric was not attached.</w:t>
      </w:r>
      <w:r>
        <w:rPr>
          <w:b w:val="0"/>
        </w:rPr>
        <w:t xml:space="preserve"> The only rubric evidence is the feedback table in Revision 2, which shows six criteria and a total of 100: Requirements 20, Task Model 20, Scenarios 20, Data Dictionary 10, User Characterization 10, Personas 20. Revision 2 also says “the rubric asks that the artefacts agree”. These are used as the rubric. If you have the real Grading Rubric text, send it and it can be re-mapped section 3.</w:t>
      </w:r>
    </w:p>
    <w:p>
      <w:pPr>
        <w:pStyle w:val="ListBullet"/>
        <w:spacing w:after="40"/>
      </w:pPr>
      <w:r>
        <w:rPr>
          <w:b/>
        </w:rPr>
        <w:t>The Figma Make file could not be opened.</w:t>
      </w:r>
      <w:r>
        <w:rPr>
          <w:b w:val="0"/>
        </w:rPr>
        <w:t xml:space="preserve"> The link returned “no edit access”. Nothing in the QA list is checked against the live file; each item still needs confirming on screen with Appendix A of the QA list. Share the file with edit access to have it checked.</w:t>
      </w:r>
    </w:p>
    <w:p>
      <w:pPr>
        <w:pStyle w:val="ListBullet"/>
        <w:spacing w:after="40"/>
      </w:pPr>
      <w:r>
        <w:rPr>
          <w:b/>
        </w:rPr>
        <w:t>Your uploaded Requirements Document is Revision 2 (5 October), a response to a first submission that scored 86 out of 100.</w:t>
      </w:r>
      <w:r>
        <w:rPr>
          <w:b w:val="0"/>
        </w:rPr>
        <w:t xml:space="preserve"> It was audited directly (counts verified: 57 tasks, 43 lowest-level tasks all used in scenarios, 31 functional requirements with FR-31 the only one unused, scenario requirement counts correct). Revision 2 itself has </w:t>
      </w:r>
      <w:r>
        <w:rPr>
          <w:b/>
        </w:rPr>
        <w:t>not</w:t>
      </w:r>
      <w:r>
        <w:rPr>
          <w:b w:val="0"/>
        </w:rPr>
        <w:t xml:space="preserve"> been rewritten: the changes in section 3 depend on decisions the team makes on Monday and on Cohen’s Wednesday answers, so they are written as drop-in edits to apply after the session.</w:t>
      </w:r>
    </w:p>
    <w:p>
      <w:pPr>
        <w:pStyle w:val="Heading1"/>
      </w:pPr>
      <w:r>
        <w:t>2. Objectives and expectations, deliverable by deliverable</w:t>
      </w:r>
    </w:p>
    <w:p>
      <w:pPr>
        <w:pStyle w:val="Heading2"/>
      </w:pPr>
      <w:r>
        <w:t>2.1 The QA list (due Monday 5 October, Action A5)</w:t>
      </w:r>
    </w:p>
    <w:p>
      <w:r>
        <w:rPr>
          <w:b/>
          <w:sz w:val="20"/>
        </w:rPr>
        <w:t>Why it exists.</w:t>
      </w:r>
      <w:r>
        <w:rPr>
          <w:b w:val="0"/>
          <w:sz w:val="20"/>
        </w:rPr>
        <w:t xml:space="preserve"> The Chair moved this pass to you on Saturday so the team has a structured view on Monday instead of going through screens at random. Kathryn and Christian attend the start of the session for team dynamics, so you have about </w:t>
      </w:r>
      <w:r>
        <w:rPr>
          <w:b/>
          <w:sz w:val="20"/>
        </w:rPr>
        <w:t>ten minutes</w:t>
      </w:r>
      <w:r>
        <w:rPr>
          <w:b w:val="0"/>
          <w:sz w:val="20"/>
        </w:rPr>
        <w:t>.</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2880"/>
            <w:shd w:val="clear" w:color="auto" w:fill="1F3A5F"/>
          </w:tcPr>
          <w:p>
            <w:r/>
            <w:r>
              <w:rPr>
                <w:b/>
                <w:color w:val="FFFFFF"/>
                <w:sz w:val="19"/>
              </w:rPr>
              <w:t>Objective</w:t>
            </w:r>
          </w:p>
        </w:tc>
        <w:tc>
          <w:tcPr>
            <w:tcW w:type="dxa" w:w="7056"/>
            <w:shd w:val="clear" w:color="auto" w:fill="1F3A5F"/>
          </w:tcPr>
          <w:p>
            <w:r/>
            <w:r>
              <w:rPr>
                <w:b/>
                <w:color w:val="FFFFFF"/>
                <w:sz w:val="19"/>
              </w:rPr>
              <w:t>What “met” looks like</w:t>
            </w:r>
          </w:p>
        </w:tc>
      </w:tr>
      <w:tr>
        <w:trPr>
          <w:cantSplit w:val="true"/>
        </w:trPr>
        <w:tc>
          <w:tcPr>
            <w:tcW w:type="dxa" w:w="2880"/>
            <w:shd w:val="clear" w:color="auto" w:fill="F2F4F7"/>
          </w:tcPr>
          <w:p>
            <w:pPr>
              <w:spacing w:after="40"/>
            </w:pPr>
            <w:r/>
            <w:r>
              <w:rPr>
                <w:b w:val="0"/>
                <w:sz w:val="19"/>
              </w:rPr>
              <w:t>Turn the session into decisions</w:t>
            </w:r>
          </w:p>
        </w:tc>
        <w:tc>
          <w:tcPr>
            <w:tcW w:type="dxa" w:w="7056"/>
          </w:tcPr>
          <w:p>
            <w:pPr>
              <w:spacing w:after="40"/>
            </w:pPr>
            <w:r/>
            <w:r>
              <w:rPr>
                <w:b w:val="0"/>
                <w:sz w:val="19"/>
              </w:rPr>
              <w:t>The open matters from Saturday (C3 to C9) arrive with one recommendation each, in priority order. The meeting decides; it does not reopen the discussion.</w:t>
            </w:r>
          </w:p>
        </w:tc>
      </w:tr>
      <w:tr>
        <w:trPr>
          <w:cantSplit w:val="true"/>
        </w:trPr>
        <w:tc>
          <w:tcPr>
            <w:tcW w:type="dxa" w:w="2880"/>
            <w:shd w:val="clear" w:color="auto" w:fill="F2F4F7"/>
          </w:tcPr>
          <w:p>
            <w:pPr>
              <w:spacing w:after="40"/>
            </w:pPr>
            <w:r/>
            <w:r>
              <w:rPr>
                <w:b w:val="0"/>
                <w:sz w:val="19"/>
              </w:rPr>
              <w:t>Give the builders a change list</w:t>
            </w:r>
          </w:p>
        </w:tc>
        <w:tc>
          <w:tcPr>
            <w:tcW w:type="dxa" w:w="7056"/>
          </w:tcPr>
          <w:p>
            <w:pPr>
              <w:spacing w:after="40"/>
            </w:pPr>
            <w:r/>
            <w:r>
              <w:rPr>
                <w:b w:val="0"/>
                <w:sz w:val="19"/>
              </w:rPr>
              <w:t>Felix and Anne-Marie can act on each item without interpreting it: it names the screen and the change.</w:t>
            </w:r>
          </w:p>
        </w:tc>
      </w:tr>
      <w:tr>
        <w:trPr>
          <w:cantSplit w:val="true"/>
        </w:trPr>
        <w:tc>
          <w:tcPr>
            <w:tcW w:type="dxa" w:w="2880"/>
            <w:shd w:val="clear" w:color="auto" w:fill="F2F4F7"/>
          </w:tcPr>
          <w:p>
            <w:pPr>
              <w:spacing w:after="40"/>
            </w:pPr>
            <w:r/>
            <w:r>
              <w:rPr>
                <w:b w:val="0"/>
                <w:sz w:val="19"/>
              </w:rPr>
              <w:t>Separate evidence from assumption</w:t>
            </w:r>
          </w:p>
        </w:tc>
        <w:tc>
          <w:tcPr>
            <w:tcW w:type="dxa" w:w="7056"/>
          </w:tcPr>
          <w:p>
            <w:pPr>
              <w:spacing w:after="40"/>
            </w:pPr>
            <w:r/>
            <w:r>
              <w:rPr>
                <w:b w:val="0"/>
                <w:sz w:val="19"/>
              </w:rPr>
              <w:t>Each item says Confirmed, Single source, Hypothesis, Assumption or Team decision. Nothing the team decided is presented to Cohen or in the video as a fact about how Infrastructure works.</w:t>
            </w:r>
          </w:p>
        </w:tc>
      </w:tr>
      <w:tr>
        <w:trPr>
          <w:cantSplit w:val="true"/>
        </w:trPr>
        <w:tc>
          <w:tcPr>
            <w:tcW w:type="dxa" w:w="2880"/>
            <w:shd w:val="clear" w:color="auto" w:fill="F2F4F7"/>
          </w:tcPr>
          <w:p>
            <w:pPr>
              <w:spacing w:after="40"/>
            </w:pPr>
            <w:r/>
            <w:r>
              <w:rPr>
                <w:b w:val="0"/>
                <w:sz w:val="19"/>
              </w:rPr>
              <w:t>Convert open questions into asks</w:t>
            </w:r>
          </w:p>
        </w:tc>
        <w:tc>
          <w:tcPr>
            <w:tcW w:type="dxa" w:w="7056"/>
          </w:tcPr>
          <w:p>
            <w:pPr>
              <w:spacing w:after="40"/>
            </w:pPr>
            <w:r/>
            <w:r>
              <w:rPr>
                <w:b w:val="0"/>
                <w:sz w:val="19"/>
              </w:rPr>
              <w:t>Every validation need has a named source: Cohen on Wednesday, an Infrastructure user, Kai, the teaching team or the usability test. The eleven Cohen questions are ready for Mmenyene’s email.</w:t>
            </w:r>
          </w:p>
        </w:tc>
      </w:tr>
      <w:tr>
        <w:trPr>
          <w:cantSplit w:val="true"/>
        </w:trPr>
        <w:tc>
          <w:tcPr>
            <w:tcW w:type="dxa" w:w="2880"/>
            <w:shd w:val="clear" w:color="auto" w:fill="F2F4F7"/>
          </w:tcPr>
          <w:p>
            <w:pPr>
              <w:spacing w:after="40"/>
            </w:pPr>
            <w:r/>
            <w:r>
              <w:rPr>
                <w:b w:val="0"/>
                <w:sz w:val="19"/>
              </w:rPr>
              <w:t>Keep prototype and document one story</w:t>
            </w:r>
          </w:p>
        </w:tc>
        <w:tc>
          <w:tcPr>
            <w:tcW w:type="dxa" w:w="7056"/>
          </w:tcPr>
          <w:p>
            <w:pPr>
              <w:spacing w:after="40"/>
            </w:pPr>
            <w:r/>
            <w:r>
              <w:rPr>
                <w:b w:val="0"/>
                <w:sz w:val="19"/>
              </w:rPr>
              <w:t>Each screen change that alters a requirement, task, scenario or data item is listed for the Requirements Document update.</w:t>
            </w:r>
          </w:p>
        </w:tc>
      </w:tr>
    </w:tbl>
    <w:p>
      <w:pPr>
        <w:spacing w:after="40"/>
      </w:pPr>
    </w:p>
    <w:p>
      <w:r>
        <w:rPr>
          <w:b/>
          <w:sz w:val="20"/>
        </w:rPr>
        <w:t>Expectations and limits.</w:t>
      </w:r>
      <w:r>
        <w:rPr>
          <w:b w:val="0"/>
          <w:sz w:val="20"/>
        </w:rPr>
        <w:t xml:space="preserve"> One pass, simple list, every item has evidence status, validation need and recommended change. It is </w:t>
      </w:r>
      <w:r>
        <w:rPr>
          <w:b/>
          <w:sz w:val="20"/>
        </w:rPr>
        <w:t>not</w:t>
      </w:r>
      <w:r>
        <w:rPr>
          <w:b w:val="0"/>
          <w:sz w:val="20"/>
        </w:rPr>
        <w:t xml:space="preserve"> a redesign, a usability test or a visual-polish review, and it does not rule on matters the meeting left open: it recommends, the team decides. As scribe you also record each decision with one owner and a date.</w:t>
      </w:r>
    </w:p>
    <w:p>
      <w:pPr>
        <w:pStyle w:val="Heading2"/>
      </w:pPr>
      <w:r>
        <w:t>2.2 The Requirements Document (18 October submission, Dr. Sara Nabil)</w:t>
      </w:r>
    </w:p>
    <w:p>
      <w:r>
        <w:rPr>
          <w:b w:val="0"/>
          <w:sz w:val="20"/>
        </w:rPr>
        <w:t>The submission must carry the QA outcomes and must score at the top band on each criterion. Revision 2 states it is built to answer each comment from the first marking and to make the artefacts agree. “Excellent” here means: every requirement is specific, testable and traced to evidence; the task model holds only the user’s tasks; scenarios use concrete personas and cover every task; the data dictionary defines every term used; user characterization comes from research with sources and gaps stated; personas are shaped by that research; and all six artefacts tell one story.</w:t>
      </w:r>
    </w:p>
    <w:p>
      <w:pPr>
        <w:pStyle w:val="Heading2"/>
      </w:pPr>
      <w:r>
        <w:t>2.3 The prototype, video and briefing (what the QA list protects)</w:t>
      </w:r>
    </w:p>
    <w:p>
      <w:pPr>
        <w:pStyle w:val="ListBullet"/>
        <w:spacing w:after="40"/>
      </w:pPr>
      <w:r>
        <w:rPr>
          <w:b w:val="0"/>
        </w:rPr>
        <w:t>One link to the Figma file that will be submitted, sent to Cohen only when Scenario 2 is as complete as Scenario 1.</w:t>
      </w:r>
    </w:p>
    <w:p>
      <w:pPr>
        <w:pStyle w:val="ListBullet"/>
        <w:spacing w:after="40"/>
      </w:pPr>
      <w:r>
        <w:rPr>
          <w:b w:val="0"/>
        </w:rPr>
        <w:t>Build method and fidelity are unresolved (low versus mid; Figma Make versus manual). Do not add generated screens to the submission file until the teaching team replies.</w:t>
      </w:r>
    </w:p>
    <w:p>
      <w:pPr>
        <w:pStyle w:val="ListBullet"/>
        <w:spacing w:after="40"/>
      </w:pPr>
      <w:r>
        <w:rPr>
          <w:b w:val="0"/>
        </w:rPr>
        <w:t>The video must label hypotheses as hypotheses, say the checklist logic is simulated, and not show WORTS screens publicly without Cohen’s written permission.</w:t>
      </w:r>
    </w:p>
    <w:p>
      <w:pPr>
        <w:pStyle w:val="Heading1"/>
      </w:pPr>
      <w:r>
        <w:t>3. Upgrading the Requirements Document to “excellent”</w:t>
      </w:r>
    </w:p>
    <w:p>
      <w:r>
        <w:rPr>
          <w:b w:val="0"/>
          <w:sz w:val="20"/>
        </w:rPr>
        <w:t>Rubric criteria in the order of the feedback table, with the current mark, what is still weak, and the exact edit to make. Marks shown are those awarded on the first submission; No claim is made about the revised score.</w:t>
      </w:r>
    </w:p>
    <w:p>
      <w:pPr>
        <w:pStyle w:val="Heading2"/>
      </w:pPr>
      <w:r>
        <w:t>3.1 Requirements (18 / 20)</w:t>
      </w:r>
    </w:p>
    <w:p>
      <w:pPr>
        <w:pStyle w:val="ListBullet"/>
        <w:spacing w:after="40"/>
      </w:pPr>
      <w:r>
        <w:rPr>
          <w:b/>
          <w:sz w:val="19"/>
        </w:rPr>
        <w:t>Add two columns to the functional requirements table: Priority (Must, Should, Could) and Fit criterion</w:t>
      </w:r>
      <w:r>
        <w:rPr>
          <w:b w:val="0"/>
          <w:sz w:val="19"/>
        </w:rPr>
        <w:t xml:space="preserve"> (how a reviewer will know it is met). Example: FR-14 Fit: “after submitting, the confirmation shows Work Order ID, submission date, Request Status, Workflow Stage, Assigned Coordinator or ‘not yet assigned’, Next Step and Action Required.” This is what separates a clear requirement from a testable one.</w:t>
      </w:r>
    </w:p>
    <w:p>
      <w:pPr>
        <w:pStyle w:val="ListBullet"/>
        <w:spacing w:after="40"/>
      </w:pPr>
      <w:r>
        <w:rPr>
          <w:b/>
          <w:sz w:val="19"/>
        </w:rPr>
        <w:t>FR-14:</w:t>
      </w:r>
      <w:r>
        <w:rPr>
          <w:b w:val="0"/>
          <w:sz w:val="19"/>
        </w:rPr>
        <w:t xml:space="preserve"> extend to the five facts, from QA 1.11. </w:t>
      </w:r>
      <w:r>
        <w:rPr>
          <w:b/>
          <w:sz w:val="19"/>
        </w:rPr>
        <w:t>FR-15:</w:t>
      </w:r>
      <w:r>
        <w:rPr>
          <w:b w:val="0"/>
          <w:sz w:val="19"/>
        </w:rPr>
        <w:t xml:space="preserve"> “show role first and name second; show ‘Awaiting initial review, not yet assigned’ before assignment”. Rev 2 FR-15 presumes an assigned coordinator from submission.</w:t>
      </w:r>
    </w:p>
    <w:p>
      <w:pPr>
        <w:pStyle w:val="ListBullet"/>
        <w:spacing w:after="40"/>
      </w:pPr>
      <w:r>
        <w:rPr>
          <w:b/>
          <w:sz w:val="19"/>
        </w:rPr>
        <w:t>FR-03 and FR-06:</w:t>
      </w:r>
      <w:r>
        <w:rPr>
          <w:b w:val="0"/>
          <w:sz w:val="19"/>
        </w:rPr>
        <w:t xml:space="preserve"> state that Request Type is chosen first and that checklist guidance appears beside the form and on a Help page, with no separate confirm step (QA 1.2, 1.3).</w:t>
      </w:r>
    </w:p>
    <w:p>
      <w:pPr>
        <w:pStyle w:val="ListBullet"/>
        <w:spacing w:after="40"/>
      </w:pPr>
      <w:r>
        <w:rPr>
          <w:b/>
          <w:sz w:val="19"/>
        </w:rPr>
        <w:t>FR-23:</w:t>
      </w:r>
      <w:r>
        <w:rPr>
          <w:b w:val="0"/>
          <w:sz w:val="19"/>
        </w:rPr>
        <w:t xml:space="preserve"> outcomes Approved, Changes requested, Declined; keep the mechanism open under O3 (QA 2.5, 2.6).</w:t>
      </w:r>
    </w:p>
    <w:p>
      <w:pPr>
        <w:pStyle w:val="ListBullet"/>
        <w:spacing w:after="40"/>
      </w:pPr>
      <w:r>
        <w:rPr>
          <w:b/>
          <w:sz w:val="19"/>
        </w:rPr>
        <w:t>New non-functional requirement LF-03:</w:t>
      </w:r>
      <w:r>
        <w:rPr>
          <w:b w:val="0"/>
          <w:sz w:val="19"/>
        </w:rPr>
        <w:t xml:space="preserve"> status shall never be conveyed by colour alone. Section 6.2 of Revision 2 already says this in prose but no NFR carries it.</w:t>
      </w:r>
    </w:p>
    <w:p>
      <w:pPr>
        <w:pStyle w:val="ListBullet"/>
        <w:spacing w:after="40"/>
      </w:pPr>
      <w:r>
        <w:rPr>
          <w:b/>
          <w:sz w:val="19"/>
        </w:rPr>
        <w:t>Evidence tag on each requirement (C, S, H, A)</w:t>
      </w:r>
      <w:r>
        <w:rPr>
          <w:b w:val="0"/>
          <w:sz w:val="19"/>
        </w:rPr>
        <w:t xml:space="preserve"> so that hypotheses (stage names, stalled period in FR-18, holder name) are visibly hypotheses. Add open issue </w:t>
      </w:r>
      <w:r>
        <w:rPr>
          <w:b/>
          <w:sz w:val="19"/>
        </w:rPr>
        <w:t>O6</w:t>
      </w:r>
      <w:r>
        <w:rPr>
          <w:b w:val="0"/>
          <w:sz w:val="19"/>
        </w:rPr>
        <w:t>: the period after which a request counts as stalled (FR-18) is unset.</w:t>
      </w:r>
    </w:p>
    <w:p>
      <w:pPr>
        <w:pStyle w:val="ListBullet"/>
        <w:spacing w:after="40"/>
      </w:pPr>
      <w:r>
        <w:rPr>
          <w:b w:val="0"/>
          <w:sz w:val="19"/>
        </w:rPr>
        <w:t>FR-31 has no requester scenario. Say so in the requirement (“Infrastructure reporting; no requester scenario”) or add a one-line staff scenario in an appendix.</w:t>
      </w:r>
    </w:p>
    <w:p>
      <w:pPr>
        <w:pStyle w:val="Heading2"/>
      </w:pPr>
      <w:r>
        <w:t>3.2 Task Model (18 / 20)</w:t>
      </w:r>
    </w:p>
    <w:p>
      <w:pPr>
        <w:pStyle w:val="ListBullet"/>
        <w:spacing w:after="40"/>
      </w:pPr>
      <w:r>
        <w:rPr>
          <w:b/>
          <w:sz w:val="19"/>
        </w:rPr>
        <w:t>Plans are missing for goals 1 and 6.</w:t>
      </w:r>
      <w:r>
        <w:rPr>
          <w:b w:val="0"/>
          <w:sz w:val="19"/>
        </w:rPr>
        <w:t xml:space="preserve"> Revision 2 gives Plans 0, 2, 3, 4 and 5 only. Add: </w:t>
      </w:r>
      <w:r>
        <w:rPr>
          <w:b/>
          <w:sz w:val="19"/>
        </w:rPr>
        <w:t>Plan 1:</w:t>
      </w:r>
      <w:r>
        <w:rPr>
          <w:b w:val="0"/>
          <w:sz w:val="19"/>
        </w:rPr>
        <w:t xml:space="preserve"> do 1.1, then 1.2, then 1.3 when the form is first opened and whenever a term is unclear. </w:t>
      </w:r>
      <w:r>
        <w:rPr>
          <w:b/>
          <w:sz w:val="19"/>
        </w:rPr>
        <w:t>Plan 6:</w:t>
      </w:r>
      <w:r>
        <w:rPr>
          <w:b w:val="0"/>
          <w:sz w:val="19"/>
        </w:rPr>
        <w:t xml:space="preserve"> do 6.1 once the work is fulfilled; if something remains, do 6.2, then 6.1 when it is resolved.</w:t>
      </w:r>
    </w:p>
    <w:p>
      <w:pPr>
        <w:pStyle w:val="ListBullet"/>
        <w:spacing w:after="40"/>
      </w:pPr>
      <w:r>
        <w:rPr>
          <w:b/>
          <w:sz w:val="19"/>
        </w:rPr>
        <w:t>Plan 5:</w:t>
      </w:r>
      <w:r>
        <w:rPr>
          <w:b w:val="0"/>
          <w:sz w:val="19"/>
        </w:rPr>
        <w:t xml:space="preserve"> add that the requester waits for a notification between submission and the proposal, then does 5.8 (QA list, section 7).</w:t>
      </w:r>
    </w:p>
    <w:p>
      <w:pPr>
        <w:pStyle w:val="ListBullet"/>
        <w:spacing w:after="40"/>
      </w:pPr>
      <w:r>
        <w:rPr>
          <w:b/>
          <w:sz w:val="19"/>
        </w:rPr>
        <w:t>5.8.3 Record the client’s decision:</w:t>
      </w:r>
      <w:r>
        <w:rPr>
          <w:b w:val="0"/>
          <w:sz w:val="19"/>
        </w:rPr>
        <w:t xml:space="preserve"> state the three outcomes. Keep 5.8.2 dashed (outside the system).</w:t>
      </w:r>
    </w:p>
    <w:p>
      <w:pPr>
        <w:pStyle w:val="ListBullet"/>
        <w:spacing w:after="40"/>
      </w:pPr>
      <w:r>
        <w:rPr>
          <w:b w:val="0"/>
          <w:sz w:val="19"/>
        </w:rPr>
        <w:t>Keep the model the requester’s alone. Revision 2 already removed the three Infrastructure tasks, which answers the earlier comment.</w:t>
      </w:r>
    </w:p>
    <w:p>
      <w:pPr>
        <w:pStyle w:val="Heading2"/>
      </w:pPr>
      <w:r>
        <w:t>3.3 Scenarios (18 / 20)</w:t>
      </w:r>
    </w:p>
    <w:p>
      <w:pPr>
        <w:pStyle w:val="ListBullet"/>
        <w:spacing w:after="40"/>
      </w:pPr>
      <w:r>
        <w:rPr>
          <w:b/>
          <w:sz w:val="19"/>
        </w:rPr>
        <w:t>Scenario 7:</w:t>
      </w:r>
      <w:r>
        <w:rPr>
          <w:b w:val="0"/>
          <w:sz w:val="19"/>
        </w:rPr>
        <w:t xml:space="preserve"> add a short variation for changes requested or declined, so the decision is not only approval (QA 2.6).</w:t>
      </w:r>
    </w:p>
    <w:p>
      <w:pPr>
        <w:pStyle w:val="ListBullet"/>
        <w:spacing w:after="40"/>
      </w:pPr>
      <w:r>
        <w:rPr>
          <w:b/>
          <w:sz w:val="19"/>
        </w:rPr>
        <w:t>Scenario 3:</w:t>
      </w:r>
      <w:r>
        <w:rPr>
          <w:b w:val="0"/>
          <w:sz w:val="19"/>
        </w:rPr>
        <w:t xml:space="preserve"> end on the five-fact Submit Confirmation: stage, awaiting initial review, role holder not yet assigned, next step, nothing needed from Kevin (QA 1.11).</w:t>
      </w:r>
    </w:p>
    <w:p>
      <w:pPr>
        <w:pStyle w:val="ListBullet"/>
        <w:spacing w:after="40"/>
      </w:pPr>
      <w:r>
        <w:rPr>
          <w:b w:val="0"/>
          <w:sz w:val="19"/>
        </w:rPr>
        <w:t>Keep the 14-chair McDougall Centre case as the single thread across Scenarios 3 and 7 and in the prototype (QA 3.2). Confirm in section 8 of the Requirements Document that Kevin on the screens is Kevin Sato and Joy is the Furniture Coordinator.</w:t>
      </w:r>
    </w:p>
    <w:p>
      <w:pPr>
        <w:pStyle w:val="ListBullet"/>
        <w:spacing w:after="40"/>
      </w:pPr>
      <w:r>
        <w:rPr>
          <w:b w:val="0"/>
          <w:sz w:val="19"/>
        </w:rPr>
        <w:t>Revision 2 passes the coverage test (all 43 lowest-level tasks used; 30 of 31 requirements used). Keep that table and add the evidence tags.</w:t>
      </w:r>
    </w:p>
    <w:p>
      <w:pPr>
        <w:pStyle w:val="Heading2"/>
      </w:pPr>
      <w:r>
        <w:t>3.4 Data Dictionary (10 / 10): protect it</w:t>
      </w:r>
    </w:p>
    <w:p>
      <w:pPr>
        <w:pStyle w:val="ListBullet"/>
        <w:spacing w:after="40"/>
      </w:pPr>
      <w:r>
        <w:rPr>
          <w:b/>
          <w:sz w:val="19"/>
        </w:rPr>
        <w:t>Request Status:</w:t>
      </w:r>
      <w:r>
        <w:rPr>
          <w:b w:val="0"/>
          <w:sz w:val="19"/>
        </w:rPr>
        <w:t xml:space="preserve"> Revision 2 lists submitted, in progress, pending, completed, cancelled. The prototype uses Submitted, Reviewing, Fulfilling, Closed with a sub-status pair. Align the two once Cohen answers Q4 (open issue O2), and keep both visible until then.</w:t>
      </w:r>
    </w:p>
    <w:p>
      <w:pPr>
        <w:pStyle w:val="ListBullet"/>
        <w:spacing w:after="40"/>
      </w:pPr>
      <w:r>
        <w:rPr>
          <w:b/>
          <w:sz w:val="19"/>
        </w:rPr>
        <w:t>Priority Level</w:t>
      </w:r>
      <w:r>
        <w:rPr>
          <w:b w:val="0"/>
          <w:sz w:val="19"/>
        </w:rPr>
        <w:t xml:space="preserve"> is listed as “urgent, high, low” with no middle value. Check against the client UAT field list (QA 1.5) and correct if a value is missing.</w:t>
      </w:r>
    </w:p>
    <w:p>
      <w:pPr>
        <w:pStyle w:val="ListBullet"/>
        <w:spacing w:after="40"/>
      </w:pPr>
      <w:r>
        <w:rPr>
          <w:b w:val="0"/>
          <w:sz w:val="19"/>
        </w:rPr>
        <w:t>Add: Draft, sub-status pair, Current holder (role, name), Activity entry, Infrastructure Attachment (“definition pending”), Client Decision outcomes, product name. Optionally add Format and Example columns.</w:t>
      </w:r>
    </w:p>
    <w:p>
      <w:pPr>
        <w:pStyle w:val="Heading2"/>
      </w:pPr>
      <w:r>
        <w:t>3.5 User Characterization (5 / 10): the biggest remaining gain</w:t>
      </w:r>
    </w:p>
    <w:p>
      <w:pPr>
        <w:pStyle w:val="ListBullet"/>
        <w:spacing w:after="40"/>
      </w:pPr>
      <w:r>
        <w:rPr>
          <w:b w:val="0"/>
          <w:sz w:val="19"/>
        </w:rPr>
        <w:t xml:space="preserve">Revision 2 rewrites all five dimensions with sources, which is the right fix. To reach the top band: state </w:t>
      </w:r>
      <w:r>
        <w:rPr>
          <w:b/>
          <w:sz w:val="19"/>
        </w:rPr>
        <w:t>sample size and strength</w:t>
      </w:r>
      <w:r>
        <w:rPr>
          <w:b w:val="0"/>
          <w:sz w:val="19"/>
        </w:rPr>
        <w:t xml:space="preserve"> plainly in section 6.1 of the Requirements Document (two CMACs interviewed, rest relayed), and keep section 6.3 as a dated plan with owners.</w:t>
      </w:r>
    </w:p>
    <w:p>
      <w:pPr>
        <w:pStyle w:val="ListBullet"/>
        <w:spacing w:after="40"/>
      </w:pPr>
      <w:r>
        <w:rPr>
          <w:b/>
          <w:sz w:val="19"/>
        </w:rPr>
        <w:t>Close gaps as evidence arrives:</w:t>
      </w:r>
      <w:r>
        <w:rPr>
          <w:b w:val="0"/>
          <w:sz w:val="19"/>
        </w:rPr>
        <w:t xml:space="preserve"> after the usability screener, replace each “G” with an answer. Add Cohen’s Wednesday answers on who the users are (Q9).</w:t>
      </w:r>
    </w:p>
    <w:p>
      <w:pPr>
        <w:pStyle w:val="ListBullet"/>
        <w:spacing w:after="40"/>
      </w:pPr>
      <w:r>
        <w:rPr>
          <w:b w:val="0"/>
          <w:sz w:val="19"/>
        </w:rPr>
        <w:t>Add the QA facts: use frequency differs, long-serving users may be habituated, and the client is a stakeholder but not a user in this version (QA list, section 7).</w:t>
      </w:r>
    </w:p>
    <w:p>
      <w:pPr>
        <w:pStyle w:val="ListBullet"/>
        <w:spacing w:after="40"/>
      </w:pPr>
      <w:r>
        <w:rPr>
          <w:b/>
          <w:sz w:val="19"/>
        </w:rPr>
        <w:t>Replace the dated age evidence</w:t>
      </w:r>
      <w:r>
        <w:rPr>
          <w:b w:val="0"/>
          <w:sz w:val="19"/>
        </w:rPr>
        <w:t xml:space="preserve"> (2010 to 2015) with the newest profile available, or say plainly that it is the latest found.</w:t>
      </w:r>
    </w:p>
    <w:p>
      <w:pPr>
        <w:pStyle w:val="Heading2"/>
      </w:pPr>
      <w:r>
        <w:t>3.6 Personas (17 / 20)</w:t>
      </w:r>
    </w:p>
    <w:p>
      <w:pPr>
        <w:pStyle w:val="ListBullet"/>
        <w:spacing w:after="40"/>
      </w:pPr>
      <w:r>
        <w:rPr>
          <w:b/>
          <w:sz w:val="19"/>
        </w:rPr>
        <w:t>Ages contradict the characterization.</w:t>
      </w:r>
      <w:r>
        <w:rPr>
          <w:b w:val="0"/>
          <w:sz w:val="19"/>
        </w:rPr>
        <w:t xml:space="preserve"> Section 6.2 says the centre of the group is mid-career or later, with an average public-service age of 45 to 46. The personas are 40, 36 and 24. Fix: Kevin 46 (fourteen years in service, eight as CMAC still fits); Priya 49 (settled in Calgary at nineteen, so thirty years of English at work; eleven years as CMAC); keep Elena at 24 as the stress case and say so. Change the “seventeen years” in Priya’s culture paragraph to match.</w:t>
      </w:r>
    </w:p>
    <w:p>
      <w:pPr>
        <w:pStyle w:val="ListBullet"/>
        <w:spacing w:after="40"/>
      </w:pPr>
      <w:r>
        <w:rPr>
          <w:b/>
          <w:sz w:val="19"/>
        </w:rPr>
        <w:t>Name each persona’s design consequence in one line</w:t>
      </w:r>
      <w:r>
        <w:rPr>
          <w:b w:val="0"/>
          <w:sz w:val="19"/>
        </w:rPr>
        <w:t xml:space="preserve"> that appears again on the screens (for example, Elena: guidance inside the request).</w:t>
      </w:r>
    </w:p>
    <w:p>
      <w:pPr>
        <w:pStyle w:val="ListBullet"/>
        <w:spacing w:after="40"/>
      </w:pPr>
      <w:r>
        <w:rPr>
          <w:b w:val="0"/>
          <w:sz w:val="19"/>
        </w:rPr>
        <w:t>Keep the cultural-background rewrite (language, working culture, place tied to a need). Check Scenario 8 against Elena’s biography so the intranet route and the “old emails” route read as one story.</w:t>
      </w:r>
    </w:p>
    <w:p>
      <w:pPr>
        <w:pStyle w:val="Heading2"/>
      </w:pPr>
      <w:r>
        <w:t>3.7 Artefact agreement (the rubric’s consistency test)</w:t>
      </w:r>
    </w:p>
    <w:p>
      <w:pPr>
        <w:pStyle w:val="ListBullet"/>
        <w:spacing w:after="40"/>
      </w:pPr>
      <w:r>
        <w:rPr>
          <w:b w:val="0"/>
          <w:sz w:val="19"/>
        </w:rPr>
        <w:t xml:space="preserve">Add a short </w:t>
      </w:r>
      <w:r>
        <w:rPr>
          <w:b/>
          <w:sz w:val="19"/>
        </w:rPr>
        <w:t>traceability row to section 8 of the Requirements Document</w:t>
      </w:r>
      <w:r>
        <w:rPr>
          <w:b w:val="0"/>
          <w:sz w:val="19"/>
        </w:rPr>
        <w:t xml:space="preserve"> for each QA item that changes a requirement, naming the item, the requirement and the scenario it affects.</w:t>
      </w:r>
    </w:p>
    <w:p>
      <w:pPr>
        <w:pStyle w:val="ListBullet"/>
        <w:spacing w:after="40"/>
      </w:pPr>
      <w:r>
        <w:rPr>
          <w:b w:val="0"/>
          <w:sz w:val="19"/>
        </w:rPr>
        <w:t>Close the three open checks listed at the end of its section 8: Request Type list (O1), Workflow Stage names (O2), and Kevin and Joy naming.</w:t>
      </w:r>
    </w:p>
    <w:p>
      <w:pPr>
        <w:pStyle w:val="ListBullet"/>
        <w:spacing w:after="40"/>
      </w:pPr>
      <w:r>
        <w:rPr>
          <w:b w:val="0"/>
          <w:sz w:val="19"/>
        </w:rPr>
        <w:t>One product name in the title, headers and text once Cohen confirms (QA 3.4).</w:t>
      </w:r>
    </w:p>
    <w:p>
      <w:pPr>
        <w:pStyle w:val="Heading1"/>
      </w:pPr>
      <w:r>
        <w:t>4. Step-by-step strategy</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2160"/>
            <w:shd w:val="clear" w:color="auto" w:fill="1F3A5F"/>
          </w:tcPr>
          <w:p>
            <w:r/>
            <w:r>
              <w:rPr>
                <w:b/>
                <w:color w:val="FFFFFF"/>
                <w:sz w:val="18"/>
              </w:rPr>
              <w:t>When</w:t>
            </w:r>
          </w:p>
        </w:tc>
        <w:tc>
          <w:tcPr>
            <w:tcW w:type="dxa" w:w="6192"/>
            <w:shd w:val="clear" w:color="auto" w:fill="1F3A5F"/>
          </w:tcPr>
          <w:p>
            <w:r/>
            <w:r>
              <w:rPr>
                <w:b/>
                <w:color w:val="FFFFFF"/>
                <w:sz w:val="18"/>
              </w:rPr>
              <w:t>Step</w:t>
            </w:r>
          </w:p>
        </w:tc>
        <w:tc>
          <w:tcPr>
            <w:tcW w:type="dxa" w:w="1584"/>
            <w:shd w:val="clear" w:color="auto" w:fill="1F3A5F"/>
          </w:tcPr>
          <w:p>
            <w:r/>
            <w:r>
              <w:rPr>
                <w:b/>
                <w:color w:val="FFFFFF"/>
                <w:sz w:val="18"/>
              </w:rPr>
              <w:t>Output</w:t>
            </w:r>
          </w:p>
        </w:tc>
      </w:tr>
      <w:tr>
        <w:trPr>
          <w:cantSplit w:val="true"/>
        </w:trPr>
        <w:tc>
          <w:tcPr>
            <w:tcW w:type="dxa" w:w="2160"/>
          </w:tcPr>
          <w:p>
            <w:pPr>
              <w:spacing w:after="40"/>
            </w:pPr>
            <w:r/>
            <w:r>
              <w:rPr>
                <w:b w:val="0"/>
                <w:sz w:val="18"/>
              </w:rPr>
              <w:t>Before Monday’s session (about 30 minutes)</w:t>
            </w:r>
          </w:p>
        </w:tc>
        <w:tc>
          <w:tcPr>
            <w:tcW w:type="dxa" w:w="6192"/>
          </w:tcPr>
          <w:p>
            <w:pPr>
              <w:spacing w:after="40"/>
            </w:pPr>
            <w:r/>
            <w:r>
              <w:rPr>
                <w:b w:val="0"/>
                <w:sz w:val="18"/>
              </w:rPr>
              <w:t>1. Open the Figma file in Present mode and walk Appendix A of the QA list; record what you find in the last column and update any item that changed. 2. Send Felix the 3 October transcript (A8). 3. Post the QA list in the team channel so no one meets it cold. 4. Read the Assignment 2 feedback on D2L (announced 3 October).</w:t>
            </w:r>
          </w:p>
        </w:tc>
        <w:tc>
          <w:tcPr>
            <w:tcW w:type="dxa" w:w="1584"/>
          </w:tcPr>
          <w:p>
            <w:pPr>
              <w:spacing w:after="40"/>
            </w:pPr>
            <w:r/>
            <w:r>
              <w:rPr>
                <w:b w:val="0"/>
                <w:sz w:val="18"/>
              </w:rPr>
              <w:t>Check sheet completed; list posted</w:t>
            </w:r>
          </w:p>
        </w:tc>
      </w:tr>
      <w:tr>
        <w:trPr>
          <w:cantSplit w:val="true"/>
        </w:trPr>
        <w:tc>
          <w:tcPr>
            <w:tcW w:type="dxa" w:w="2160"/>
          </w:tcPr>
          <w:p>
            <w:pPr>
              <w:spacing w:after="40"/>
            </w:pPr>
            <w:r/>
            <w:r>
              <w:rPr>
                <w:b w:val="0"/>
                <w:sz w:val="18"/>
              </w:rPr>
              <w:t>Monday, in the session (10 minutes)</w:t>
            </w:r>
          </w:p>
        </w:tc>
        <w:tc>
          <w:tcPr>
            <w:tcW w:type="dxa" w:w="6192"/>
          </w:tcPr>
          <w:p>
            <w:pPr>
              <w:spacing w:after="40"/>
            </w:pPr>
            <w:r/>
            <w:r>
              <w:rPr>
                <w:b w:val="0"/>
                <w:sz w:val="18"/>
              </w:rPr>
              <w:t>5. State the three findings (QA list, section 1) in under two minutes. 6. Go straight to the eight decisions (QA list, section 2), one at a time; do not read the register out. 7. As scribe, record each decision with one owner and a date. 8. Collect corrections to the 1 and 3 October summaries.</w:t>
            </w:r>
          </w:p>
        </w:tc>
        <w:tc>
          <w:tcPr>
            <w:tcW w:type="dxa" w:w="1584"/>
          </w:tcPr>
          <w:p>
            <w:pPr>
              <w:spacing w:after="40"/>
            </w:pPr>
            <w:r/>
            <w:r>
              <w:rPr>
                <w:b w:val="0"/>
                <w:sz w:val="18"/>
              </w:rPr>
              <w:t>Decisions log</w:t>
            </w:r>
          </w:p>
        </w:tc>
      </w:tr>
      <w:tr>
        <w:trPr>
          <w:cantSplit w:val="true"/>
        </w:trPr>
        <w:tc>
          <w:tcPr>
            <w:tcW w:type="dxa" w:w="2160"/>
          </w:tcPr>
          <w:p>
            <w:pPr>
              <w:spacing w:after="40"/>
            </w:pPr>
            <w:r/>
            <w:r>
              <w:rPr>
                <w:b w:val="0"/>
                <w:sz w:val="18"/>
              </w:rPr>
              <w:t>Monday, straight after</w:t>
            </w:r>
          </w:p>
        </w:tc>
        <w:tc>
          <w:tcPr>
            <w:tcW w:type="dxa" w:w="6192"/>
          </w:tcPr>
          <w:p>
            <w:pPr>
              <w:spacing w:after="40"/>
            </w:pPr>
            <w:r/>
            <w:r>
              <w:rPr>
                <w:b w:val="0"/>
                <w:sz w:val="18"/>
              </w:rPr>
              <w:t>9. Hand P1 changes for Scenario 1 to Felix and for Scenario 2 to Anne-Marie. 10. Pass the eleven questions to Mmenyene for the email to Cohen. 11. Ask the teaching team to confirm build method and fidelity (item 3.8).</w:t>
            </w:r>
          </w:p>
        </w:tc>
        <w:tc>
          <w:tcPr>
            <w:tcW w:type="dxa" w:w="1584"/>
          </w:tcPr>
          <w:p>
            <w:pPr>
              <w:spacing w:after="40"/>
            </w:pPr>
            <w:r/>
            <w:r>
              <w:rPr>
                <w:b w:val="0"/>
                <w:sz w:val="18"/>
              </w:rPr>
              <w:t>Hand-offs sent</w:t>
            </w:r>
          </w:p>
        </w:tc>
      </w:tr>
      <w:tr>
        <w:trPr>
          <w:cantSplit w:val="true"/>
        </w:trPr>
        <w:tc>
          <w:tcPr>
            <w:tcW w:type="dxa" w:w="2160"/>
          </w:tcPr>
          <w:p>
            <w:pPr>
              <w:spacing w:after="40"/>
            </w:pPr>
            <w:r/>
            <w:r>
              <w:rPr>
                <w:b w:val="0"/>
                <w:sz w:val="18"/>
              </w:rPr>
              <w:t>By Tuesday 6 October</w:t>
            </w:r>
          </w:p>
        </w:tc>
        <w:tc>
          <w:tcPr>
            <w:tcW w:type="dxa" w:w="6192"/>
          </w:tcPr>
          <w:p>
            <w:pPr>
              <w:spacing w:after="40"/>
            </w:pPr>
            <w:r/>
            <w:r>
              <w:rPr>
                <w:b w:val="0"/>
                <w:sz w:val="18"/>
              </w:rPr>
              <w:t>12. Finish the status table and sample-data sheet (drafts in QA Appendix B). 13. Compare the four stages with the workflow Cohen shared on 1 October (item 2.2). 14. Re-tag any item the Monday decisions changed.</w:t>
            </w:r>
          </w:p>
        </w:tc>
        <w:tc>
          <w:tcPr>
            <w:tcW w:type="dxa" w:w="1584"/>
          </w:tcPr>
          <w:p>
            <w:pPr>
              <w:spacing w:after="40"/>
            </w:pPr>
            <w:r/>
            <w:r>
              <w:rPr>
                <w:b w:val="0"/>
                <w:sz w:val="18"/>
              </w:rPr>
              <w:t>Two shared artefacts; comparison note</w:t>
            </w:r>
          </w:p>
        </w:tc>
      </w:tr>
      <w:tr>
        <w:trPr>
          <w:cantSplit w:val="true"/>
        </w:trPr>
        <w:tc>
          <w:tcPr>
            <w:tcW w:type="dxa" w:w="2160"/>
          </w:tcPr>
          <w:p>
            <w:pPr>
              <w:spacing w:after="40"/>
            </w:pPr>
            <w:r/>
            <w:r>
              <w:rPr>
                <w:b w:val="0"/>
                <w:sz w:val="18"/>
              </w:rPr>
              <w:t>Wednesday 7 October (Cohen meeting)</w:t>
            </w:r>
          </w:p>
        </w:tc>
        <w:tc>
          <w:tcPr>
            <w:tcW w:type="dxa" w:w="6192"/>
          </w:tcPr>
          <w:p>
            <w:pPr>
              <w:spacing w:after="40"/>
            </w:pPr>
            <w:r/>
            <w:r>
              <w:rPr>
                <w:b w:val="0"/>
                <w:sz w:val="18"/>
              </w:rPr>
              <w:t>15. Take the eleven questions; write each answer straight onto the register and re-tag C, S, H or A. Use the “If the answer is…” column to act immediately.</w:t>
            </w:r>
          </w:p>
        </w:tc>
        <w:tc>
          <w:tcPr>
            <w:tcW w:type="dxa" w:w="1584"/>
          </w:tcPr>
          <w:p>
            <w:pPr>
              <w:spacing w:after="40"/>
            </w:pPr>
            <w:r/>
            <w:r>
              <w:rPr>
                <w:b w:val="0"/>
                <w:sz w:val="18"/>
              </w:rPr>
              <w:t>Updated register</w:t>
            </w:r>
          </w:p>
        </w:tc>
      </w:tr>
      <w:tr>
        <w:trPr>
          <w:cantSplit w:val="true"/>
        </w:trPr>
        <w:tc>
          <w:tcPr>
            <w:tcW w:type="dxa" w:w="2160"/>
          </w:tcPr>
          <w:p>
            <w:pPr>
              <w:spacing w:after="40"/>
            </w:pPr>
            <w:r/>
            <w:r>
              <w:rPr>
                <w:b w:val="0"/>
                <w:sz w:val="18"/>
              </w:rPr>
              <w:t>After Wednesday, before the link goes out</w:t>
            </w:r>
          </w:p>
        </w:tc>
        <w:tc>
          <w:tcPr>
            <w:tcW w:type="dxa" w:w="6192"/>
          </w:tcPr>
          <w:p>
            <w:pPr>
              <w:spacing w:after="40"/>
            </w:pPr>
            <w:r/>
            <w:r>
              <w:rPr>
                <w:b w:val="0"/>
                <w:sz w:val="18"/>
              </w:rPr>
              <w:t>16. Second QA pass on the rebuilt screens. 17. Check Scenario 2 is as complete as Scenario 1 (item 3.5). 18. Apply the section 3 edits to the Requirements Document as Revision 3.</w:t>
            </w:r>
          </w:p>
        </w:tc>
        <w:tc>
          <w:tcPr>
            <w:tcW w:type="dxa" w:w="1584"/>
          </w:tcPr>
          <w:p>
            <w:pPr>
              <w:spacing w:after="40"/>
            </w:pPr>
            <w:r/>
            <w:r>
              <w:rPr>
                <w:b w:val="0"/>
                <w:sz w:val="18"/>
              </w:rPr>
              <w:t>Link to Cohen; Revision 3</w:t>
            </w:r>
          </w:p>
        </w:tc>
      </w:tr>
      <w:tr>
        <w:trPr>
          <w:cantSplit w:val="true"/>
        </w:trPr>
        <w:tc>
          <w:tcPr>
            <w:tcW w:type="dxa" w:w="2160"/>
          </w:tcPr>
          <w:p>
            <w:pPr>
              <w:spacing w:after="40"/>
            </w:pPr>
            <w:r/>
            <w:r>
              <w:rPr>
                <w:b w:val="0"/>
                <w:sz w:val="18"/>
              </w:rPr>
              <w:t>Before 18 October</w:t>
            </w:r>
          </w:p>
        </w:tc>
        <w:tc>
          <w:tcPr>
            <w:tcW w:type="dxa" w:w="6192"/>
          </w:tcPr>
          <w:p>
            <w:pPr>
              <w:spacing w:after="40"/>
            </w:pPr>
            <w:r/>
            <w:r>
              <w:rPr>
                <w:b w:val="0"/>
                <w:sz w:val="18"/>
              </w:rPr>
              <w:t>19. Usability test on Q1 to Q4 (QA list, section 6.2). 20. Final consistency check across requirements, task model, scenarios, data dictionary, characterization, personas, prototype and video. 21. Submit.</w:t>
            </w:r>
          </w:p>
        </w:tc>
        <w:tc>
          <w:tcPr>
            <w:tcW w:type="dxa" w:w="1584"/>
          </w:tcPr>
          <w:p>
            <w:pPr>
              <w:spacing w:after="40"/>
            </w:pPr>
            <w:r/>
            <w:r>
              <w:rPr>
                <w:b w:val="0"/>
                <w:sz w:val="18"/>
              </w:rPr>
              <w:t>Submission</w:t>
            </w:r>
          </w:p>
        </w:tc>
      </w:tr>
    </w:tbl>
    <w:p>
      <w:pPr>
        <w:spacing w:after="40"/>
      </w:pPr>
    </w:p>
    <w:p>
      <w:pPr>
        <w:pStyle w:val="Heading1"/>
      </w:pPr>
      <w:r>
        <w:t>5. Risks to watch</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2736"/>
            <w:shd w:val="clear" w:color="auto" w:fill="1F3A5F"/>
          </w:tcPr>
          <w:p>
            <w:r/>
            <w:r>
              <w:rPr>
                <w:b/>
                <w:color w:val="FFFFFF"/>
                <w:sz w:val="18"/>
              </w:rPr>
              <w:t>Risk</w:t>
            </w:r>
          </w:p>
        </w:tc>
        <w:tc>
          <w:tcPr>
            <w:tcW w:type="dxa" w:w="3744"/>
            <w:shd w:val="clear" w:color="auto" w:fill="1F3A5F"/>
          </w:tcPr>
          <w:p>
            <w:r/>
            <w:r>
              <w:rPr>
                <w:b/>
                <w:color w:val="FFFFFF"/>
                <w:sz w:val="18"/>
              </w:rPr>
              <w:t>Why it matters</w:t>
            </w:r>
          </w:p>
        </w:tc>
        <w:tc>
          <w:tcPr>
            <w:tcW w:type="dxa" w:w="3456"/>
            <w:shd w:val="clear" w:color="auto" w:fill="1F3A5F"/>
          </w:tcPr>
          <w:p>
            <w:r/>
            <w:r>
              <w:rPr>
                <w:b/>
                <w:color w:val="FFFFFF"/>
                <w:sz w:val="18"/>
              </w:rPr>
              <w:t>Guard</w:t>
            </w:r>
          </w:p>
        </w:tc>
      </w:tr>
      <w:tr>
        <w:trPr>
          <w:cantSplit w:val="true"/>
        </w:trPr>
        <w:tc>
          <w:tcPr>
            <w:tcW w:type="dxa" w:w="2736"/>
          </w:tcPr>
          <w:p>
            <w:pPr>
              <w:spacing w:after="40"/>
            </w:pPr>
            <w:r/>
            <w:r>
              <w:rPr>
                <w:b w:val="0"/>
                <w:sz w:val="18"/>
              </w:rPr>
              <w:t>Cohen does not answer by Wednesday</w:t>
            </w:r>
          </w:p>
        </w:tc>
        <w:tc>
          <w:tcPr>
            <w:tcW w:type="dxa" w:w="3744"/>
          </w:tcPr>
          <w:p>
            <w:pPr>
              <w:spacing w:after="40"/>
            </w:pPr>
            <w:r/>
            <w:r>
              <w:rPr>
                <w:b w:val="0"/>
                <w:sz w:val="18"/>
              </w:rPr>
              <w:t>Eleven items stay hypotheses; the video could overclaim.</w:t>
            </w:r>
          </w:p>
        </w:tc>
        <w:tc>
          <w:tcPr>
            <w:tcW w:type="dxa" w:w="3456"/>
          </w:tcPr>
          <w:p>
            <w:pPr>
              <w:spacing w:after="40"/>
            </w:pPr>
            <w:r/>
            <w:r>
              <w:rPr>
                <w:b w:val="0"/>
                <w:sz w:val="18"/>
              </w:rPr>
              <w:t>Each question has a fallback; label everything unanswered as a hypothesis.</w:t>
            </w:r>
          </w:p>
        </w:tc>
      </w:tr>
      <w:tr>
        <w:trPr>
          <w:cantSplit w:val="true"/>
        </w:trPr>
        <w:tc>
          <w:tcPr>
            <w:tcW w:type="dxa" w:w="2736"/>
          </w:tcPr>
          <w:p>
            <w:pPr>
              <w:spacing w:after="40"/>
            </w:pPr>
            <w:r/>
            <w:r>
              <w:rPr>
                <w:b w:val="0"/>
                <w:sz w:val="18"/>
              </w:rPr>
              <w:t>Build method ruled manual-only</w:t>
            </w:r>
          </w:p>
        </w:tc>
        <w:tc>
          <w:tcPr>
            <w:tcW w:type="dxa" w:w="3744"/>
          </w:tcPr>
          <w:p>
            <w:pPr>
              <w:spacing w:after="40"/>
            </w:pPr>
            <w:r/>
            <w:r>
              <w:rPr>
                <w:b w:val="0"/>
                <w:sz w:val="18"/>
              </w:rPr>
              <w:t>Generated Scenario 2 screens may have to be redone.</w:t>
            </w:r>
          </w:p>
        </w:tc>
        <w:tc>
          <w:tcPr>
            <w:tcW w:type="dxa" w:w="3456"/>
          </w:tcPr>
          <w:p>
            <w:pPr>
              <w:spacing w:after="40"/>
            </w:pPr>
            <w:r/>
            <w:r>
              <w:rPr>
                <w:b w:val="0"/>
                <w:sz w:val="18"/>
              </w:rPr>
              <w:t>Item 3.8: no new generated screens until the teaching team replies; keep a hand-build log.</w:t>
            </w:r>
          </w:p>
        </w:tc>
      </w:tr>
      <w:tr>
        <w:trPr>
          <w:cantSplit w:val="true"/>
        </w:trPr>
        <w:tc>
          <w:tcPr>
            <w:tcW w:type="dxa" w:w="2736"/>
          </w:tcPr>
          <w:p>
            <w:pPr>
              <w:spacing w:after="40"/>
            </w:pPr>
            <w:r/>
            <w:r>
              <w:rPr>
                <w:b w:val="0"/>
                <w:sz w:val="18"/>
              </w:rPr>
              <w:t>Time lost in the session</w:t>
            </w:r>
          </w:p>
        </w:tc>
        <w:tc>
          <w:tcPr>
            <w:tcW w:type="dxa" w:w="3744"/>
          </w:tcPr>
          <w:p>
            <w:pPr>
              <w:spacing w:after="40"/>
            </w:pPr>
            <w:r/>
            <w:r>
              <w:rPr>
                <w:b w:val="0"/>
                <w:sz w:val="18"/>
              </w:rPr>
              <w:t>Team-dynamics discussion shortens QA to ten minutes.</w:t>
            </w:r>
          </w:p>
        </w:tc>
        <w:tc>
          <w:tcPr>
            <w:tcW w:type="dxa" w:w="3456"/>
          </w:tcPr>
          <w:p>
            <w:pPr>
              <w:spacing w:after="40"/>
            </w:pPr>
            <w:r/>
            <w:r>
              <w:rPr>
                <w:b w:val="0"/>
                <w:sz w:val="18"/>
              </w:rPr>
              <w:t>Lead with decisions, not the register.</w:t>
            </w:r>
          </w:p>
        </w:tc>
      </w:tr>
      <w:tr>
        <w:trPr>
          <w:cantSplit w:val="true"/>
        </w:trPr>
        <w:tc>
          <w:tcPr>
            <w:tcW w:type="dxa" w:w="2736"/>
          </w:tcPr>
          <w:p>
            <w:pPr>
              <w:spacing w:after="40"/>
            </w:pPr>
            <w:r/>
            <w:r>
              <w:rPr>
                <w:b w:val="0"/>
                <w:sz w:val="18"/>
              </w:rPr>
              <w:t>Hypotheses written as requirements</w:t>
            </w:r>
          </w:p>
        </w:tc>
        <w:tc>
          <w:tcPr>
            <w:tcW w:type="dxa" w:w="3744"/>
          </w:tcPr>
          <w:p>
            <w:pPr>
              <w:spacing w:after="40"/>
            </w:pPr>
            <w:r/>
            <w:r>
              <w:rPr>
                <w:b w:val="0"/>
                <w:sz w:val="18"/>
              </w:rPr>
              <w:t>Weakens the Requirements score and Cohen’s trust.</w:t>
            </w:r>
          </w:p>
        </w:tc>
        <w:tc>
          <w:tcPr>
            <w:tcW w:type="dxa" w:w="3456"/>
          </w:tcPr>
          <w:p>
            <w:pPr>
              <w:spacing w:after="40"/>
            </w:pPr>
            <w:r/>
            <w:r>
              <w:rPr>
                <w:b w:val="0"/>
                <w:sz w:val="18"/>
              </w:rPr>
              <w:t>Evidence tag on every requirement and every screen claim.</w:t>
            </w:r>
          </w:p>
        </w:tc>
      </w:tr>
      <w:tr>
        <w:trPr>
          <w:cantSplit w:val="true"/>
        </w:trPr>
        <w:tc>
          <w:tcPr>
            <w:tcW w:type="dxa" w:w="2736"/>
          </w:tcPr>
          <w:p>
            <w:pPr>
              <w:spacing w:after="40"/>
            </w:pPr>
            <w:r/>
            <w:r>
              <w:rPr>
                <w:b w:val="0"/>
                <w:sz w:val="18"/>
              </w:rPr>
              <w:t>Live file differs from the list</w:t>
            </w:r>
          </w:p>
        </w:tc>
        <w:tc>
          <w:tcPr>
            <w:tcW w:type="dxa" w:w="3744"/>
          </w:tcPr>
          <w:p>
            <w:pPr>
              <w:spacing w:after="40"/>
            </w:pPr>
            <w:r/>
            <w:r>
              <w:rPr>
                <w:b w:val="0"/>
                <w:sz w:val="18"/>
              </w:rPr>
              <w:t>The pass reflects 1 and 3 October, not the weekend’s changes.</w:t>
            </w:r>
          </w:p>
        </w:tc>
        <w:tc>
          <w:tcPr>
            <w:tcW w:type="dxa" w:w="3456"/>
          </w:tcPr>
          <w:p>
            <w:pPr>
              <w:spacing w:after="40"/>
            </w:pPr>
            <w:r/>
            <w:r>
              <w:rPr>
                <w:b w:val="0"/>
                <w:sz w:val="18"/>
              </w:rPr>
              <w:t>Walk Appendix A before the session.</w:t>
            </w:r>
          </w:p>
        </w:tc>
      </w:tr>
    </w:tbl>
    <w:p>
      <w:pPr>
        <w:spacing w:after="40"/>
      </w:pPr>
    </w:p>
    <w:sectPr w:rsidR="00FC693F" w:rsidRPr="0006063C" w:rsidSect="00034616">
      <w:footerReference w:type="default" r:id="rId9"/>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color w:val="666666"/>
        <w:sz w:val="16"/>
      </w:rPr>
      <w:t xml:space="preserve">Team Dart | MDPM 883 Assignment 3 | Objectives and strategy | 5 October 2026   |   Page </w:t>
    </w:r>
    <w:r>
      <w:rPr>
        <w:sz w:val="16"/>
      </w:rPr>
      <w:fldChar w:fldCharType="begin"/>
    </w:r>
    <w:r>
      <w:rPr>
        <w:sz w:val="16"/>
      </w:rPr>
      <w:instrText xml:space="preserve">PAGE</w:instrText>
    </w:r>
    <w:r>
      <w:rPr>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