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B6670"/>
          <w:spacing w:val="40"/>
          <w:sz w:val="18"/>
          <w:szCs w:val="18"/>
        </w:rPr>
        <w:t xml:space="preserve">MEETING SUMMARY</w:t>
      </w:r>
    </w:p>
    <w:p>
      <w:pPr>
        <w:spacing w:after="40"/>
      </w:pPr>
      <w:r>
        <w:rPr>
          <w:rFonts w:ascii="Calibri" w:cs="Calibri" w:eastAsia="Calibri" w:hAnsi="Calibri"/>
          <w:b/>
          <w:bCs/>
          <w:color w:val="1F3A5F"/>
          <w:sz w:val="44"/>
          <w:szCs w:val="44"/>
        </w:rPr>
        <w:t xml:space="preserve">Team Dart — Client Support Call</w:t>
      </w:r>
    </w:p>
    <w:p>
      <w:pPr>
        <w:pBdr>
          <w:bottom w:val="single" w:color="1F3A5F" w:sz="12" w:space="6"/>
        </w:pBdr>
        <w:spacing w:after="160"/>
      </w:pPr>
      <w:r>
        <w:rPr>
          <w:rFonts w:ascii="Calibri" w:cs="Calibri" w:eastAsia="Calibri" w:hAnsi="Calibri"/>
          <w:color w:val="5B6670"/>
          <w:sz w:val="24"/>
          <w:szCs w:val="24"/>
        </w:rPr>
        <w:t xml:space="preserve">Wednesday, 14 October 2026</w:t>
      </w:r>
    </w:p>
    <w:p>
      <w:pPr>
        <w:pBdr>
          <w:left w:val="single" w:color="1F3A5F" w:sz="24" w:space="6"/>
        </w:pBdr>
        <w:shd w:fill="EEF2F7" w:color="auto" w:val="clear"/>
        <w:spacing w:after="160"/>
        <w:ind w:left="120"/>
      </w:pPr>
      <w:r>
        <w:rPr>
          <w:rFonts w:ascii="Calibri" w:cs="Calibri" w:eastAsia="Calibri" w:hAnsi="Calibri"/>
          <w:b/>
          <w:bCs/>
          <w:color w:val="333F4B"/>
          <w:sz w:val="19"/>
          <w:szCs w:val="19"/>
        </w:rPr>
        <w:t xml:space="preserve">Draft for correction.</w:t>
      </w:r>
      <w:r>
        <w:rPr>
          <w:rFonts w:ascii="Calibri" w:cs="Calibri" w:eastAsia="Calibri" w:hAnsi="Calibri"/>
          <w:color w:val="333F4B"/>
          <w:sz w:val="19"/>
          <w:szCs w:val="19"/>
        </w:rPr>
        <w:t xml:space="preserve"> Prepared on 19 October 2026 from the automatic transcript of the recording. Please report errors or omissions before this summary is confirmed.</w:t>
      </w:r>
    </w:p>
    <w:p>
      <w:pPr>
        <w:pStyle w:val="Heading1"/>
      </w:pPr>
      <w:r>
        <w:t xml:space="preserve">1. Meeting details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7748"/>
      </w:tblGrid>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Date</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Wednesday, 14 October 2026</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Time</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11:02 pm per the recording header (time zone not stated; the file name shows 19:02). Duration 38 min.</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Platform</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Online; recorded and auto-transcribed</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Purpose</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Client check-in: the team’s update to the client sponsor, and a request for guidance on the prototype, usability testing and scope (Prism furniture request work)</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Led by</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 for the team (no formal chair). Client lead: Cohen Mcleod.</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Note-taker</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named in the transcript; transcription was started by Adekunle Adeniji</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Present</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Cohen Mcleod (client sponsor); Warren Noronha, Mmenyene Umana, Qiuchen Li, Adekunle Adeniji (team)</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Absent / not recorded</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Fuyang Xu: Warren said at the start that he was not there. Anne-Marie Lampow: no contribution appears in the transcript, so attendance cannot be confirmed.</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Recording</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The recording begins partway through Warren’s update; the opening of the call is not captured.</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Declarations</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 in-camera session; no conflict of interest declared</w:t>
            </w:r>
          </w:p>
        </w:tc>
      </w:tr>
    </w:tbl>
    <w:p>
      <w:pPr>
        <w:pStyle w:val="Heading1"/>
      </w:pPr>
      <w:r>
        <w:t xml:space="preserve">2. Team update to the client</w:t>
      </w:r>
    </w:p>
    <w:p>
      <w:pPr>
        <w:pStyle w:val="ListParagraph"/>
        <w:numPr>
          <w:ilvl w:val="0"/>
          <w:numId w:val="2"/>
        </w:numPr>
        <w:spacing w:after="40"/>
      </w:pPr>
      <w:r>
        <w:rPr>
          <w:rFonts w:ascii="Calibri" w:cs="Calibri" w:eastAsia="Calibri" w:hAnsi="Calibri"/>
          <w:sz w:val="20"/>
          <w:szCs w:val="20"/>
        </w:rPr>
        <w:t xml:space="preserve">Warren Noronha said the team has not turned assumptions into confirmed business rules; it separates what can be tested as user experience from what still needs operational validation.</w:t>
      </w:r>
    </w:p>
    <w:p>
      <w:pPr>
        <w:pStyle w:val="ListParagraph"/>
        <w:numPr>
          <w:ilvl w:val="0"/>
          <w:numId w:val="2"/>
        </w:numPr>
        <w:spacing w:after="40"/>
      </w:pPr>
      <w:r>
        <w:rPr>
          <w:rFonts w:ascii="Calibri" w:cs="Calibri" w:eastAsia="Calibri" w:hAnsi="Calibri"/>
          <w:b/>
          <w:bCs/>
          <w:sz w:val="20"/>
          <w:szCs w:val="20"/>
        </w:rPr>
        <w:t xml:space="preserve">Prototype, journey 1 (submission):</w:t>
      </w:r>
      <w:r>
        <w:rPr>
          <w:rFonts w:ascii="Calibri" w:cs="Calibri" w:eastAsia="Calibri" w:hAnsi="Calibri"/>
          <w:sz w:val="20"/>
          <w:szCs w:val="20"/>
        </w:rPr>
        <w:t xml:space="preserve"> the submission path was cleaned up: guidance easier to find, less re-entry where sensible, required information and submission points clearer.</w:t>
      </w:r>
    </w:p>
    <w:p>
      <w:pPr>
        <w:pStyle w:val="ListParagraph"/>
        <w:numPr>
          <w:ilvl w:val="0"/>
          <w:numId w:val="2"/>
        </w:numPr>
        <w:spacing w:after="40"/>
      </w:pPr>
      <w:r>
        <w:rPr>
          <w:rFonts w:ascii="Calibri" w:cs="Calibri" w:eastAsia="Calibri" w:hAnsi="Calibri"/>
          <w:b/>
          <w:bCs/>
          <w:sz w:val="20"/>
          <w:szCs w:val="20"/>
        </w:rPr>
        <w:t xml:space="preserve">Prototype, journey 2 (post-submission):</w:t>
      </w:r>
      <w:r>
        <w:rPr>
          <w:rFonts w:ascii="Calibri" w:cs="Calibri" w:eastAsia="Calibri" w:hAnsi="Calibri"/>
          <w:sz w:val="20"/>
          <w:szCs w:val="20"/>
        </w:rPr>
        <w:t xml:space="preserve"> clearer status, activity information and messages within the request and proposal experience, so the requester can move from an update into the proposal, review it, share it with the client and find it again later. Some of these details are still treated as things to test.</w:t>
      </w:r>
    </w:p>
    <w:p>
      <w:pPr>
        <w:pStyle w:val="ListParagraph"/>
        <w:numPr>
          <w:ilvl w:val="0"/>
          <w:numId w:val="2"/>
        </w:numPr>
        <w:spacing w:after="40"/>
      </w:pPr>
      <w:r>
        <w:rPr>
          <w:rFonts w:ascii="Calibri" w:cs="Calibri" w:eastAsia="Calibri" w:hAnsi="Calibri"/>
          <w:b/>
          <w:bCs/>
          <w:sz w:val="20"/>
          <w:szCs w:val="20"/>
        </w:rPr>
        <w:t xml:space="preserve">Usability testing:</w:t>
      </w:r>
      <w:r>
        <w:rPr>
          <w:rFonts w:ascii="Calibri" w:cs="Calibri" w:eastAsia="Calibri" w:hAnsi="Calibri"/>
          <w:sz w:val="20"/>
          <w:szCs w:val="20"/>
        </w:rPr>
        <w:t xml:space="preserve"> Mmenyene Umana had sent the recruitment questionnaire. The team aims for five representative participants, a pilot, then formal sessions to see where people succeed, hesitate or misunderstand.</w:t>
      </w:r>
    </w:p>
    <w:p>
      <w:pPr>
        <w:pStyle w:val="ListParagraph"/>
        <w:numPr>
          <w:ilvl w:val="0"/>
          <w:numId w:val="2"/>
        </w:numPr>
        <w:spacing w:after="40"/>
      </w:pPr>
      <w:r>
        <w:rPr>
          <w:rFonts w:ascii="Calibri" w:cs="Calibri" w:eastAsia="Calibri" w:hAnsi="Calibri"/>
          <w:b/>
          <w:bCs/>
          <w:sz w:val="20"/>
          <w:szCs w:val="20"/>
        </w:rPr>
        <w:t xml:space="preserve">Timeline as stated:</w:t>
      </w:r>
      <w:r>
        <w:rPr>
          <w:rFonts w:ascii="Calibri" w:cs="Calibri" w:eastAsia="Calibri" w:hAnsi="Calibri"/>
          <w:sz w:val="20"/>
          <w:szCs w:val="20"/>
        </w:rPr>
        <w:t xml:space="preserve"> prototype milestone 18 October; usability testing plan 22 October; testing period; usability report in early November; prototype refinement before the 13 November product vision and prototype presentation.</w:t>
      </w:r>
    </w:p>
    <w:p>
      <w:pPr>
        <w:pStyle w:val="ListParagraph"/>
        <w:numPr>
          <w:ilvl w:val="0"/>
          <w:numId w:val="2"/>
        </w:numPr>
        <w:spacing w:after="40"/>
      </w:pPr>
      <w:r>
        <w:rPr>
          <w:rFonts w:ascii="Calibri" w:cs="Calibri" w:eastAsia="Calibri" w:hAnsi="Calibri"/>
          <w:b/>
          <w:bCs/>
          <w:sz w:val="20"/>
          <w:szCs w:val="20"/>
        </w:rPr>
        <w:t xml:space="preserve">M1 feedback:</w:t>
      </w:r>
      <w:r>
        <w:rPr>
          <w:rFonts w:ascii="Calibri" w:cs="Calibri" w:eastAsia="Calibri" w:hAnsi="Calibri"/>
          <w:sz w:val="20"/>
          <w:szCs w:val="20"/>
        </w:rPr>
        <w:t xml:space="preserve"> following Cohen’s Milestone 1 feedback that a briefing package would be more useful, the team sent a short document ahead of the call and will keep giving a concise record of what was learned, what changed, what is open and what comes next.</w:t>
      </w:r>
    </w:p>
    <w:p>
      <w:pPr>
        <w:pStyle w:val="ListParagraph"/>
        <w:numPr>
          <w:ilvl w:val="0"/>
          <w:numId w:val="2"/>
        </w:numPr>
        <w:spacing w:after="40"/>
      </w:pPr>
      <w:r>
        <w:rPr>
          <w:rFonts w:ascii="Calibri" w:cs="Calibri" w:eastAsia="Calibri" w:hAnsi="Calibri"/>
          <w:sz w:val="20"/>
          <w:szCs w:val="20"/>
        </w:rPr>
        <w:t xml:space="preserve">Warren asked whether the direction was useful and what to emphasise as usability testing begins.</w:t>
      </w:r>
    </w:p>
    <w:p>
      <w:pPr>
        <w:pStyle w:val="Heading1"/>
      </w:pPr>
      <w:r>
        <w:t xml:space="preserve">3. Client feedback and guidance</w:t>
      </w:r>
    </w:p>
    <w:p>
      <w:pPr>
        <w:keepNext/>
        <w:spacing w:after="60" w:before="60"/>
      </w:pPr>
      <w:r>
        <w:rPr>
          <w:rFonts w:ascii="Calibri" w:cs="Calibri" w:eastAsia="Calibri" w:hAnsi="Calibri"/>
          <w:b/>
          <w:bCs/>
          <w:sz w:val="20"/>
          <w:szCs w:val="20"/>
        </w:rPr>
        <w:t xml:space="preserve">3.1 Prototype</w:t>
      </w:r>
    </w:p>
    <w:p>
      <w:pPr>
        <w:pStyle w:val="ListParagraph"/>
        <w:numPr>
          <w:ilvl w:val="0"/>
          <w:numId w:val="2"/>
        </w:numPr>
        <w:spacing w:after="40"/>
      </w:pPr>
      <w:r>
        <w:rPr>
          <w:rFonts w:ascii="Calibri" w:cs="Calibri" w:eastAsia="Calibri" w:hAnsi="Calibri"/>
          <w:sz w:val="20"/>
          <w:szCs w:val="20"/>
        </w:rPr>
        <w:t xml:space="preserve">Cohen had not seen the latest version. He advised building out the other paths in the same way as the furniture path and tidying them, because people get caught up on small things and this gives better feedback.</w:t>
      </w:r>
    </w:p>
    <w:p>
      <w:pPr>
        <w:keepNext/>
        <w:spacing w:after="60" w:before="60"/>
      </w:pPr>
      <w:r>
        <w:rPr>
          <w:rFonts w:ascii="Calibri" w:cs="Calibri" w:eastAsia="Calibri" w:hAnsi="Calibri"/>
          <w:b/>
          <w:bCs/>
          <w:sz w:val="20"/>
          <w:szCs w:val="20"/>
        </w:rPr>
        <w:t xml:space="preserve">3.2 Recruitment and session logistics</w:t>
      </w:r>
    </w:p>
    <w:p>
      <w:pPr>
        <w:pStyle w:val="ListParagraph"/>
        <w:numPr>
          <w:ilvl w:val="0"/>
          <w:numId w:val="2"/>
        </w:numPr>
        <w:spacing w:after="40"/>
      </w:pPr>
      <w:r>
        <w:rPr>
          <w:rFonts w:ascii="Calibri" w:cs="Calibri" w:eastAsia="Calibri" w:hAnsi="Calibri"/>
          <w:sz w:val="20"/>
          <w:szCs w:val="20"/>
        </w:rPr>
        <w:t xml:space="preserve">Cohen sent the survey to about 120 people. Mmenyene had no responses as of the previous day; checking during the call, she found 18. More were expected, though some would be delayed by 48-hour notice periods.</w:t>
      </w:r>
    </w:p>
    <w:p>
      <w:pPr>
        <w:pStyle w:val="ListParagraph"/>
        <w:numPr>
          <w:ilvl w:val="0"/>
          <w:numId w:val="2"/>
        </w:numPr>
        <w:spacing w:after="40"/>
      </w:pPr>
      <w:r>
        <w:rPr>
          <w:rFonts w:ascii="Calibri" w:cs="Calibri" w:eastAsia="Calibri" w:hAnsi="Calibri"/>
          <w:sz w:val="20"/>
          <w:szCs w:val="20"/>
        </w:rPr>
        <w:t xml:space="preserve">Sessions are expected next week and the week after (Qiuchen Li confirmed this matches the team timeline).</w:t>
      </w:r>
    </w:p>
    <w:p>
      <w:pPr>
        <w:pStyle w:val="ListParagraph"/>
        <w:numPr>
          <w:ilvl w:val="0"/>
          <w:numId w:val="2"/>
        </w:numPr>
        <w:spacing w:after="40"/>
      </w:pPr>
      <w:r>
        <w:rPr>
          <w:rFonts w:ascii="Calibri" w:cs="Calibri" w:eastAsia="Calibri" w:hAnsi="Calibri"/>
          <w:sz w:val="20"/>
          <w:szCs w:val="20"/>
        </w:rPr>
        <w:t xml:space="preserve">Cohen asked the team to propose roughly one session per day on the days it wants and to send him the respondents who said yes. He will line up a participant for each session (for example an infrastructure staff member who actions requests, or a CMAC who submits them) and contact the respondents; the team is to put the sessions in his calendar.</w:t>
      </w:r>
    </w:p>
    <w:p>
      <w:pPr>
        <w:pStyle w:val="ListParagraph"/>
        <w:numPr>
          <w:ilvl w:val="0"/>
          <w:numId w:val="2"/>
        </w:numPr>
        <w:spacing w:after="40"/>
      </w:pPr>
      <w:r>
        <w:rPr>
          <w:rFonts w:ascii="Calibri" w:cs="Calibri" w:eastAsia="Calibri" w:hAnsi="Calibri"/>
          <w:sz w:val="20"/>
          <w:szCs w:val="20"/>
        </w:rPr>
        <w:t xml:space="preserve">There are 18 respondents plus a couple of CMAC contacts known to Cohen. If good participants run out, the team would speak with Cohen’s staff; he will say so in advance.</w:t>
      </w:r>
    </w:p>
    <w:p>
      <w:pPr>
        <w:keepNext/>
        <w:spacing w:after="60" w:before="60"/>
      </w:pPr>
      <w:r>
        <w:rPr>
          <w:rFonts w:ascii="Calibri" w:cs="Calibri" w:eastAsia="Calibri" w:hAnsi="Calibri"/>
          <w:b/>
          <w:bCs/>
          <w:sz w:val="20"/>
          <w:szCs w:val="20"/>
        </w:rPr>
        <w:t xml:space="preserve">3.3 Scenario design and facilitation</w:t>
      </w:r>
    </w:p>
    <w:p>
      <w:pPr>
        <w:pStyle w:val="ListParagraph"/>
        <w:numPr>
          <w:ilvl w:val="0"/>
          <w:numId w:val="2"/>
        </w:numPr>
        <w:spacing w:after="40"/>
      </w:pPr>
      <w:r>
        <w:rPr>
          <w:rFonts w:ascii="Calibri" w:cs="Calibri" w:eastAsia="Calibri" w:hAnsi="Calibri"/>
          <w:sz w:val="20"/>
          <w:szCs w:val="20"/>
        </w:rPr>
        <w:t xml:space="preserve">Use a scenario, even one bullet (such as “submit a furniture request”). Cohen cited a UAT he had joined that morning where testers were simply told to test the system.</w:t>
      </w:r>
    </w:p>
    <w:p>
      <w:pPr>
        <w:pStyle w:val="ListParagraph"/>
        <w:numPr>
          <w:ilvl w:val="0"/>
          <w:numId w:val="2"/>
        </w:numPr>
        <w:spacing w:after="40"/>
      </w:pPr>
      <w:r>
        <w:rPr>
          <w:rFonts w:ascii="Calibri" w:cs="Calibri" w:eastAsia="Calibri" w:hAnsi="Calibri"/>
          <w:sz w:val="20"/>
          <w:szCs w:val="20"/>
        </w:rPr>
        <w:t xml:space="preserve">Replying to Qiuchen, he said “pretend this is your normal job” leaves gaps; a concrete case works better (for example, a broken chair in a given room), with participants talking through how they would do it in the current system and whether the new flow fits.</w:t>
      </w:r>
    </w:p>
    <w:p>
      <w:pPr>
        <w:pStyle w:val="ListParagraph"/>
        <w:numPr>
          <w:ilvl w:val="0"/>
          <w:numId w:val="2"/>
        </w:numPr>
        <w:spacing w:after="40"/>
      </w:pPr>
      <w:r>
        <w:rPr>
          <w:rFonts w:ascii="Calibri" w:cs="Calibri" w:eastAsia="Calibri" w:hAnsi="Calibri"/>
          <w:sz w:val="20"/>
          <w:szCs w:val="20"/>
        </w:rPr>
        <w:t xml:space="preserve">He said coursework teaches an impartial, quiet approach, but a little back-and-forth helps participants; staying silent can make them standoffish. Acknowledging that the current system is disliked and that the team is helping replace it may help participants from more conservative ministries speak openly.</w:t>
      </w:r>
    </w:p>
    <w:p>
      <w:pPr>
        <w:pStyle w:val="ListParagraph"/>
        <w:numPr>
          <w:ilvl w:val="0"/>
          <w:numId w:val="2"/>
        </w:numPr>
        <w:spacing w:after="40"/>
      </w:pPr>
      <w:r>
        <w:rPr>
          <w:rFonts w:ascii="Calibri" w:cs="Calibri" w:eastAsia="Calibri" w:hAnsi="Calibri"/>
          <w:b/>
          <w:bCs/>
          <w:sz w:val="20"/>
          <w:szCs w:val="20"/>
        </w:rPr>
        <w:t xml:space="preserve">Incentives:</w:t>
      </w:r>
      <w:r>
        <w:rPr>
          <w:rFonts w:ascii="Calibri" w:cs="Calibri" w:eastAsia="Calibri" w:hAnsi="Calibri"/>
          <w:sz w:val="20"/>
          <w:szCs w:val="20"/>
        </w:rPr>
        <w:t xml:space="preserve"> none. Public servants cannot accept gifts; participants volunteer.</w:t>
      </w:r>
    </w:p>
    <w:p>
      <w:pPr>
        <w:keepNext/>
        <w:spacing w:after="60" w:before="60"/>
      </w:pPr>
      <w:r>
        <w:rPr>
          <w:rFonts w:ascii="Calibri" w:cs="Calibri" w:eastAsia="Calibri" w:hAnsi="Calibri"/>
          <w:b/>
          <w:bCs/>
          <w:sz w:val="20"/>
          <w:szCs w:val="20"/>
        </w:rPr>
        <w:t xml:space="preserve">3.4 Data pipeline scope (Mmenyene’s question)</w:t>
      </w:r>
    </w:p>
    <w:p>
      <w:pPr>
        <w:pStyle w:val="ListParagraph"/>
        <w:numPr>
          <w:ilvl w:val="0"/>
          <w:numId w:val="2"/>
        </w:numPr>
        <w:spacing w:after="40"/>
      </w:pPr>
      <w:r>
        <w:rPr>
          <w:rFonts w:ascii="Calibri" w:cs="Calibri" w:eastAsia="Calibri" w:hAnsi="Calibri"/>
          <w:sz w:val="20"/>
          <w:szCs w:val="20"/>
        </w:rPr>
        <w:t xml:space="preserve">Mmenyene asked how far to take external connections such as Snap Tracker and 1GX, on which the team has little visibility.</w:t>
      </w:r>
    </w:p>
    <w:p>
      <w:pPr>
        <w:pStyle w:val="ListParagraph"/>
        <w:numPr>
          <w:ilvl w:val="0"/>
          <w:numId w:val="2"/>
        </w:numPr>
        <w:spacing w:after="40"/>
      </w:pPr>
      <w:r>
        <w:rPr>
          <w:rFonts w:ascii="Calibri" w:cs="Calibri" w:eastAsia="Calibri" w:hAnsi="Calibri"/>
          <w:sz w:val="20"/>
          <w:szCs w:val="20"/>
        </w:rPr>
        <w:t xml:space="preserve">Cohen said the solution will live inside Prism Facilities (transcribed “Prison Facilities”), the application he is building to manage facilities in government buildings, and that integration is his to work out. He needs the workflow, independent of what it plugs into: assume supporting data (building information, supplies) exists and highlight where each step needs it.</w:t>
      </w:r>
    </w:p>
    <w:p>
      <w:pPr>
        <w:pStyle w:val="ListParagraph"/>
        <w:numPr>
          <w:ilvl w:val="0"/>
          <w:numId w:val="2"/>
        </w:numPr>
        <w:spacing w:after="40"/>
      </w:pPr>
      <w:r>
        <w:rPr>
          <w:rFonts w:ascii="Calibri" w:cs="Calibri" w:eastAsia="Calibri" w:hAnsi="Calibri"/>
          <w:sz w:val="20"/>
          <w:szCs w:val="20"/>
        </w:rPr>
        <w:t xml:space="preserve">He outlined the wider Prism structure: a role-based flow from facility evaluation through contractor, engineer review and manager approval, with facility coordinators, strategic planners and maintenance engineers handling scheduled, large-scale work. The team’s piece is ad hoc small requests (such as changing lights or furniture when something breaks), which he expects to appear as a work-order list for facility coordinators. Some functions (evaluation and TPM contractors) are moving to an external-facing service, so the work may later split into staff-facing and external-facing parts, still based on the team’s flows.</w:t>
      </w:r>
    </w:p>
    <w:p>
      <w:pPr>
        <w:keepNext/>
        <w:spacing w:after="60" w:before="60"/>
      </w:pPr>
      <w:r>
        <w:rPr>
          <w:rFonts w:ascii="Calibri" w:cs="Calibri" w:eastAsia="Calibri" w:hAnsi="Calibri"/>
          <w:b/>
          <w:bCs/>
          <w:sz w:val="20"/>
          <w:szCs w:val="20"/>
        </w:rPr>
        <w:t xml:space="preserve">3.5 Deliverable form and reuse (Warren’s questions)</w:t>
      </w:r>
    </w:p>
    <w:p>
      <w:pPr>
        <w:pStyle w:val="ListParagraph"/>
        <w:numPr>
          <w:ilvl w:val="0"/>
          <w:numId w:val="2"/>
        </w:numPr>
        <w:spacing w:after="40"/>
      </w:pPr>
      <w:r>
        <w:rPr>
          <w:rFonts w:ascii="Calibri" w:cs="Calibri" w:eastAsia="Calibri" w:hAnsi="Calibri"/>
          <w:sz w:val="20"/>
          <w:szCs w:val="20"/>
        </w:rPr>
        <w:t xml:space="preserve">Asked whether, after testing, a refined flow with a simple view of the information each step needs would help, Cohen said yes: a clickable prototype plus a write-up of how it works lets him replicate it in Prism, which he said he can do readily with AI tools; his team would then integrate it.</w:t>
      </w:r>
    </w:p>
    <w:p>
      <w:pPr>
        <w:pStyle w:val="ListParagraph"/>
        <w:numPr>
          <w:ilvl w:val="0"/>
          <w:numId w:val="2"/>
        </w:numPr>
        <w:spacing w:after="40"/>
      </w:pPr>
      <w:r>
        <w:rPr>
          <w:rFonts w:ascii="Calibri" w:cs="Calibri" w:eastAsia="Calibri" w:hAnsi="Calibri"/>
          <w:sz w:val="20"/>
          <w:szCs w:val="20"/>
        </w:rPr>
        <w:t xml:space="preserve">Asked whether the furniture flow could become a reusable service pattern, Cohen said one already exists: an application-submitter component on the design system (136 pages) that builds requests step by step and explains why each step is asked. He cited Government of Canada GC Forms as a comparable service and said configurable pick lists, and the ability to swap or reconfigure steps over time, would interest his team.</w:t>
      </w:r>
    </w:p>
    <w:p>
      <w:pPr>
        <w:keepNext/>
        <w:spacing w:after="60" w:before="60"/>
      </w:pPr>
      <w:r>
        <w:rPr>
          <w:rFonts w:ascii="Calibri" w:cs="Calibri" w:eastAsia="Calibri" w:hAnsi="Calibri"/>
          <w:b/>
          <w:bCs/>
          <w:sz w:val="20"/>
          <w:szCs w:val="20"/>
        </w:rPr>
        <w:t xml:space="preserve">3.6 Focus for testing and the end-to-end process</w:t>
      </w:r>
    </w:p>
    <w:p>
      <w:pPr>
        <w:pStyle w:val="ListParagraph"/>
        <w:numPr>
          <w:ilvl w:val="0"/>
          <w:numId w:val="2"/>
        </w:numPr>
        <w:spacing w:after="40"/>
      </w:pPr>
      <w:r>
        <w:rPr>
          <w:rFonts w:ascii="Calibri" w:cs="Calibri" w:eastAsia="Calibri" w:hAnsi="Calibri"/>
          <w:sz w:val="20"/>
          <w:szCs w:val="20"/>
        </w:rPr>
        <w:t xml:space="preserve">Asked what to watch in the furniture journey, Cohen asked the team to capture every step users take in the system and the ministries’ own processes for gathering and managing requests. Each ministry runs a shared Outlook inbox managed by staff, and the submitter often acts for someone else.</w:t>
      </w:r>
    </w:p>
    <w:p>
      <w:pPr>
        <w:pStyle w:val="ListParagraph"/>
        <w:numPr>
          <w:ilvl w:val="0"/>
          <w:numId w:val="2"/>
        </w:numPr>
        <w:spacing w:after="40"/>
      </w:pPr>
      <w:r>
        <w:rPr>
          <w:rFonts w:ascii="Calibri" w:cs="Calibri" w:eastAsia="Calibri" w:hAnsi="Calibri"/>
          <w:sz w:val="20"/>
          <w:szCs w:val="20"/>
        </w:rPr>
        <w:t xml:space="preserve">He described four parties: the person who needs the furniture change and emails the shared inbox; the CMAC who manages the shared inbox and moves the request into the work-order system (transcribed “Warts” / “wards”); the infrastructure staff member who actions it; and the vendor who delivers and closes it. Knowing this process helps identify low-hanging fruit and the MVP.</w:t>
      </w:r>
    </w:p>
    <w:p>
      <w:pPr>
        <w:pStyle w:val="ListParagraph"/>
        <w:numPr>
          <w:ilvl w:val="0"/>
          <w:numId w:val="2"/>
        </w:numPr>
        <w:spacing w:after="40"/>
      </w:pPr>
      <w:r>
        <w:rPr>
          <w:rFonts w:ascii="Calibri" w:cs="Calibri" w:eastAsia="Calibri" w:hAnsi="Calibri"/>
          <w:sz w:val="20"/>
          <w:szCs w:val="20"/>
        </w:rPr>
        <w:t xml:space="preserve">Adekunle Adeniji asked whether other parties’ workflows were wanted, given the project’s requester focus. Cohen said “as much as possible”: CMACs filling out requests and the staff processing work orders use the system directly; vendor activity currently happens outside the service but could move in; not all parties are needed for an MVP, but understanding them shows what fits now and later.</w:t>
      </w:r>
    </w:p>
    <w:p>
      <w:pPr>
        <w:pStyle w:val="ListParagraph"/>
        <w:numPr>
          <w:ilvl w:val="0"/>
          <w:numId w:val="2"/>
        </w:numPr>
        <w:spacing w:after="40"/>
      </w:pPr>
      <w:r>
        <w:rPr>
          <w:rFonts w:ascii="Calibri" w:cs="Calibri" w:eastAsia="Calibri" w:hAnsi="Calibri"/>
          <w:sz w:val="20"/>
          <w:szCs w:val="20"/>
        </w:rPr>
        <w:t xml:space="preserve">Adekunle proposed providing an end-to-end diagram rather than prototyping every part; Cohen agreed it would help (who acts, at which step, how the request moves). Warren restated that the team will capture the broader journey and downstream handoffs in a map without building every part into the prototype. Cohen confirmed, noting that some steps may stay outside the system as too difficult, slow or costly to build, or simply logical to leave outside.</w:t>
      </w:r>
    </w:p>
    <w:p>
      <w:pPr>
        <w:pStyle w:val="ListParagraph"/>
        <w:numPr>
          <w:ilvl w:val="0"/>
          <w:numId w:val="2"/>
        </w:numPr>
        <w:spacing w:after="40"/>
      </w:pPr>
      <w:r>
        <w:rPr>
          <w:rFonts w:ascii="Calibri" w:cs="Calibri" w:eastAsia="Calibri" w:hAnsi="Calibri"/>
          <w:sz w:val="20"/>
          <w:szCs w:val="20"/>
        </w:rPr>
        <w:t xml:space="preserve">Mmenyene noted the team’s M1 journey map covers the CMAC journey only and could be expanded. Cohen said Prism journey maps cover whole ministries and are very large.</w:t>
      </w:r>
    </w:p>
    <w:p>
      <w:pPr>
        <w:pStyle w:val="ListParagraph"/>
        <w:numPr>
          <w:ilvl w:val="0"/>
          <w:numId w:val="2"/>
        </w:numPr>
        <w:spacing w:after="40"/>
      </w:pPr>
      <w:r>
        <w:rPr>
          <w:rFonts w:ascii="Calibri" w:cs="Calibri" w:eastAsia="Calibri" w:hAnsi="Calibri"/>
          <w:sz w:val="20"/>
          <w:szCs w:val="20"/>
        </w:rPr>
        <w:t xml:space="preserve">Cohen said he did not know whether the team is empowered to define project scope or whether it evolves through discovery, and referred to a plan from the first phase; the sentence was not completed and no answer was recorded.</w:t>
      </w:r>
    </w:p>
    <w:p>
      <w:pPr>
        <w:keepNext/>
        <w:spacing w:after="60" w:before="60"/>
      </w:pPr>
      <w:r>
        <w:rPr>
          <w:rFonts w:ascii="Calibri" w:cs="Calibri" w:eastAsia="Calibri" w:hAnsi="Calibri"/>
          <w:b/>
          <w:bCs/>
          <w:sz w:val="20"/>
          <w:szCs w:val="20"/>
        </w:rPr>
        <w:t xml:space="preserve">3.7 Prototype versions</w:t>
      </w:r>
    </w:p>
    <w:p>
      <w:pPr>
        <w:pStyle w:val="ListParagraph"/>
        <w:numPr>
          <w:ilvl w:val="0"/>
          <w:numId w:val="2"/>
        </w:numPr>
        <w:spacing w:after="40"/>
      </w:pPr>
      <w:r>
        <w:rPr>
          <w:rFonts w:ascii="Calibri" w:cs="Calibri" w:eastAsia="Calibri" w:hAnsi="Calibri"/>
          <w:sz w:val="20"/>
          <w:szCs w:val="20"/>
        </w:rPr>
        <w:t xml:space="preserve">Warren said the prototype the team will send is the Figma version, which differs from the clickable version on screen (Mmenyene said it lacks, notably, the checklist), because the course does not allow AI use for the Figma prototype. Cohen said people like the checklist and that he would speak to Kathryn (course instructor) the next day; no commitment followed.</w:t>
      </w:r>
    </w:p>
    <w:p>
      <w:pPr>
        <w:pStyle w:val="ListParagraph"/>
        <w:numPr>
          <w:ilvl w:val="0"/>
          <w:numId w:val="2"/>
        </w:numPr>
        <w:spacing w:after="40"/>
      </w:pPr>
      <w:r>
        <w:rPr>
          <w:rFonts w:ascii="Calibri" w:cs="Calibri" w:eastAsia="Calibri" w:hAnsi="Calibri"/>
          <w:sz w:val="20"/>
          <w:szCs w:val="20"/>
        </w:rPr>
        <w:t xml:space="preserve">In passing, Cohen said the interface on screen had small text and navigation that needs work. It is not clear from the transcript whether this referred to his own application or the team’s prototype.</w:t>
      </w:r>
    </w:p>
    <w:p>
      <w:pPr>
        <w:keepNext/>
        <w:spacing w:after="60" w:before="60"/>
      </w:pPr>
      <w:r>
        <w:rPr>
          <w:rFonts w:ascii="Calibri" w:cs="Calibri" w:eastAsia="Calibri" w:hAnsi="Calibri"/>
          <w:b/>
          <w:bCs/>
          <w:sz w:val="20"/>
          <w:szCs w:val="20"/>
        </w:rPr>
        <w:t xml:space="preserve">3.8 Close</w:t>
      </w:r>
    </w:p>
    <w:p>
      <w:pPr>
        <w:pStyle w:val="ListParagraph"/>
        <w:numPr>
          <w:ilvl w:val="0"/>
          <w:numId w:val="2"/>
        </w:numPr>
        <w:spacing w:after="40"/>
      </w:pPr>
      <w:r>
        <w:rPr>
          <w:rFonts w:ascii="Calibri" w:cs="Calibri" w:eastAsia="Calibri" w:hAnsi="Calibri"/>
          <w:sz w:val="20"/>
          <w:szCs w:val="20"/>
        </w:rPr>
        <w:t xml:space="preserve">Cohen confirmed the overall direction, raised no terminology concerns, and said help connecting with the right furniture users and the detailed workflow questions were covered. What remains is meeting times and the updated prototype. Warren said the call gave the team what it needs for the next stage.</w:t>
      </w:r>
    </w:p>
    <w:p>
      <w:pPr>
        <w:pStyle w:val="Heading1"/>
      </w:pPr>
      <w:r>
        <w:t xml:space="preserve">4. Agreements and confirmations</w:t>
      </w:r>
    </w:p>
    <w:p>
      <w:pPr>
        <w:pStyle w:val="ListParagraph"/>
        <w:numPr>
          <w:ilvl w:val="0"/>
          <w:numId w:val="2"/>
        </w:numPr>
        <w:spacing w:after="40"/>
      </w:pPr>
      <w:r>
        <w:rPr>
          <w:rFonts w:ascii="Calibri" w:cs="Calibri" w:eastAsia="Calibri" w:hAnsi="Calibri"/>
          <w:b/>
          <w:bCs/>
          <w:sz w:val="20"/>
          <w:szCs w:val="20"/>
        </w:rPr>
        <w:t xml:space="preserve">Direction:</w:t>
      </w:r>
      <w:r>
        <w:rPr>
          <w:rFonts w:ascii="Calibri" w:cs="Calibri" w:eastAsia="Calibri" w:hAnsi="Calibri"/>
          <w:sz w:val="20"/>
          <w:szCs w:val="20"/>
        </w:rPr>
        <w:t xml:space="preserve"> confirmed by Cohen; no terminology concerns.</w:t>
      </w:r>
    </w:p>
    <w:p>
      <w:pPr>
        <w:pStyle w:val="ListParagraph"/>
        <w:numPr>
          <w:ilvl w:val="0"/>
          <w:numId w:val="2"/>
        </w:numPr>
        <w:spacing w:after="40"/>
      </w:pPr>
      <w:r>
        <w:rPr>
          <w:rFonts w:ascii="Calibri" w:cs="Calibri" w:eastAsia="Calibri" w:hAnsi="Calibri"/>
          <w:b/>
          <w:bCs/>
          <w:sz w:val="20"/>
          <w:szCs w:val="20"/>
        </w:rPr>
        <w:t xml:space="preserve">Scope:</w:t>
      </w:r>
      <w:r>
        <w:rPr>
          <w:rFonts w:ascii="Calibri" w:cs="Calibri" w:eastAsia="Calibri" w:hAnsi="Calibri"/>
          <w:sz w:val="20"/>
          <w:szCs w:val="20"/>
        </w:rPr>
        <w:t xml:space="preserve"> the prototype stays on the requester-facing furniture flow; the broader journey (person needing the furniture, shared inbox / CMAC, infrastructure, vendor) is captured in a journey map or diagram. Stated by Warren and confirmed by Cohen. </w:t>
      </w:r>
      <w:r>
        <w:rPr>
          <w:rFonts w:ascii="Calibri" w:cs="Calibri" w:eastAsia="Calibri" w:hAnsi="Calibri"/>
          <w:i/>
          <w:iCs/>
          <w:sz w:val="20"/>
          <w:szCs w:val="20"/>
        </w:rPr>
        <w:t xml:space="preserve">Caveat: operational assumptions remain assumptions; whether the team may define scope was not answered.</w:t>
      </w:r>
    </w:p>
    <w:p>
      <w:pPr>
        <w:pStyle w:val="ListParagraph"/>
        <w:numPr>
          <w:ilvl w:val="0"/>
          <w:numId w:val="2"/>
        </w:numPr>
        <w:spacing w:after="40"/>
      </w:pPr>
      <w:r>
        <w:rPr>
          <w:rFonts w:ascii="Calibri" w:cs="Calibri" w:eastAsia="Calibri" w:hAnsi="Calibri"/>
          <w:b/>
          <w:bCs/>
          <w:sz w:val="20"/>
          <w:szCs w:val="20"/>
        </w:rPr>
        <w:t xml:space="preserve">Post-testing deliverable:</w:t>
      </w:r>
      <w:r>
        <w:rPr>
          <w:rFonts w:ascii="Calibri" w:cs="Calibri" w:eastAsia="Calibri" w:hAnsi="Calibri"/>
          <w:sz w:val="20"/>
          <w:szCs w:val="20"/>
        </w:rPr>
        <w:t xml:space="preserve"> a refined clickable flow with a write-up of how it works and the information each step needs.</w:t>
      </w:r>
    </w:p>
    <w:p>
      <w:pPr>
        <w:pStyle w:val="ListParagraph"/>
        <w:numPr>
          <w:ilvl w:val="0"/>
          <w:numId w:val="2"/>
        </w:numPr>
        <w:spacing w:after="40"/>
      </w:pPr>
      <w:r>
        <w:rPr>
          <w:rFonts w:ascii="Calibri" w:cs="Calibri" w:eastAsia="Calibri" w:hAnsi="Calibri"/>
          <w:b/>
          <w:bCs/>
          <w:sz w:val="20"/>
          <w:szCs w:val="20"/>
        </w:rPr>
        <w:t xml:space="preserve">Incentives:</w:t>
      </w:r>
      <w:r>
        <w:rPr>
          <w:rFonts w:ascii="Calibri" w:cs="Calibri" w:eastAsia="Calibri" w:hAnsi="Calibri"/>
          <w:sz w:val="20"/>
          <w:szCs w:val="20"/>
        </w:rPr>
        <w:t xml:space="preserve"> none for participants.</w:t>
      </w:r>
    </w:p>
    <w:p>
      <w:pPr>
        <w:pStyle w:val="Heading1"/>
      </w:pPr>
      <w:r>
        <w:t xml:space="preserve">5. Action items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0"/>
        <w:gridCol w:w="4900"/>
        <w:gridCol w:w="2250"/>
        <w:gridCol w:w="2018"/>
      </w:tblGrid>
      <w:tr>
        <w:trPr>
          <w:cantSplit/>
          <w:tblHeader/>
        </w:trPr>
        <w:tc>
          <w:tcPr>
            <w:tcW w:type="dxa" w:w="48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w:t>
            </w:r>
          </w:p>
        </w:tc>
        <w:tc>
          <w:tcPr>
            <w:tcW w:type="dxa" w:w="490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Action / deliverable</w:t>
            </w:r>
          </w:p>
        </w:tc>
        <w:tc>
          <w:tcPr>
            <w:tcW w:type="dxa" w:w="225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Owner</w:t>
            </w:r>
          </w:p>
        </w:tc>
        <w:tc>
          <w:tcPr>
            <w:tcW w:type="dxa" w:w="2018"/>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Due</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Provide Cohen with the times the team can run sessions over the next two weeks (about one per day)</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Mmenyene Umana (proposed; not assigned on the call)</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stated</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2</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Send Cohen the survey respondents who agreed to take part</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Mmenyene Umana (acknowledged on the call)</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stated</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3</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Update the prototype and send the Figma version to Cohen</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stated (milestone 18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4</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Line up a participant per session and contact respondents; warn the team in advance if participants run short</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Cohen Mcleod</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After receiving times</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5</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Capture the end-to-end journey (person needing the furniture, shared inbox / CMAC, infrastructure, vendor) as a journey map, without prototyping every part</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assigned (Adekunle proposed; Warren confirmed)</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stated</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6</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After testing, provide the refined clickable flow with a write-up of how it works and each step’s information needs</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assigned (Warren offered)</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stated (after testing)</w:t>
            </w:r>
          </w:p>
        </w:tc>
      </w:tr>
    </w:tbl>
    <w:p>
      <w:pPr>
        <w:pStyle w:val="Heading1"/>
      </w:pPr>
      <w:r>
        <w:t xml:space="preserve">6. Items carried forward</w:t>
      </w:r>
    </w:p>
    <w:p>
      <w:pPr>
        <w:keepNext/>
        <w:spacing w:after="80"/>
      </w:pPr>
      <w:r>
        <w:rPr>
          <w:rFonts w:ascii="Calibri" w:cs="Calibri" w:eastAsia="Calibri" w:hAnsi="Calibri"/>
          <w:i/>
          <w:iCs/>
          <w:color w:val="5B6670"/>
          <w:sz w:val="18"/>
          <w:szCs w:val="18"/>
        </w:rPr>
        <w:t xml:space="preserve">No action-item register from an earlier meeting was reviewed on the call. These items were referred to.</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300"/>
        <w:gridCol w:w="6348"/>
      </w:tblGrid>
      <w:tr>
        <w:trPr>
          <w:cantSplit/>
          <w:tblHeader/>
        </w:trPr>
        <w:tc>
          <w:tcPr>
            <w:tcW w:type="dxa" w:w="330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Item carried forward</w:t>
            </w:r>
          </w:p>
        </w:tc>
        <w:tc>
          <w:tcPr>
            <w:tcW w:type="dxa" w:w="6348"/>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Current status</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Briefing package (requested by Cohen after M1)</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Done for this call: a short document was sent ahead. The team will continue concise updates.</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Usability recruitment questionnaire</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Sent. 18 responses at the time of the call (none as of the previous day).</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Prototype</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In progress; milestone due 18 October. Updated Figma version to follow.</w:t>
            </w:r>
          </w:p>
        </w:tc>
      </w:tr>
    </w:tbl>
    <w:p>
      <w:pPr>
        <w:pStyle w:val="Heading1"/>
      </w:pPr>
      <w:r>
        <w:t xml:space="preserve">7. Open points</w:t>
      </w:r>
    </w:p>
    <w:p>
      <w:pPr>
        <w:pStyle w:val="ListParagraph"/>
        <w:numPr>
          <w:ilvl w:val="0"/>
          <w:numId w:val="2"/>
        </w:numPr>
        <w:spacing w:after="40"/>
      </w:pPr>
      <w:r>
        <w:rPr>
          <w:rFonts w:ascii="Calibri" w:cs="Calibri" w:eastAsia="Calibri" w:hAnsi="Calibri"/>
          <w:sz w:val="20"/>
          <w:szCs w:val="20"/>
        </w:rPr>
        <w:t xml:space="preserve">Owners for actions 1, 2, 5 and 6 and due dates for actions 1, 2, 3, 5 and 6 (section 5) were not set on the call.</w:t>
      </w:r>
    </w:p>
    <w:p>
      <w:pPr>
        <w:pStyle w:val="ListParagraph"/>
        <w:numPr>
          <w:ilvl w:val="0"/>
          <w:numId w:val="2"/>
        </w:numPr>
        <w:spacing w:after="40"/>
      </w:pPr>
      <w:r>
        <w:rPr>
          <w:rFonts w:ascii="Calibri" w:cs="Calibri" w:eastAsia="Calibri" w:hAnsi="Calibri"/>
          <w:sz w:val="20"/>
          <w:szCs w:val="20"/>
        </w:rPr>
        <w:t xml:space="preserve">Whether the team may define project scope: Cohen’s question was left unanswered.</w:t>
      </w:r>
    </w:p>
    <w:p>
      <w:pPr>
        <w:pStyle w:val="ListParagraph"/>
        <w:numPr>
          <w:ilvl w:val="0"/>
          <w:numId w:val="2"/>
        </w:numPr>
        <w:spacing w:after="40"/>
      </w:pPr>
      <w:r>
        <w:rPr>
          <w:rFonts w:ascii="Calibri" w:cs="Calibri" w:eastAsia="Calibri" w:hAnsi="Calibri"/>
          <w:sz w:val="20"/>
          <w:szCs w:val="20"/>
        </w:rPr>
        <w:t xml:space="preserve">Whether Cohen’s remarks on small text and navigation referred to his application or the team’s prototype.</w:t>
      </w:r>
    </w:p>
    <w:p>
      <w:pPr>
        <w:pStyle w:val="ListParagraph"/>
        <w:numPr>
          <w:ilvl w:val="0"/>
          <w:numId w:val="2"/>
        </w:numPr>
        <w:spacing w:after="40"/>
      </w:pPr>
      <w:r>
        <w:rPr>
          <w:rFonts w:ascii="Calibri" w:cs="Calibri" w:eastAsia="Calibri" w:hAnsi="Calibri"/>
          <w:sz w:val="20"/>
          <w:szCs w:val="20"/>
        </w:rPr>
        <w:t xml:space="preserve">Name of the work-order system (“Warts” / “wards” in the transcript) to be confirmed.</w:t>
      </w:r>
    </w:p>
    <w:p>
      <w:pPr>
        <w:pStyle w:val="ListParagraph"/>
        <w:numPr>
          <w:ilvl w:val="0"/>
          <w:numId w:val="2"/>
        </w:numPr>
        <w:spacing w:after="40"/>
      </w:pPr>
      <w:r>
        <w:rPr>
          <w:rFonts w:ascii="Calibri" w:cs="Calibri" w:eastAsia="Calibri" w:hAnsi="Calibri"/>
          <w:sz w:val="20"/>
          <w:szCs w:val="20"/>
        </w:rPr>
        <w:t xml:space="preserve">Figma version versus the clickable version with a checklist: Cohen said he would speak to Kathryn; no outcome.</w:t>
      </w:r>
    </w:p>
    <w:p>
      <w:pPr>
        <w:pStyle w:val="Heading1"/>
      </w:pPr>
      <w:r>
        <w:t xml:space="preserve">8. References</w:t>
      </w:r>
    </w:p>
    <w:p>
      <w:pPr>
        <w:pStyle w:val="ListParagraph"/>
        <w:numPr>
          <w:ilvl w:val="0"/>
          <w:numId w:val="2"/>
        </w:numPr>
        <w:spacing w:after="40"/>
      </w:pPr>
      <w:r>
        <w:rPr>
          <w:rFonts w:ascii="Calibri" w:cs="Calibri" w:eastAsia="Calibri" w:hAnsi="Calibri"/>
          <w:sz w:val="20"/>
          <w:szCs w:val="20"/>
        </w:rPr>
        <w:t xml:space="preserve">Short briefing document sent to Cohen ahead of the call; recruitment questionnaire (sent by Cohen to about 120 people); Figma prototype and the clickable checklist version shown on the call.</w:t>
      </w:r>
    </w:p>
    <w:p>
      <w:pPr>
        <w:pStyle w:val="ListParagraph"/>
        <w:numPr>
          <w:ilvl w:val="0"/>
          <w:numId w:val="2"/>
        </w:numPr>
        <w:spacing w:after="40"/>
      </w:pPr>
      <w:r>
        <w:rPr>
          <w:rFonts w:ascii="Calibri" w:cs="Calibri" w:eastAsia="Calibri" w:hAnsi="Calibri"/>
          <w:sz w:val="20"/>
          <w:szCs w:val="20"/>
        </w:rPr>
        <w:t xml:space="preserve">Prism Facilities application (shown by Cohen); application-submitter component on the design system (136 pages); Government of Canada GC Forms; team journey map from M1; plan from the first phase of the project.</w:t>
      </w:r>
    </w:p>
    <w:p>
      <w:pPr>
        <w:spacing w:after="80"/>
      </w:pPr>
    </w:p>
    <w:p>
      <w:pPr>
        <w:spacing w:after="80"/>
      </w:pPr>
      <w:r>
        <w:rPr>
          <w:rFonts w:ascii="Calibri" w:cs="Calibri" w:eastAsia="Calibri" w:hAnsi="Calibri"/>
          <w:i/>
          <w:iCs/>
          <w:color w:val="5B6670"/>
          <w:sz w:val="18"/>
          <w:szCs w:val="18"/>
        </w:rPr>
        <w:t xml:space="preserve">Transcription note: names and terms were normalised from the automatic transcript where the meaning was clear. The requester role appears as CMAC, CIMVHR, C Max and CMAG and is written “CMAC” here; please confirm.</w:t>
      </w:r>
    </w:p>
    <w:sectPr>
      <w:headerReference w:type="default" r:id="rId7"/>
      <w:footerReference w:type="default" r:id="rId8"/>
      <w:pgSz w:w="12240" w:h="15840" w:orient="portrait"/>
      <w:pgMar w:top="1080" w:right="1296" w:bottom="1080" w:left="1296" w:header="52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tabs>
        <w:tab w:val="right" w:pos="9648"/>
      </w:tabs>
    </w:pPr>
    <w:r>
      <w:rPr>
        <w:rFonts w:ascii="Calibri" w:cs="Calibri" w:eastAsia="Calibri" w:hAnsi="Calibri"/>
        <w:color w:val="5B6670"/>
        <w:sz w:val="17"/>
        <w:szCs w:val="17"/>
      </w:rPr>
      <w:t xml:space="preserve">Draft for correction</w:t>
    </w:r>
    <w:r>
      <w:rPr>
        <w:rFonts w:ascii="Calibri" w:cs="Calibri" w:eastAsia="Calibri" w:hAnsi="Calibri"/>
        <w:color w:val="5B6670"/>
        <w:sz w:val="17"/>
        <w:szCs w:val="17"/>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670"/>
        <w:sz w:val="17"/>
        <w:szCs w:val="17"/>
      </w:rPr>
      <w:t xml:space="preserve">Team Dart · Client Support Call · 14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A5F" w:sz="6" w:space="2"/>
      </w:pBdr>
      <w:spacing w:after="120" w:before="320"/>
      <w:outlineLvl w:val="0"/>
    </w:pPr>
    <w:rPr>
      <w:rFonts w:ascii="Calibri" w:cs="Calibri" w:eastAsia="Calibri" w:hAnsi="Calibri"/>
      <w:b/>
      <w:bCs/>
      <w:color w:val="1F3A5F"/>
      <w:sz w:val="28"/>
      <w:szCs w:val="28"/>
    </w:rPr>
  </w:style>
  <w:style w:type="paragraph" w:styleId="FooterText">
    <w:name w:val="Footer Text"/>
    <w:basedOn w:val="Normal"/>
    <w:qFormat/>
    <w:rPr>
      <w:rFonts w:ascii="Calibri" w:cs="Calibri" w:eastAsia="Calibri" w:hAnsi="Calibri"/>
      <w:color w:val="5B6670"/>
      <w:sz w:val="17"/>
      <w:szCs w:val="17"/>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Dart · Client Support Call · 14 October 2026</dc:title>
  <dc:creator>Meeting summary</dc:creator>
  <cp:lastModifiedBy>Un-named</cp:lastModifiedBy>
  <cp:revision>1</cp:revision>
  <dcterms:created xsi:type="dcterms:W3CDTF">2026-10-19T23:10:02.329Z</dcterms:created>
  <dcterms:modified xsi:type="dcterms:W3CDTF">2026-10-19T23:10:02.329Z</dcterms:modified>
</cp:coreProperties>
</file>

<file path=docProps/custom.xml><?xml version="1.0" encoding="utf-8"?>
<Properties xmlns="http://schemas.openxmlformats.org/officeDocument/2006/custom-properties" xmlns:vt="http://schemas.openxmlformats.org/officeDocument/2006/docPropsVTypes"/>
</file>