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jc w:val="center"/>
      </w:pPr>
      <w:r>
        <w:rPr>
          <w:rFonts w:ascii="Calibri" w:cs="Calibri" w:eastAsia="Calibri" w:hAnsi="Calibri"/>
          <w:b/>
          <w:bCs/>
          <w:color w:val="44546A"/>
          <w:sz w:val="20"/>
          <w:szCs w:val="20"/>
        </w:rPr>
        <w:t xml:space="preserve">MDPM 883 · DESIGNING THE DIGITAL PRODUCT</w:t>
      </w:r>
    </w:p>
    <w:p>
      <w:pPr>
        <w:spacing w:after="0" w:before="280"/>
        <w:jc w:val="center"/>
      </w:pPr>
      <w:r>
        <w:rPr>
          <w:rFonts w:ascii="Calibri" w:cs="Calibri" w:eastAsia="Calibri" w:hAnsi="Calibri"/>
          <w:b/>
          <w:bCs/>
          <w:color w:val="1F3864"/>
          <w:sz w:val="52"/>
          <w:szCs w:val="52"/>
        </w:rPr>
        <w:t xml:space="preserve">PRISM Furniture Request</w:t>
      </w:r>
    </w:p>
    <w:p>
      <w:pPr>
        <w:spacing w:after="500" w:before="100"/>
        <w:jc w:val="center"/>
      </w:pPr>
      <w:r>
        <w:rPr>
          <w:rFonts w:ascii="Calibri" w:cs="Calibri" w:eastAsia="Calibri" w:hAnsi="Calibri"/>
          <w:color w:val="44546A"/>
          <w:sz w:val="30"/>
          <w:szCs w:val="30"/>
        </w:rPr>
        <w:t xml:space="preserve">Task Descriptions Supporting the Hierarchical Task Model</w:t>
      </w:r>
    </w:p>
    <w:p>
      <w:pPr>
        <w:spacing w:after="600"/>
        <w:jc w:val="center"/>
      </w:pPr>
      <w:r>
        <w:rPr>
          <w:rFonts w:ascii="Calibri" w:cs="Calibri" w:eastAsia="Calibri" w:hAnsi="Calibri"/>
          <w:i/>
          <w:iCs/>
          <w:color w:val="44546A"/>
          <w:sz w:val="22"/>
          <w:szCs w:val="22"/>
        </w:rPr>
        <w:t xml:space="preserve">Companion to the Requirements Documents deliverable</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Purpose</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A hierarchical task model has to be readable at a glance, so the label on each node is short. This document removes the ambiguity that brevity creates. It lists every task in both hierarchies of the PRISM Furniture Request task model and describes what the task actually involves, why the user performs it, and — where it matters — whether it is performed inside the product or outside it.</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Tasks are listed in the order they appear in the model and are indented to show their level in the decomposition. Level 1 tasks are the major subgoals; level 2 and level 3 tasks are their decompositions. Reading downwards, each level answers the question "in order to do this, what do I need to do?".</w:t>
      </w:r>
    </w:p>
    <w:p>
      <w:pPr>
        <w:pStyle w:val="Heading1"/>
        <w:pBdr>
          <w:bottom w:val="single" w:color="C6D0E0" w:sz="8" w:space="6"/>
        </w:pBdr>
        <w:spacing w:after="160" w:before="360"/>
      </w:pPr>
      <w:r>
        <w:rPr>
          <w:rFonts w:ascii="Calibri" w:cs="Calibri" w:eastAsia="Calibri" w:hAnsi="Calibri"/>
          <w:b/>
          <w:bCs/>
          <w:color w:val="1F3864"/>
          <w:sz w:val="30"/>
          <w:szCs w:val="30"/>
        </w:rPr>
        <w:t xml:space="preserve">Task Descriptions — the Requester Goal</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tasks below correspond to section 4.2 of the Requirements Documents deliverable. They describe the work of a Client Ministry Accommodation Contact or other authorized requester, from being able to use the service at all through to confirming that the result was satisfactory.</w:t>
      </w:r>
    </w:p>
    <w:tbl>
      <w:tblPr>
        <w:tblW w:type="dxa" w:w="10080"/>
        <w:tblBorders>
          <w:top w:val="single" w:color="C6D0E0" w:sz="4"/>
          <w:left w:val="single" w:color="C6D0E0" w:sz="4"/>
          <w:bottom w:val="single" w:color="C6D0E0" w:sz="4"/>
          <w:right w:val="single" w:color="C6D0E0" w:sz="4"/>
          <w:insideH w:val="single" w:color="C6D0E0" w:sz="2"/>
          <w:insideV w:val="single" w:color="C6D0E0" w:sz="2"/>
        </w:tblBorders>
      </w:tblPr>
      <w:tblGrid>
        <w:gridCol w:w="3000"/>
        <w:gridCol w:w="800"/>
        <w:gridCol w:w="6280"/>
      </w:tblGrid>
      <w:tr>
        <w:trPr>
          <w:tblHeader/>
        </w:trPr>
        <w:tc>
          <w:tcPr>
            <w:tcW w:type="dxa" w:w="30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Task</w:t>
            </w:r>
          </w:p>
        </w:tc>
        <w:tc>
          <w:tcPr>
            <w:tcW w:type="dxa" w:w="8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Level</w:t>
            </w:r>
          </w:p>
        </w:tc>
        <w:tc>
          <w:tcPr>
            <w:tcW w:type="dxa" w:w="628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Description</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Get the Furniture Request fulfilled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Goal</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requester’s overall goal: to turn a furniture need in their office into furniture that is in place and working. Everything below is performed in service of this goal, and the goal is only complete when the requester is satisfied with the result.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Get set up on the system</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Everything a requester must do before they are able to raise a request at all. For a frequent requester this is done once and never thought about again; for an occasional requester it is a real and recurring obstacle, because access, terminology and even the identity of the right portal have to be re-established each time.</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Be added to the system as a user</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Being granted authorization as a CMAC or other authorized requester for a given office or business area. This is an administrative act performed by someone else, and the product’s part in it is to support the assignment and maintenance of roles.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PRISM Request as the right portal</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that a furniture need is handled through the Furniture Request service rather than through another channel such as a maintenance request, a procurement process or an email to a facilities contact. Occasional requesters frequently start in the wrong place.</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Obtain an account and sign in</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working credentials and reaching the point where a request can be started. Mostly performed outside the product, but its difficulty directly affects whether an infrequent requester gets started at all.</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Understand the form fields and terminology</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Working out what the request is asking for: what a work order is, what distinguishes a modification from a repair, what counts as a building code. This task exists because requesters have no facilities background and is the reason the product must explain its own terms.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Read the hints provided with the fields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Consulting the guidance attached to a field at the moment of filling it in, rather than reading documentation beforehand. This is the requester’s preferred way of resolving uncertainty because it costs no time when it is not needed.</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Understand the user’s need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what is actually required before anything is entered anywhere. The CMAC is usually relaying a need reported by someone else, so this task is largely a conversation and an inspection, performed outside the product, whose conclusions the product must then be able to record.</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whether the need belongs to a group or an individual</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Deciding whether the request serves one person’s workstation or a shared area, since that changes the quantity, the approval path and often the urgency.</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Recognize the furniture problem (broken, worn out, or newly needed)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Judging whether an item is broken, worn out, unsuitable, or simply absent because a new person has arrived. This judgement determines which request type applies and whether repair, replacement or new purchase is appropriate.</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the request type</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Selecting among the supported request types — new purchase, planning, modification, repair and warranty — because each one requires different supporting information and follows a different fulfilment path.</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Decide between recycled and new furniture</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whether the need can be met from government furniture already in stock before a purchase is considered. This is both a cost decision and a policy preference, and the requester needs it resolved early because it changes what they must supply.</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Check recycle-program availability</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Finding out whether a suitable item exists in the recycle program. Today this generally means asking someone; the product’s role is to let the preference be expressed and the answer be recorded against the request.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Check whether a request already exists for the item or location</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Looking for an open request covering the same need before submitting a new one. This is the requester’s own defence against creating a duplicate, and it fails today because a requester cannot see requests raised by other authorized requesters for the same area.</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Check the warranty and retrieve the original specifications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Finding the original request for an existing item in order to establish whether it is still under warranty and what exactly was supplied. This is the task that makes a closed request valuable years after it closed.</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Locate where the work needs to be done</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Describing the place precisely enough that furniture arrives in the right room. Vagueness here is the single most common cause of the delivery errors the scenarios describe, so this subgoal is decomposed further than its apparent simplicity suggests.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building</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Selecting the Government of Alberta facility from the buildings the requester is authorized for. The building is the anchor for the rest of the location data.</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the address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Confirming the street address that follows from the selected building, rather than typing it again. The requester is verifying, not entering.</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floor and area</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Narrowing the location to a floor and an area or room within it, which is the level of precision the delivery and installation teams need.</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Provide a floor plan and mark the location</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Supplying a visual record of exactly where the furniture goes. This is how a requester communicates a spatial arrangement that words handle badly, particularly for moves and reconfigurations.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Select a stored floor plan</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Using a plan already held for the facility, which is faster and more accurate than producing one.</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Provide a sketch when no plan exists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Drawing or photographing the area when no plan is available. The alternative path exists because plans are not held for every area, and a request must not stall for want of one.</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Prepare and submit the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Assembling everything gathered so far into a request and sending it to Infrastructure. This subgoal is where the requester’s work becomes visible to the service, and where completeness matters most.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Complete the intake form</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the need, the type, the location, the quantities, the priority and the reason for the request in the form the process requires.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Attach supporting files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Adding the photographs, plans, quotes, approvals and checklists that show what is needed. Attachments carry much of the meaning of a furniture request, because a photograph settles questions that a description leaves open.</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Upload multiple files at once</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Adding several files in a single action rather than one at a time, which matters because a typical request carries a plan, several photographs and an approval.</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Add a photo from a mobile device at the time of the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Capturing the problem where it is, when it is noticed. This is the reason the product must be usable on a phone.</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Record and attach a short fault video</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Showing a fault that a still photograph cannot convey, such as a desk that fails partway through raising.</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Label each file</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Naming attachments so that a coordinator, or the requester two years later, can tell what each one shows without opening all of them.</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Save a draft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Setting a part-finished request aside and returning to it. Requesters are routinely interrupted and frequently have to go and find a piece of information before they can continue, so a request that cannot be paused is a request that gets abandoned.</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Submit the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Sending the completed request for review, in one action and without a separate status change.</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Receive submission confirmation</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unambiguous acknowledgement that the request was received. This closes the loop that currently causes infrequent requesters to submit a second request out of uncertainty.</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Follow the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Everything the requester does between submission and completion. This subgoal is the heart of the problem statement: today it is accomplished through email, telephone calls and memory rather than through any system.</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See the current status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what state the request is in — created, submitted, assigned, in progress, completed — without asking anyone.</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See the workflow stage and next steps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Understanding not merely the status label but what is happening now and what happens next, which is what a requester actually needs in order to answer the manager who asked them.</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See third-party vendor progress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Seeing how far an external supplier, mover or installer has got, without the supplier having to work in the system.</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whether the request is progressing or stalled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Judging whether silence means normal progress or a problem. This judgement is what triggers every follow-up the requester makes, and it is currently made on instinct.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Get notified of changes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Being told when something changes rather than having to check. The requester’s goal is to be able to stop watching.</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Get an immediate notification</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Being alerted promptly when the change is one that requires the requester to act, such as a request for more information.</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Communicate about the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Conducting the conversation that a request generates — questions, clarifications, corrections — in a way that stays attached to the request.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Reach the right person</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to whoever currently owns the request, rather than to whoever answered last time. Ownership changes at every handoff between service groups.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Keep communication tied to the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Ensuring that what was said and decided is recorded against the request rather than in a private mailbox, so that it survives the requester’s absence and is available to whoever picks the request up.</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Chase the coordinator when the request stalls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Escalating when nothing has moved. This task should become rare if the rest of the model works, and its frequency is a fair measure of whether the product has succeeded.</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Verify and correct on-site work</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Checking the delivered result against what was asked for. This is performed physically, in the office, and the product’s part is to let the outcome of that check be recorded and acted on.</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the work was done correctly</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that the furniture arrived in the right place, in the right quantity and in working order.</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Flag a mistake</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Reporting a scope or installation error against the existing request rather than opening a new one, so that the correction inherits the request’s history.</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Use request history and reporting</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value from requests after they are finished. This subgoal is what turns a transaction system into a record, and it is the basis of the warranty, replacement and reporting scenarios.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Find an old or past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Locating a completed request from partial recollection — an approximate date, an office, a type of item — because that is all a requester has to work with after a year or two.</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Retrieve the purchase or installation date for a claim</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Recovering the dates that determine whether a warranty still applies.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Retrieve product specifications for a replacement part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Recovering what exactly was supplied, so that a matching part or item can be ordered rather than an approximation.</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See all my active requests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Reviewing everything currently open for the requester’s area in one place, which is how an experienced requester such as Priya starts her week.</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Report by location, status or period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Assembling a view across many requests for management or planning purposes, rather than looking at one request at a time.</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View requests on a map</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Seeing requests distributed geographically, which is useful where a requester or a service manager is responsible for several buildings.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Close the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Bringing the request to a definite end, so that the record shows not only that work happened but that it was accepted.</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satisfaction with the result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Stating that the need has been met, or that something remains outstanding. Without this, a request is only ever assumed to be finished.</w:t>
            </w:r>
          </w:p>
        </w:tc>
      </w:tr>
    </w:tbl>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Task Descriptions — the Service Staff Goal</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tasks below correspond to section 4.3 and describe the work of Infrastructure service staff who receive, coordinate and fulfil Furniture Requests. They complete the picture: a request only reaches a satisfactory conclusion if both sets of tasks succeed.</w:t>
      </w:r>
    </w:p>
    <w:tbl>
      <w:tblPr>
        <w:tblW w:type="dxa" w:w="10080"/>
        <w:tblBorders>
          <w:top w:val="single" w:color="C6D0E0" w:sz="4"/>
          <w:left w:val="single" w:color="C6D0E0" w:sz="4"/>
          <w:bottom w:val="single" w:color="C6D0E0" w:sz="4"/>
          <w:right w:val="single" w:color="C6D0E0" w:sz="4"/>
          <w:insideH w:val="single" w:color="C6D0E0" w:sz="2"/>
          <w:insideV w:val="single" w:color="C6D0E0" w:sz="2"/>
        </w:tblBorders>
      </w:tblPr>
      <w:tblGrid>
        <w:gridCol w:w="3000"/>
        <w:gridCol w:w="800"/>
        <w:gridCol w:w="6280"/>
      </w:tblGrid>
      <w:tr>
        <w:trPr>
          <w:tblHeader/>
        </w:trPr>
        <w:tc>
          <w:tcPr>
            <w:tcW w:type="dxa" w:w="30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Task</w:t>
            </w:r>
          </w:p>
        </w:tc>
        <w:tc>
          <w:tcPr>
            <w:tcW w:type="dxa" w:w="80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Level</w:t>
            </w:r>
          </w:p>
        </w:tc>
        <w:tc>
          <w:tcPr>
            <w:tcW w:type="dxa" w:w="6280"/>
            <w:shd w:fill="EDF1F7" w:color="auto" w:val="clear"/>
            <w:tcMar>
              <w:top w:type="dxa" w:w="60"/>
              <w:left w:type="dxa" w:w="90"/>
              <w:bottom w:type="dxa" w:w="60"/>
              <w:right w:type="dxa" w:w="90"/>
            </w:tcMar>
          </w:tcPr>
          <w:p>
            <w:pPr>
              <w:spacing w:after="20" w:before="20" w:line="252"/>
              <w:jc w:val="left"/>
            </w:pPr>
            <w:r>
              <w:rPr>
                <w:rFonts w:ascii="Calibri" w:cs="Calibri" w:eastAsia="Calibri" w:hAnsi="Calibri"/>
                <w:b/>
                <w:bCs/>
                <w:i w:val="false"/>
                <w:iCs w:val="false"/>
                <w:color w:val="1F3864"/>
                <w:sz w:val="20"/>
                <w:szCs w:val="20"/>
              </w:rPr>
              <w:t xml:space="preserve">Description</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Get the Furniture Request delivered for the client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Goal</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service staff goal: to turn a submitted request into furniture in place, coordinated across whichever Infrastructure groups and external suppliers the work requires, without the request losing coherence as it passes between them.</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Take on an incoming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Everything between a request arriving and it becoming actionable work. The cost of an incomplete request falls here, which is why so much of the functional specification concerns completeness at submission.</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Review what has been submitted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Reading the request, its attachments and its location detail to understand what is being asked for.</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Judge whether the request is complete enough to act on</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Deciding whether the request can be progressed as it stands or whether something essential is missing. This judgement requires domain knowledge that the requester does not have.</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Gather the information still required from the requester</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Obtaining what is missing. Today this happens by email and the answers live in an inbox; the product’s purpose here is to make the exchange part of the request.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Ask the requester a question against the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Raising a specific query in a way that is visible to the requester, attached to the request, and available to whoever handles the request next.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medium required to input the missing data</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Determining what form the missing information must take — a marked plan, a photograph, a quantity, an approval — before asking for it.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Input data and files and confirm the requirement with the requester</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what was supplied and confirming with the requester that it represents the need correctly, so that the request is agreed before work starts.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duplicate requests for the same need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Recognising that two requests describe the same furniture need, which happens when more than one authorized requester acts on the same report.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which request continues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Choosing the request that will carry the work forward, normally the earlier or the more complete of the two.</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Preserve the history of the request that continues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Ensuring that resolving a duplicate does not discard information, decisions or attachments recorded on either request.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Decide how the need will be met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the supply path. This decision determines cost, timescale and which groups become involved, and it is the point at which a request commits to the recycled or the new path.</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Check recycle-program inventory for a suitable item</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whether suitable furniture already exists in government stock, honouring the requester’s stated preference where one was given.</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whether the item must be purchased new</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Concluding that no suitable recycled item exists and that a purchase is required, which moves the request onto the procurement path.</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approval where one is required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Capturing the approval and the decision information that accompanies it, so that the authority for the spend is part of the record rather than a separate email.</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Link the purchase order reference to the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Attaching the procurement reference for a furniture purchase to the request, so that the request and the order it generated can be read together without searching the procurement system separately.</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Coordinate the work</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Moving the request through the several groups and suppliers that carry out the physical work. This is where the problem statement locates the difficulty: the handoffs are where information is lost.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Assign the request to the responsible group or coordinator</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explicit ownership, so that the requester and other staff can tell who currently holds the request.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Hand the request on to the next group without losing its history</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Transferring ownership while keeping the accumulated information, decisions and conversation attached to the request.</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Record progress against the fulfilment stages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Updating the stage the request has reached, which is what makes status meaningful to the requester rather than nominal.</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Record external supplier, delivery and installation progress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Reflecting what suppliers and installers are doing, entered by staff rather than by the suppliers themselves, because external parties do not transact in the system.</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Schedule the delivery, move or installation</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Setting the date on which the physical work will happen and making it visible to the requester, who often has to arrange access or clear the area.</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Keep the client informed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The service side of the follow-up that the requester is performing. Each of these tasks exists to remove a chase that the requester would otherwise have to make.</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Update the status the requester sees</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Making sure the state visible to the client reflects reality, which is the single change most likely to reduce enquiries.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Respond to the requester against the request</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Answering questions in the request rather than by separate message, so that the answer is available to everyone who needs it later.</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Notify the requester when action is needed from them</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Alerting the requester specifically when the request is waiting on them, which is the only notification a busy requester reliably wants.</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Close and account for the work</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Finishing the request properly: confirming the outcome, recording why it closed, and making the request available to the reporting that the service is measured by.</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the work was completed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that the furniture is in place and that the request has been fulfilled as agreed.</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asset and warranty information for what was supplied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Capturing the manufacturer, model or serial number of the furniture actually supplied, together with any warranty period or expiry date. This is the task that makes a warranty claim possible years later, and it is done once, by the person who has the information in front of them.</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closure and any remaining issue</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Classifying how the request ended and capturing anything the requester reported as outstanding, so that closure is not a way of hiding an unresolved problem.</w:t>
            </w:r>
          </w:p>
        </w:tc>
      </w:tr>
      <w:tr>
        <w:tc>
          <w:tcPr>
            <w:tcW w:type="dxa" w:w="30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Report on requests by location, status and period</w:t>
            </w:r>
          </w:p>
        </w:tc>
        <w:tc>
          <w:tcPr>
            <w:tcW w:type="dxa" w:w="80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6280"/>
            <w:tcMar>
              <w:top w:type="dxa" w:w="60"/>
              <w:left w:type="dxa" w:w="90"/>
              <w:bottom w:type="dxa" w:w="60"/>
              <w:right w:type="dxa" w:w="90"/>
            </w:tcMar>
          </w:tcPr>
          <w:p>
            <w:pPr>
              <w:spacing w:after="20" w:before="20" w:line="252"/>
              <w:jc w:val="left"/>
            </w:pPr>
            <w:r>
              <w:rPr>
                <w:rFonts w:ascii="Calibri" w:cs="Calibri" w:eastAsia="Calibri" w:hAnsi="Calibri"/>
                <w:b w:val="false"/>
                <w:bCs w:val="false"/>
                <w:i w:val="false"/>
                <w:iCs w:val="false"/>
                <w:color w:val="000000"/>
                <w:sz w:val="20"/>
                <w:szCs w:val="20"/>
              </w:rPr>
              <w:t xml:space="preserve">Producing the operational view across many requests that service managers need for capacity, cost and performance, using the information the requests already hold.</w:t>
            </w:r>
          </w:p>
        </w:tc>
      </w:tr>
    </w:tbl>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E0" w:sz="6" w:space="4"/>
      </w:pBdr>
      <w:tabs>
        <w:tab w:val="right" w:pos="9026"/>
      </w:tabs>
      <w:spacing w:before="60"/>
    </w:pPr>
    <w:r>
      <w:rPr>
        <w:rFonts w:ascii="Calibri" w:cs="Calibri" w:eastAsia="Calibri" w:hAnsi="Calibri"/>
        <w:color w:val="44546A"/>
        <w:sz w:val="16"/>
        <w:szCs w:val="16"/>
      </w:rPr>
      <w:t xml:space="preserve">PRISM Furniture Request — Task Descriptions</w:t>
    </w:r>
    <w:r>
      <w:rPr>
        <w:sz w:val="16"/>
        <w:szCs w:val="16"/>
      </w:rPr>
      <w:t xml:space="preserve">	</w:t>
    </w:r>
    <w:r>
      <w:rPr>
        <w:rFonts w:ascii="Calibri" w:cs="Calibri" w:eastAsia="Calibri" w:hAnsi="Calibri"/>
        <w:color w:val="44546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D0E0" w:sz="6" w:space="4"/>
      </w:pBdr>
      <w:spacing w:after="60"/>
      <w:jc w:val="right"/>
    </w:pPr>
    <w:r>
      <w:rPr>
        <w:rFonts w:ascii="Calibri" w:cs="Calibri" w:eastAsia="Calibri" w:hAnsi="Calibri"/>
        <w:color w:val="44546A"/>
        <w:sz w:val="16"/>
        <w:szCs w:val="16"/>
      </w:rPr>
      <w:t xml:space="preserve">MDPM 883 · PRISM Furniture Request · Task Descriptions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lvl w:ilvl="1" w15:tentative="1">
      <w:start w:val="1"/>
      <w:numFmt w:val="bullet"/>
      <w:lvlText w:val="–"/>
      <w:lvlJc w:val="left"/>
      <w:pPr>
        <w:ind w:left="863" w:hanging="288"/>
      </w:pPr>
    </w:lvl>
    <w:lvl w:ilvl="2" w15:tentative="1">
      <w:start w:val="1"/>
      <w:numFmt w:val="bullet"/>
      <w:lvlText w:val="◦"/>
      <w:lvlJc w:val="left"/>
      <w:pPr>
        <w:ind w:left="1296" w:hanging="288"/>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Furniture Request — Task Descriptions</dc:title>
  <dc:creator>MDPM 883 Project Team</dc:creator>
  <cp:lastModifiedBy>Un-named</cp:lastModifiedBy>
  <cp:revision>1</cp:revision>
  <dcterms:created xsi:type="dcterms:W3CDTF">2026-09-19T10:18:06.634Z</dcterms:created>
  <dcterms:modified xsi:type="dcterms:W3CDTF">2026-09-19T10:18:06.648Z</dcterms:modified>
</cp:coreProperties>
</file>

<file path=docProps/custom.xml><?xml version="1.0" encoding="utf-8"?>
<Properties xmlns="http://schemas.openxmlformats.org/officeDocument/2006/custom-properties" xmlns:vt="http://schemas.openxmlformats.org/officeDocument/2006/docPropsVTypes"/>
</file>