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Defect-Aware, Eigenfrequency-Robust Graded-Lattice Design Optimization of Additively Manufactured UAV Components: Measured Defect Statistics and Model Checks on As-Built Parts</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Damiano Pasini, Professor. Email: damiano.pasini@mcgill.ca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McGill University (Architected Metamaterials Group)</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M.Sc. in Mechanical Engineering (thesis), McGill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outlines a 24-month, thesis-based M.Sc. (Thesis) project in Mechanical Engineering at McGill, starting September 2027, in Prof. Damiano Pasini's Architected Metamaterials Group. It extends the group's defect-aware lattice optimization from static compliance to UAV vibration, with impact as a checked response. Micro-CT would measure strut defects in L-PBF octet-truss lattices; a defect-informed model, checked by modal tests, would drive an eigenfrequency-robust graded-lattice optimization of a UAV motor-mount arm (3D topology optimization is a stretch goal). The optimization comparison is computational, and a small sample of as-built arms checks the model by modal and drop-impact tests. The claimed gap is only the combination of three published strands, held with medium confidence from limited searches; a four-month literature review ends in a go or refine decision. I bring UAV assembly, machining and CAD, but no documented finite element, optimization or scripting experience, which is the main risk; the proposal gives a training plan.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b/>
          <w:bCs/>
          <w:sz w:val="21"/>
          <w:szCs w:val="21"/>
        </w:rPr>
        <w:t xml:space="preserve">Why UAV structures.</w:t>
      </w:r>
      <w:r>
        <w:rPr>
          <w:rFonts w:ascii="Calibri" w:cs="Calibri" w:eastAsia="Calibri" w:hAnsi="Calibri"/>
          <w:sz w:val="21"/>
          <w:szCs w:val="21"/>
        </w:rPr>
        <w:t xml:space="preserve"> In small unmanned aerial vehicles (UAVs), every gram of airframe shortens flight time or displaces payload. A 2026 study of lattice PLA arms reported 73 to 79 g, 19 to 24% lighter than a 97 g carbon-fibre baseline [1]. Arms and mounts are also excited at rotation and blade-passing frequencies, where resonance raises vibration and accelerates fatigue, and hard landings add high-force impacts.</w:t>
      </w:r>
    </w:p>
    <w:p>
      <w:pPr>
        <w:spacing w:after="100" w:line="276"/>
      </w:pPr>
      <w:r>
        <w:rPr>
          <w:rFonts w:ascii="Calibri" w:cs="Calibri" w:eastAsia="Calibri" w:hAnsi="Calibri"/>
          <w:b/>
          <w:bCs/>
          <w:sz w:val="21"/>
          <w:szCs w:val="21"/>
        </w:rPr>
        <w:t xml:space="preserve">Why defects matter.</w:t>
      </w:r>
      <w:r>
        <w:rPr>
          <w:rFonts w:ascii="Calibri" w:cs="Calibri" w:eastAsia="Calibri" w:hAnsi="Calibri"/>
          <w:sz w:val="21"/>
          <w:szCs w:val="21"/>
        </w:rPr>
        <w:t xml:space="preserve"> Laser powder bed fusion (L-PBF) builds architected metallic lattices, and multiscale topology optimization, reviewed in [2], is closely tied to additive manufacturing. But an L-PBF lattice is not the lattice in the CAD file: reviews list dimensional inaccuracy, surface texture and porosity [3], and CT work has measured strut waviness, thickness variation and oversizing [4]. The supervisor's group builds such defects into topology optimization for static stiffness [5, 6]; in the sources I have seen, the effect on dynamic behaviour is much less studied. Defects change stiffness and mass together, so the direction of the frequency shift is not obvious. One caution: for a clamped arm with a motor mass, the first frequency may simply track static tip stiffness, which the group's compliance work already covers, so WP3 opens with a check of what the dynamic criterion adds (Section 4.5).</w:t>
      </w:r>
    </w:p>
    <w:p>
      <w:pPr>
        <w:spacing w:after="100" w:line="276"/>
      </w:pPr>
      <w:r>
        <w:rPr>
          <w:rFonts w:ascii="Calibri" w:cs="Calibri" w:eastAsia="Calibri" w:hAnsi="Calibri"/>
          <w:b/>
          <w:bCs/>
          <w:sz w:val="21"/>
          <w:szCs w:val="21"/>
        </w:rPr>
        <w:t xml:space="preserve">Engineering case.</w:t>
      </w:r>
      <w:r>
        <w:rPr>
          <w:rFonts w:ascii="Calibri" w:cs="Calibri" w:eastAsia="Calibri" w:hAnsi="Calibri"/>
          <w:sz w:val="21"/>
          <w:szCs w:val="21"/>
        </w:rPr>
        <w:t xml:space="preserve"> Small multirotor arms are commonly carbon-fibre tube, aluminum or moulded polymer, so I do not claim a Ti-6Al-4V lattice is the best UAV design; the arm is a representative component for measuring how lattice defects affect dynamics. The fallback alloy is AlSi10Mg.</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alloy (Ti-6Al-4V assumed), one lattice family (octet-truss), one component (a motor-mount arm), natural frequency as the criterion and low-velocity drop impact as a checked response. In the core, 'topology optimization' means grading the lattice's relative density or strut diameter (a 2D analogue and a graded arm). Fatigue, aeroelasticity, certification and composites are excluded.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b/>
          <w:bCs/>
          <w:sz w:val="21"/>
          <w:szCs w:val="21"/>
        </w:rPr>
        <w:t xml:space="preserve">Basis and limits.</w:t>
      </w:r>
      <w:r>
        <w:rPr>
          <w:rFonts w:ascii="Calibri" w:cs="Calibri" w:eastAsia="Calibri" w:hAnsi="Calibri"/>
          <w:sz w:val="21"/>
          <w:szCs w:val="21"/>
        </w:rPr>
        <w:t xml:space="preserve"> This section rests on a limited set of web searches returning abstracts and records. I have not read full texts and could not search Scopus, Web of Science, Google Scholar or the group's publication list, so I describe each source only as its abstract or record does and hold the gap as a hypothesis with medium confidence. Work Package 0 (Section 4.2) will read the full texts and repeat the searches systematically.</w:t>
      </w:r>
    </w:p>
    <w:p>
      <w:pPr>
        <w:pStyle w:val="Heading2"/>
        <w:keepNext/>
        <w:spacing w:after="100" w:before="260"/>
      </w:pPr>
      <w:r>
        <w:rPr>
          <w:rFonts w:ascii="Calibri" w:cs="Calibri" w:eastAsia="Calibri" w:hAnsi="Calibri"/>
          <w:b/>
          <w:bCs/>
          <w:color w:val="2E5C8A"/>
          <w:sz w:val="26"/>
          <w:szCs w:val="26"/>
        </w:rPr>
        <w:t xml:space="preserve">2.1 What is established</w:t>
      </w:r>
    </w:p>
    <w:p>
      <w:pPr>
        <w:pStyle w:val="ListParagraph"/>
        <w:numPr>
          <w:ilvl w:val="0"/>
          <w:numId w:val="2"/>
        </w:numPr>
        <w:spacing w:after="60" w:line="276"/>
      </w:pPr>
      <w:r>
        <w:rPr>
          <w:rFonts w:ascii="Calibri" w:cs="Calibri" w:eastAsia="Calibri" w:hAnsi="Calibri"/>
          <w:b/>
          <w:bCs/>
          <w:sz w:val="21"/>
          <w:szCs w:val="21"/>
        </w:rPr>
        <w:t xml:space="preserve">Multiscale and eigenfrequency optimization.</w:t>
      </w:r>
      <w:r>
        <w:rPr>
          <w:rFonts w:ascii="Calibri" w:cs="Calibri" w:eastAsia="Calibri" w:hAnsi="Calibri"/>
          <w:sz w:val="21"/>
          <w:szCs w:val="21"/>
        </w:rPr>
        <w:t xml:space="preserve"> A review categorizes multiscale topology optimization approaches and ties the field to additive manufacturing [2]. Eigenfrequency topology optimization, including multiple eigenfrequencies and frequency gaps for resonance avoidance, is foundational, with repeated eigenvalues complicating the problem [7].</w:t>
      </w:r>
    </w:p>
    <w:p>
      <w:pPr>
        <w:pStyle w:val="ListParagraph"/>
        <w:numPr>
          <w:ilvl w:val="0"/>
          <w:numId w:val="2"/>
        </w:numPr>
        <w:spacing w:after="60" w:line="276"/>
      </w:pPr>
      <w:r>
        <w:rPr>
          <w:rFonts w:ascii="Calibri" w:cs="Calibri" w:eastAsia="Calibri" w:hAnsi="Calibri"/>
          <w:b/>
          <w:bCs/>
          <w:sz w:val="21"/>
          <w:szCs w:val="21"/>
        </w:rPr>
        <w:t xml:space="preserve">Defects in L-PBF lattices.</w:t>
      </w:r>
      <w:r>
        <w:rPr>
          <w:rFonts w:ascii="Calibri" w:cs="Calibri" w:eastAsia="Calibri" w:hAnsi="Calibri"/>
          <w:sz w:val="21"/>
          <w:szCs w:val="21"/>
        </w:rPr>
        <w:t xml:space="preserve"> The group's 2017 study used X-ray CT to build imperfect models from strut waviness, thickness variation and oversizing, with static elastic and failure predictions within 10% of experiments [4]. A 2025 group paper compensates the as-designed versus as-built mismatch of L-PBF truss lattices; its abstract reports no topology optimization or dynamic loading [8].</w:t>
      </w:r>
    </w:p>
    <w:p>
      <w:pPr>
        <w:pStyle w:val="ListParagraph"/>
        <w:numPr>
          <w:ilvl w:val="0"/>
          <w:numId w:val="2"/>
        </w:numPr>
        <w:spacing w:after="60" w:line="276"/>
      </w:pPr>
      <w:r>
        <w:rPr>
          <w:rFonts w:ascii="Calibri" w:cs="Calibri" w:eastAsia="Calibri" w:hAnsi="Calibri"/>
          <w:b/>
          <w:bCs/>
          <w:sz w:val="21"/>
          <w:szCs w:val="21"/>
        </w:rPr>
        <w:t xml:space="preserve">Static defect-aware optimization.</w:t>
      </w:r>
      <w:r>
        <w:rPr>
          <w:rFonts w:ascii="Calibri" w:cs="Calibri" w:eastAsia="Calibri" w:hAnsi="Calibri"/>
          <w:sz w:val="21"/>
          <w:szCs w:val="21"/>
        </w:rPr>
        <w:t xml:space="preserve"> A review by the supervisor and a co-author covers extensions that build imperfections into topology optimization [5]. The group's 2021 paper inserts geometric defects into density-based topology optimization of powder bed fusion lattices through imperfect unit cells and homogenization, with static compliance as the criterion; its abstract reports no vibration, impact or experimental validation of optimized parts [6].</w:t>
      </w:r>
    </w:p>
    <w:p>
      <w:pPr>
        <w:pStyle w:val="ListParagraph"/>
        <w:numPr>
          <w:ilvl w:val="0"/>
          <w:numId w:val="2"/>
        </w:numPr>
        <w:spacing w:after="60" w:line="276"/>
      </w:pPr>
      <w:r>
        <w:rPr>
          <w:rFonts w:ascii="Calibri" w:cs="Calibri" w:eastAsia="Calibri" w:hAnsi="Calibri"/>
          <w:b/>
          <w:bCs/>
          <w:sz w:val="21"/>
          <w:szCs w:val="21"/>
        </w:rPr>
        <w:t xml:space="preserve">Robust lattice optimization (static).</w:t>
      </w:r>
      <w:r>
        <w:rPr>
          <w:rFonts w:ascii="Calibri" w:cs="Calibri" w:eastAsia="Calibri" w:hAnsi="Calibri"/>
          <w:sz w:val="21"/>
          <w:szCs w:val="21"/>
        </w:rPr>
        <w:t xml:space="preserve"> Uncertainty in parameterized lattice microstructures, mimicking AM variation, gave designs reported as up to 77% (uniform) and 74% (spatially varying) more robust in the standard deviation of compliance [9]. A preprint treats spatially correlated uncertainty in lattice members [10], and a 2026 paper minimizes a weighted mean plus standard deviation of compliance on 2D benchmarks [11]. None of the abstracts I saw uses an eigenfrequency criterion.</w:t>
      </w:r>
    </w:p>
    <w:p>
      <w:pPr>
        <w:pStyle w:val="ListParagraph"/>
        <w:numPr>
          <w:ilvl w:val="0"/>
          <w:numId w:val="2"/>
        </w:numPr>
        <w:spacing w:after="60" w:line="276"/>
      </w:pPr>
      <w:r>
        <w:rPr>
          <w:rFonts w:ascii="Calibri" w:cs="Calibri" w:eastAsia="Calibri" w:hAnsi="Calibri"/>
          <w:b/>
          <w:bCs/>
          <w:sz w:val="21"/>
          <w:szCs w:val="21"/>
        </w:rPr>
        <w:t xml:space="preserve">CT-informed impact work.</w:t>
      </w:r>
      <w:r>
        <w:rPr>
          <w:rFonts w:ascii="Calibri" w:cs="Calibri" w:eastAsia="Calibri" w:hAnsi="Calibri"/>
          <w:sz w:val="21"/>
          <w:szCs w:val="21"/>
        </w:rPr>
        <w:t xml:space="preserve"> For AlSi10Mg octet-truss lattices, micro-CT defect sizes entered into finite element models give a lower-bound design curve under quasi-static compression and impact, without topology optimization or modal testing [12].</w:t>
      </w:r>
    </w:p>
    <w:p>
      <w:pPr>
        <w:pStyle w:val="Heading2"/>
        <w:keepNext/>
        <w:spacing w:after="100" w:before="260"/>
      </w:pPr>
      <w:r>
        <w:rPr>
          <w:rFonts w:ascii="Calibri" w:cs="Calibri" w:eastAsia="Calibri" w:hAnsi="Calibri"/>
          <w:b/>
          <w:bCs/>
          <w:color w:val="2E5C8A"/>
          <w:sz w:val="26"/>
          <w:szCs w:val="26"/>
        </w:rPr>
        <w:t xml:space="preserve">2.2 What is open</w:t>
      </w:r>
    </w:p>
    <w:p>
      <w:pPr>
        <w:pStyle w:val="ListParagraph"/>
        <w:numPr>
          <w:ilvl w:val="0"/>
          <w:numId w:val="2"/>
        </w:numPr>
        <w:spacing w:after="60" w:line="276"/>
      </w:pPr>
      <w:r>
        <w:rPr>
          <w:rFonts w:ascii="Calibri" w:cs="Calibri" w:eastAsia="Calibri" w:hAnsi="Calibri"/>
          <w:b/>
          <w:bCs/>
          <w:sz w:val="21"/>
          <w:szCs w:val="21"/>
        </w:rPr>
        <w:t xml:space="preserve">Dynamic criteria and modal validation with measured defects.</w:t>
      </w:r>
      <w:r>
        <w:rPr>
          <w:rFonts w:ascii="Calibri" w:cs="Calibri" w:eastAsia="Calibri" w:hAnsi="Calibri"/>
          <w:sz w:val="21"/>
          <w:szCs w:val="21"/>
        </w:rPr>
        <w:t xml:space="preserve"> In the sources seen, no study uses a dynamic optimization criterion with measured lattice defect statistics or pairs CT-derived defect geometry with modal testing of L-PBF lattices. The unverified leads in Section 2.3 could narrow this, so WP0 reads them first.</w:t>
      </w:r>
    </w:p>
    <w:p>
      <w:pPr>
        <w:pStyle w:val="ListParagraph"/>
        <w:numPr>
          <w:ilvl w:val="0"/>
          <w:numId w:val="2"/>
        </w:numPr>
        <w:spacing w:after="60" w:line="276"/>
      </w:pPr>
      <w:r>
        <w:rPr>
          <w:rFonts w:ascii="Calibri" w:cs="Calibri" w:eastAsia="Calibri" w:hAnsi="Calibri"/>
          <w:b/>
          <w:bCs/>
          <w:sz w:val="21"/>
          <w:szCs w:val="21"/>
        </w:rPr>
        <w:t xml:space="preserve">As-built knockdown.</w:t>
      </w:r>
      <w:r>
        <w:rPr>
          <w:rFonts w:ascii="Calibri" w:cs="Calibri" w:eastAsia="Calibri" w:hAnsi="Calibri"/>
          <w:sz w:val="21"/>
          <w:szCs w:val="21"/>
        </w:rPr>
        <w:t xml:space="preserve"> Whether nominal optimized designs lose dynamic performance as built is an empirical question; I have not traced a verified quantitative example for an optimized lattice, and WP0 will look for one.</w:t>
      </w:r>
    </w:p>
    <w:p>
      <w:pPr>
        <w:pStyle w:val="ListParagraph"/>
        <w:numPr>
          <w:ilvl w:val="0"/>
          <w:numId w:val="2"/>
        </w:numPr>
        <w:spacing w:after="60" w:line="276"/>
      </w:pPr>
      <w:r>
        <w:rPr>
          <w:rFonts w:ascii="Calibri" w:cs="Calibri" w:eastAsia="Calibri" w:hAnsi="Calibri"/>
          <w:b/>
          <w:bCs/>
          <w:sz w:val="21"/>
          <w:szCs w:val="21"/>
        </w:rPr>
        <w:t xml:space="preserve">UAV components.</w:t>
      </w:r>
      <w:r>
        <w:rPr>
          <w:rFonts w:ascii="Calibri" w:cs="Calibri" w:eastAsia="Calibri" w:hAnsi="Calibri"/>
          <w:sz w:val="21"/>
          <w:szCs w:val="21"/>
        </w:rPr>
        <w:t xml:space="preserve"> The PLA arm study found variable-thickness lattices most efficient, mass-constrained topology optimization misleadingly strong through volume starvation, and optimized arms survived nine dynamic ground tests on a quadcopter [1]; the summary mentions neither defect modelling nor metal PBF.</w:t>
      </w:r>
    </w:p>
    <w:p>
      <w:pPr>
        <w:pStyle w:val="Heading2"/>
        <w:keepNext/>
        <w:spacing w:after="100" w:before="260"/>
      </w:pPr>
      <w:r>
        <w:rPr>
          <w:rFonts w:ascii="Calibri" w:cs="Calibri" w:eastAsia="Calibri" w:hAnsi="Calibri"/>
          <w:b/>
          <w:bCs/>
          <w:color w:val="2E5C8A"/>
          <w:sz w:val="26"/>
          <w:szCs w:val="26"/>
        </w:rPr>
        <w:t xml:space="preserve">2.3 The precise gap and the pre-empting work</w:t>
      </w:r>
    </w:p>
    <w:p>
      <w:pPr>
        <w:spacing w:after="100" w:line="276"/>
      </w:pPr>
      <w:r>
        <w:rPr>
          <w:rFonts w:ascii="Calibri" w:cs="Calibri" w:eastAsia="Calibri" w:hAnsi="Calibri"/>
          <w:b/>
          <w:bCs/>
          <w:sz w:val="21"/>
          <w:szCs w:val="21"/>
        </w:rPr>
        <w:t xml:space="preserve">The claimed gap.</w:t>
      </w:r>
      <w:r>
        <w:rPr>
          <w:rFonts w:ascii="Calibri" w:cs="Calibri" w:eastAsia="Calibri" w:hAnsi="Calibri"/>
          <w:sz w:val="21"/>
          <w:szCs w:val="21"/>
        </w:rPr>
        <w:t xml:space="preserve"> I do not claim defect-aware lattice optimization [6], robust lattice optimization [9, 11] or eigenfrequency optimization [7] as new. Three discovery searches (robust eigenfrequency optimization with AM lattice defects; modal testing with micro-CT defects; an isogeometric fatigue lead) found no study combining (i) measured as-built defect statistics from L-PBF lattices, (ii) a robust or defect-aware optimization with a dynamic criterion such as eigenfrequency, and (iii) as-built modal and drop-impact validation on a UAV-type component. From limited searches, the gap is that combination, not any ingredient.</w:t>
      </w:r>
    </w:p>
    <w:p>
      <w:pPr>
        <w:spacing w:after="100" w:line="276"/>
      </w:pPr>
      <w:r>
        <w:rPr>
          <w:rFonts w:ascii="Calibri" w:cs="Calibri" w:eastAsia="Calibri" w:hAnsi="Calibri"/>
          <w:b/>
          <w:bCs/>
          <w:sz w:val="21"/>
          <w:szCs w:val="21"/>
        </w:rPr>
        <w:t xml:space="preserve">Pre-empting work.</w:t>
      </w:r>
      <w:r>
        <w:rPr>
          <w:rFonts w:ascii="Calibri" w:cs="Calibri" w:eastAsia="Calibri" w:hAnsi="Calibri"/>
          <w:sz w:val="21"/>
          <w:szCs w:val="21"/>
        </w:rPr>
        <w:t xml:space="preserve"> The nearest work from each side is the group's static optimization [6], static robust optimization [11], CT-informed impact design without optimization [12] and PLA UAV arms without defect modelling [1]. Extending [12] to optimization would pre-empt part of my impact work, so impact is a checked response, not an objective. A 2024 to 2026 group paper combining defects and dynamics could exist, as I could not search the publication list. Unverified leads for WP0, known only as names or excerpts and possibly misdescribed: a TPMS modal-tuning paper in the Journal of Computing and Information Science in Engineering; a 2025 multiscale study of AlSi10Mg octet-truss lattices with micro-CT defect populations in finite element models, whose dynamic or modal content I could not confirm and which could narrow the gap if it models defects in dynamics; a 2021 Materials and Design micro-CT strut study; and further unverified optimization leads (Schevenels 2011, Jansen 2015, Koike et al., and an isogeometric fatigue lead by Gu, Wang and Xu).</w:t>
      </w:r>
    </w:p>
    <w:p>
      <w:pPr>
        <w:spacing w:after="100" w:line="276"/>
      </w:pPr>
      <w:r>
        <w:rPr>
          <w:rFonts w:ascii="Calibri" w:cs="Calibri" w:eastAsia="Calibri" w:hAnsi="Calibri"/>
          <w:b/>
          <w:bCs/>
          <w:sz w:val="21"/>
          <w:szCs w:val="21"/>
        </w:rPr>
        <w:t xml:space="preserve">Confidence and fallbacks.</w:t>
      </w:r>
      <w:r>
        <w:rPr>
          <w:rFonts w:ascii="Calibri" w:cs="Calibri" w:eastAsia="Calibri" w:hAnsi="Calibri"/>
          <w:sz w:val="21"/>
          <w:szCs w:val="21"/>
        </w:rPr>
        <w:t xml:space="preserve"> Confidence in the narrowed gap is medium (low for the original, broader topic), because the evidence is limited. If WP0 shows the combination is covered, I would discuss three fallbacks with the supervisor at the month-4 gate: shift the contribution to the dataset and validation; change the dynamic criterion; or change the component or alloy.</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by computation checked on a small sample of as-built parts, whether inserting measured L-PBF lattice defect statistics into an eigenfrequency-robust graded-lattice design optimization preserves the intended resonance margin, with acceptable impact response, compared with nominal optimization. In the core, topology optimization is reduced to graded-lattice sizing; 3D robust topology optimization is a stretch goal.</w:t>
      </w:r>
    </w:p>
    <w:p>
      <w:pPr>
        <w:pStyle w:val="ListParagraph"/>
        <w:numPr>
          <w:ilvl w:val="0"/>
          <w:numId w:val="3"/>
        </w:numPr>
        <w:spacing w:after="60" w:line="276"/>
      </w:pPr>
      <w:r>
        <w:rPr>
          <w:rFonts w:ascii="Calibri" w:cs="Calibri" w:eastAsia="Calibri" w:hAnsi="Calibri"/>
          <w:sz w:val="21"/>
          <w:szCs w:val="21"/>
        </w:rPr>
        <w:t xml:space="preserve">Quantify by micro-CT the strut waviness, thickness variation, oversizing, and node volume and distortion of 36 as-built octet-truss specimens (18 cubes, 18 lattice beams) against strut diameter and build orientation, with scan repeatability stated (month 10).</w:t>
      </w:r>
    </w:p>
    <w:p>
      <w:pPr>
        <w:pStyle w:val="ListParagraph"/>
        <w:numPr>
          <w:ilvl w:val="0"/>
          <w:numId w:val="3"/>
        </w:numPr>
        <w:spacing w:after="60" w:line="276"/>
      </w:pPr>
      <w:r>
        <w:rPr>
          <w:rFonts w:ascii="Calibri" w:cs="Calibri" w:eastAsia="Calibri" w:hAnsi="Calibri"/>
          <w:sz w:val="21"/>
          <w:szCs w:val="21"/>
        </w:rPr>
        <w:t xml:space="preserve">Check a defect-informed strut-level beam-element model against the first three natural frequencies of the lattice beams, target error 5% or less (month 12).</w:t>
      </w:r>
    </w:p>
    <w:p>
      <w:pPr>
        <w:pStyle w:val="ListParagraph"/>
        <w:numPr>
          <w:ilvl w:val="0"/>
          <w:numId w:val="3"/>
        </w:numPr>
        <w:spacing w:after="60" w:line="276"/>
      </w:pPr>
      <w:r>
        <w:rPr>
          <w:rFonts w:ascii="Calibri" w:cs="Calibri" w:eastAsia="Calibri" w:hAnsi="Calibri"/>
          <w:sz w:val="21"/>
          <w:szCs w:val="21"/>
        </w:rPr>
        <w:t xml:space="preserve">Implement eigenfrequency-robust graded-lattice optimization (2D analogue and graded arm) and compare it computationally with nominal and static defect-aware formulations (month 14).</w:t>
      </w:r>
    </w:p>
    <w:p>
      <w:pPr>
        <w:pStyle w:val="ListParagraph"/>
        <w:numPr>
          <w:ilvl w:val="0"/>
          <w:numId w:val="3"/>
        </w:numPr>
        <w:spacing w:after="60" w:line="276"/>
      </w:pPr>
      <w:r>
        <w:rPr>
          <w:rFonts w:ascii="Calibri" w:cs="Calibri" w:eastAsia="Calibri" w:hAnsi="Calibri"/>
          <w:sz w:val="21"/>
          <w:szCs w:val="21"/>
        </w:rPr>
        <w:t xml:space="preserve">Check the model on eight as-built UAV arm demonstrators (two designs, four each): first-frequency margin with motor mass, mass, drop-impact peak force and energy absorption (month 20).</w:t>
      </w:r>
    </w:p>
    <w:p>
      <w:pPr>
        <w:spacing w:after="100" w:line="276"/>
      </w:pPr>
      <w:r>
        <w:rPr>
          <w:rFonts w:ascii="Calibri" w:cs="Calibri" w:eastAsia="Calibri" w:hAnsi="Calibri"/>
          <w:b/>
          <w:bCs/>
          <w:sz w:val="21"/>
          <w:szCs w:val="21"/>
        </w:rPr>
        <w:t xml:space="preserve">Core and stretch.</w:t>
      </w:r>
      <w:r>
        <w:rPr>
          <w:rFonts w:ascii="Calibri" w:cs="Calibri" w:eastAsia="Calibri" w:hAnsi="Calibri"/>
          <w:sz w:val="21"/>
          <w:szCs w:val="21"/>
        </w:rPr>
        <w:t xml:space="preserve"> The core is WP0 to WP4, Paper 1 and the thesis. Stretch items, attempted only if the month-14 and month-19 checkpoints are on schedule: Paper 2 (the optimization study), CT-meshed solid models (L3), 3D robust topology optimization, a conventional baseline print and a thrust stand with free-flight logging. All numerical values are targets, not expected results.</w:t>
      </w:r>
    </w:p>
    <w:p>
      <w:pPr>
        <w:keepNext/>
        <w:spacing w:after="60" w:before="80"/>
      </w:pPr>
      <w:r>
        <w:rPr>
          <w:rFonts w:ascii="Calibri" w:cs="Calibri" w:eastAsia="Calibri" w:hAnsi="Calibri"/>
          <w:b/>
          <w:bCs/>
          <w:sz w:val="19"/>
          <w:szCs w:val="19"/>
        </w:rPr>
        <w:t xml:space="preserve">Research questions, hypotheses and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4"/>
        <w:gridCol w:w="3178"/>
        <w:gridCol w:w="3178"/>
        <w:gridCol w:w="1000"/>
      </w:tblGrid>
      <w:tr>
        <w:trPr>
          <w:cantSplit/>
          <w:tblHeader/>
        </w:trPr>
        <w:tc>
          <w:tcPr>
            <w:tcW w:type="dxa" w:w="272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1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1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and test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 package</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How much of the defect-driven frequency shift do waviness, thickness variation and oversizing statistics capture?</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The shift exceeds measurement uncertainty (sign not assumed), and a model using the three statistics predicts the first three frequencies within 5%, better than the nominal model.</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Free-free modal tests on 18 lattice beams against L1 and L2; relative error, modal assurance criterion, bootstrap intervals.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WP2</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Does eigenfrequency-robust optimization (mean minus k standard deviations, or worst case) keep resonance margins on simulated as-built parts that nominal optimization loses?</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On the Monte Carlo model (within-build scatter from WP1), robust designs meet the frequency requirement in at least 95% of samples and nominal designs do not, at no more than 10% extra mass; the four measured parts per design are a consistency check, not a pass or fail test.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Monte Carlo; modal tests with motor mass on V1 and V2; measured mass.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WP4</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vibration-robust designs keep acceptable drop-impact response?</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(exploratory, descriptive). No part fractures and peak force stays below an allowable value set from the hard-landing load case; no equivalence test.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tower, four parts per design, per-part values (two spares set the drop energy); post-impact modal change.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pStyle w:val="Heading2"/>
        <w:keepNext/>
        <w:spacing w:after="100" w:before="260"/>
      </w:pPr>
      <w:r>
        <w:rPr>
          <w:rFonts w:ascii="Calibri" w:cs="Calibri" w:eastAsia="Calibri" w:hAnsi="Calibri"/>
          <w:b/>
          <w:bCs/>
          <w:color w:val="2E5C8A"/>
          <w:sz w:val="26"/>
          <w:szCs w:val="26"/>
        </w:rPr>
        <w:t xml:space="preserve">4.1 Design choices and model hierarchy</w:t>
      </w:r>
    </w:p>
    <w:p>
      <w:pPr>
        <w:spacing w:after="100" w:line="276"/>
      </w:pPr>
      <w:r>
        <w:rPr>
          <w:rFonts w:ascii="Calibri" w:cs="Calibri" w:eastAsia="Calibri" w:hAnsi="Calibri"/>
          <w:sz w:val="21"/>
          <w:szCs w:val="21"/>
        </w:rPr>
        <w:t xml:space="preserve">Ti-6Al-4V and the octet-truss lattice are working assumptions: the octet family appears in the group's CT defect work [4], and AlSi10Mg octet-truss lattices have been studied for CT-informed impact design [12]. The final choice depends on printer and CT access and is fixed at the month-4 gate. L1 is a nominal strut-level beam-element model; L2 adds strut-wise diameter profiles and centreline waviness; L3, a CT-meshed solid model, is a stretch item. Node volume enters L2 only through a mass check; node distortion is a candidate defect type to add if L2 misses its error target. A homogenized reduced model from L2 supplies effective stiffness and density, with scatter, to the optimization; homogenization assumes scale separation, which a small UAV part may not provide (few cells across the section, size effects), so WP2 includes a validity check. Tools: CalculiX (or Abaqus or ANSYS if licensed), Python or MATLAB with an existing open-source optimization code adapted with the supervisor's guidance, and 3D Slicer or Fiji for CT.</w:t>
      </w:r>
    </w:p>
    <w:p>
      <w:pPr>
        <w:pStyle w:val="Heading2"/>
        <w:keepNext/>
        <w:spacing w:after="100" w:before="260"/>
      </w:pPr>
      <w:r>
        <w:rPr>
          <w:rFonts w:ascii="Calibri" w:cs="Calibri" w:eastAsia="Calibri" w:hAnsi="Calibri"/>
          <w:b/>
          <w:bCs/>
          <w:color w:val="2E5C8A"/>
          <w:sz w:val="26"/>
          <w:szCs w:val="26"/>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Confirm, narrow or reject the gap before major experimental spending.</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protocol (questions, inclusion criteria, search strings). Search Scopus, Web of Science, Engineering Village and Google Scholar. Read the full texts of the sources in Section 2 and confirm flagged record details. Read the dynamics-related leads in Section 2.3 first, then the other leads and the group's publication list. Tabulate alloy, lattice, defect type, criterion and validation.</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A supervisor or group member independently screens a random subset and agreement is reported. Deliverables: protocol, screening table, thesis review chapter and a gap memo with a go or refine decision.</w:t>
      </w:r>
    </w:p>
    <w:p>
      <w:pPr>
        <w:pStyle w:val="Heading2"/>
        <w:keepNext/>
        <w:spacing w:after="100" w:before="260"/>
      </w:pPr>
      <w:r>
        <w:rPr>
          <w:rFonts w:ascii="Calibri" w:cs="Calibri" w:eastAsia="Calibri" w:hAnsi="Calibri"/>
          <w:b/>
          <w:bCs/>
          <w:color w:val="2E5C8A"/>
          <w:sz w:val="26"/>
          <w:szCs w:val="26"/>
        </w:rPr>
        <w:t xml:space="preserve">4.3 Work Package 1: specimens, fabrication and micro-CT defect statistics (months 3 to 10)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Quantify strut-level defects against nominal strut diameter and build orientation, following the CT-statistics approach of the group's earlier lattice work [4].</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Design octet-truss cubes (compression and CT) and lattice beams (modal and CT) with three strut diameters, two build orientations and three replicates each, in randomized plate positions, recording build parameters and powder lot (dimensions in Section 4.7). Micro-CT every specimen (voxel size below), extracting strut centrelines, diameter profiles, waviness, oversizing and node volume. Compression-test the cubes for effective modulus, guided by ISO/ASTM 52959:2026, a standard on compression validation specimens for metal lattices [13] whose geometry and procedure I will confirm. Tensile-test printed solid bars (ISO 6892-1 or ASTM E8/E8M) and measure dynamic modulus by impulse excitation (ASTM E1876); these standards come from my own knowledge and need confirming, and I found no standard for modal or impact testing of lattices. All parts follow one recorded post-processing route, with surfaces as built.</w:t>
      </w:r>
    </w:p>
    <w:p>
      <w:pPr>
        <w:pStyle w:val="ListParagraph"/>
        <w:numPr>
          <w:ilvl w:val="0"/>
          <w:numId w:val="2"/>
        </w:numPr>
        <w:spacing w:after="60" w:line="276"/>
      </w:pPr>
      <w:r>
        <w:rPr>
          <w:rFonts w:ascii="Calibri" w:cs="Calibri" w:eastAsia="Calibri" w:hAnsi="Calibri"/>
          <w:b/>
          <w:bCs/>
          <w:sz w:val="21"/>
          <w:szCs w:val="21"/>
        </w:rPr>
        <w:t xml:space="preserve">CT feasibility (indicative).</w:t>
      </w:r>
      <w:r>
        <w:rPr>
          <w:rFonts w:ascii="Calibri" w:cs="Calibri" w:eastAsia="Calibri" w:hAnsi="Calibri"/>
          <w:sz w:val="21"/>
          <w:szCs w:val="21"/>
        </w:rPr>
        <w:t xml:space="preserve"> With a detector about 2,000 pixels wide (to be confirmed), a 0.04 mm voxel gives a field of view of about 80 mm, enough for whole specimens (largest dimension 48 mm) with about 10 voxels across a 0.4 mm strut. A 150 mm arm does not fit, so arms will be scanned at about 0.08 mm (about 5 voxels across the thinnest strut) or in overlapping sections; penetration of dense Ti-6Al-4V is a risk (Section 7). Arm-level strut statistics will be compared with the specimen-level distributions for the same diameter and inclination, and a mismatch triggers recalibration.</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Threshold-sensitivity study; repeat scans of three repositioned specimens (mean strut diameter within about one voxel); cross-check against optical measurements on sectioned struts; CT guidance such as ASTM E1441. Deliverables: analysis pipeline, defect dataset and fitted statistical models of each defect type by diameter and inclination.</w:t>
      </w:r>
    </w:p>
    <w:p>
      <w:pPr>
        <w:pStyle w:val="Heading2"/>
        <w:keepNext/>
        <w:spacing w:after="100" w:before="260"/>
      </w:pPr>
      <w:r>
        <w:rPr>
          <w:rFonts w:ascii="Calibri" w:cs="Calibri" w:eastAsia="Calibri" w:hAnsi="Calibri"/>
          <w:b/>
          <w:bCs/>
          <w:color w:val="2E5C8A"/>
          <w:sz w:val="26"/>
          <w:szCs w:val="26"/>
        </w:rPr>
        <w:t xml:space="preserve">4.4 Work Package 2: defect-informed dynamic modelling and modal validation (months 6 to 12)</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Determine how much of the as-built frequency shift is explained by defect statistics.</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Suspend each lattice beam on soft elastic cords (free-free), excite with an instrumented hammer and measure with a lightweight accelerometer or, if available, a laser Doppler vibrometer, because accelerometer mass can load light lattices. Extract frequencies, damping and mode shapes by FRF curve fitting (principles of ISO 7626-5). Build L1 and L2, sample defect parameters from the WP1 distributions for Monte Carlo prediction of frequency scatter, and derive the homogenized model. Compare it with full L2 on numerical beams with different numbers of cells across the section, record where scale separation fails, and restrict optimization to modes where it holds.</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Hold-out testing (calibrate on two replicates per condition, predict the third); L2 error of 5% or less on the first three frequencies and smaller than the L1 error, with a missed target reported and analyzed. Deliverables: validated model and code, and Paper 1.</w:t>
      </w:r>
    </w:p>
    <w:p>
      <w:pPr>
        <w:pStyle w:val="Heading2"/>
        <w:keepNext/>
        <w:spacing w:after="100" w:before="260"/>
      </w:pPr>
      <w:r>
        <w:rPr>
          <w:rFonts w:ascii="Calibri" w:cs="Calibri" w:eastAsia="Calibri" w:hAnsi="Calibri"/>
          <w:b/>
          <w:bCs/>
          <w:color w:val="2E5C8A"/>
          <w:sz w:val="26"/>
          <w:szCs w:val="26"/>
        </w:rPr>
        <w:t xml:space="preserve">4.5 Work Package 3: eigenfrequency-robust optimization (months 9 to 14; 3D stretch to month 18)</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Formulate, implement and compare nominal, static defect-aware and robust formulations.</w:t>
      </w:r>
    </w:p>
    <w:p>
      <w:pPr>
        <w:pStyle w:val="ListParagraph"/>
        <w:numPr>
          <w:ilvl w:val="0"/>
          <w:numId w:val="2"/>
        </w:numPr>
        <w:spacing w:after="60" w:line="276"/>
      </w:pPr>
      <w:r>
        <w:rPr>
          <w:rFonts w:ascii="Calibri" w:cs="Calibri" w:eastAsia="Calibri" w:hAnsi="Calibri"/>
          <w:b/>
          <w:bCs/>
          <w:sz w:val="21"/>
          <w:szCs w:val="21"/>
        </w:rPr>
        <w:t xml:space="preserve">Pre-check (month 9).</w:t>
      </w:r>
      <w:r>
        <w:rPr>
          <w:rFonts w:ascii="Calibri" w:cs="Calibri" w:eastAsia="Calibri" w:hAnsi="Calibri"/>
          <w:sz w:val="21"/>
          <w:szCs w:val="21"/>
        </w:rPr>
        <w:t xml:space="preserve"> The arm-to-motor mass ratio decides how far the first frequency differs from a static-stiffness criterion. At an assumed 20 to 30% relative density in Ti-6Al-4V, my unverified estimate of arm mass for the working envelope is 50 to 80 g, against a motor mass to be measured in WP4. I will compute the first frequency of graded arms over a range of tip-to-arm mass ratios and check whether it ranks designs differently from static tip compliance; if not, I would discuss higher modes or a frequency gap [7], or reframing around mean knockdown versus scatter.</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The design variable is the relative density of a graded octet-truss, with stiffness and mass interpolated from the WP2 reduced model, including its scatter. Development starts with a planar 2D analogue, then a graded arm (strut diameter varying along the arm, motor mass at the tip, compliant clamp). F0 minimizes mass subject to a first-frequency target and a compliance limit using nominal properties. F1 uses defect-modified mean properties, in the spirit of the group's static approach [6]. F2 requires the frequency at its mean minus k standard deviations (k = 1, 2, 3) to meet the target, plus a worst-case variant in the spirit of manufacturing-tolerant optimization [14]; the mean-plus-standard-deviation idea comes from compliance-based work [11, 10]. Comparing F1 with F2 separates mean knockdown from scatter; this is numerical only, as no F1 part is built. Repeated eigenvalues complicate eigenfrequency optimization [7]; I plan a bound formulation (to be confirmed in WP0), with filtering, projection and L-PBF limits on strut diameter and inclination.</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Finite-difference checks of sensitivities (target relative error 1%), mesh convergence, a known benchmark and a Monte Carlo coverage check; robust designs meeting the frequency requirement in at least 95% of samples (the model part of H2). Deliverables: documented code, numerical study and, as a stretch item, Paper 2.</w:t>
      </w:r>
    </w:p>
    <w:p>
      <w:pPr>
        <w:pStyle w:val="Heading2"/>
        <w:keepNext/>
        <w:spacing w:after="100" w:before="260"/>
      </w:pPr>
      <w:r>
        <w:rPr>
          <w:rFonts w:ascii="Calibri" w:cs="Calibri" w:eastAsia="Calibri" w:hAnsi="Calibri"/>
          <w:b/>
          <w:bCs/>
          <w:color w:val="2E5C8A"/>
          <w:sz w:val="26"/>
          <w:szCs w:val="26"/>
        </w:rPr>
        <w:t xml:space="preserve">4.6 Work Package 4: UAV arm case study and as-built model check (months 5 to 20)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the designs on realistic parts, with vibration as the optimized criterion and impact as a checked response.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In months 5 to 8, build a multirotor test vehicle, run it on a fixture with an accelerometer through a throttle sweep to identify excitation bands, measure the motor mass, and set the frequency target (with motor mass) and a hard-landing load case with an allowable peak force; ground-testing printed arms on a quadcopter has precedent in PLA [1]. Design V1 (nominal-optimized, F0) and V2 (robust-optimized, F2) in one envelope, freeze them at month 14 and order one batch of ten parts (four of each plus two spares) in randomized build positions. On receipt, weigh and CT-scan all ten parts (Section 4.3) and modal-test each free-free and clamped in an airframe-representative fixture with a dummy motor mass. Pilot drop tests on the spares set only the impact energy; the eight parts are then drop-tested in an instrumented tower and re-tested modally to detect stiffness loss. I will document an in-house drop protocol. Thrust-stand tests and free flights are stretch items (Section 11).</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Randomized test order; fixture compliance and motor-mass representation in the uncertainty budget. Report first frequency with motor mass for the four robust parts against the Monte Carlo interval, per-part impact peak force and energy against the allowable peak force (H3), and mass against the nominal-optimized design and a computed uniform-lattice baseline. With no F1 part built, these tests check the model and do not test F1 against F2. Deliverables: tested demonstrators, data and a thesis chapter.</w:t>
      </w:r>
    </w:p>
    <w:p>
      <w:pPr>
        <w:pStyle w:val="Heading2"/>
        <w:keepNext/>
        <w:spacing w:after="100" w:before="260"/>
      </w:pPr>
      <w:r>
        <w:rPr>
          <w:rFonts w:ascii="Calibri" w:cs="Calibri" w:eastAsia="Calibri" w:hAnsi="Calibri"/>
          <w:b/>
          <w:bCs/>
          <w:color w:val="2E5C8A"/>
          <w:sz w:val="26"/>
          <w:szCs w:val="26"/>
        </w:rPr>
        <w:t xml:space="preserve">4.7 Test matrix and experimental design</w:t>
      </w:r>
    </w:p>
    <w:p>
      <w:pPr>
        <w:keepNext/>
        <w:spacing w:after="60" w:before="80"/>
      </w:pPr>
      <w:r>
        <w:rPr>
          <w:rFonts w:ascii="Calibri" w:cs="Calibri" w:eastAsia="Calibri" w:hAnsi="Calibri"/>
          <w:b/>
          <w:bCs/>
          <w:sz w:val="19"/>
          <w:szCs w:val="19"/>
        </w:rPr>
        <w:t xml:space="preserve">Test matrix: 60 fabricated items (14 + 18 + 18 + 10); 46 are CT-scanned (the two spares included). Levels are indicative working values (unit cell 4 mm; strut diameters 0.4, 0.5 and 0.6 mm), finalized at the month-4 gate; batch 1 (A, B) and batch 2 (C) are each assumed to be one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66"/>
        <w:gridCol w:w="1903"/>
        <w:gridCol w:w="1775"/>
        <w:gridCol w:w="2836"/>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Series</w:t>
            </w:r>
          </w:p>
        </w:tc>
        <w:tc>
          <w:tcPr>
            <w:tcW w:type="dxa" w:w="25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w:t>
            </w:r>
          </w:p>
        </w:tc>
        <w:tc>
          <w:tcPr>
            <w:tcW w:type="dxa" w:w="19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Factors and levels</w:t>
            </w:r>
          </w:p>
        </w:tc>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Replicates</w:t>
            </w:r>
          </w:p>
        </w:tc>
        <w:tc>
          <w:tcPr>
            <w:tcW w:type="dxa" w:w="283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Measurements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A1</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Solid bars</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(10 tensile, 4 impulse)</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dynamic modulus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A2</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Lattice cubes (5 × 5 × 5 cells, 20 mm)</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Strut diameter: 3;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condition (18)</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compression (ISO/ASTM 52959:2026 [13])</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Lattice beams (3 × 3 × 12 cells, 48 mm long)</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Strut diameter: 3;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condition (18)</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free-free modal test</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arm demonstrators (about 150 mm long, 20 mm square section)</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Design: 2 (V1, V2)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per design plus 2 spares (10)</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micro-CT; modal; drop impact; post-impact modal</w:t>
            </w:r>
          </w:p>
        </w:tc>
      </w:tr>
    </w:tbl>
    <w:p>
      <w:pPr>
        <w:spacing w:after="120"/>
      </w:pPr>
    </w:p>
    <w:p>
      <w:pPr>
        <w:pStyle w:val="Heading2"/>
        <w:keepNext/>
        <w:spacing w:after="100" w:before="260"/>
      </w:pPr>
      <w:r>
        <w:rPr>
          <w:rFonts w:ascii="Calibri" w:cs="Calibri" w:eastAsia="Calibri" w:hAnsi="Calibri"/>
          <w:b/>
          <w:bCs/>
          <w:color w:val="2E5C8A"/>
          <w:sz w:val="26"/>
          <w:szCs w:val="26"/>
        </w:rPr>
        <w:t xml:space="preserve">4.8 Data-analysis plan</w:t>
      </w:r>
    </w:p>
    <w:p>
      <w:pPr>
        <w:pStyle w:val="ListParagraph"/>
        <w:numPr>
          <w:ilvl w:val="0"/>
          <w:numId w:val="2"/>
        </w:numPr>
        <w:spacing w:after="60" w:line="276"/>
      </w:pPr>
      <w:r>
        <w:rPr>
          <w:rFonts w:ascii="Calibri" w:cs="Calibri" w:eastAsia="Calibri" w:hAnsi="Calibri"/>
          <w:b/>
          <w:bCs/>
          <w:sz w:val="21"/>
          <w:szCs w:val="21"/>
        </w:rPr>
        <w:t xml:space="preserve">Strut-level statistics.</w:t>
      </w:r>
      <w:r>
        <w:rPr>
          <w:rFonts w:ascii="Calibri" w:cs="Calibri" w:eastAsia="Calibri" w:hAnsi="Calibri"/>
          <w:sz w:val="21"/>
          <w:szCs w:val="21"/>
        </w:rPr>
        <w:t xml:space="preserve"> Struts are nested in specimens, so I will use mixed-effects models with specimen as a random effect and nominal diameter and inclination as fixed effects, checked distributions, waviness described by correlation length and amplitude, and 95% confidence intervals. Build-to-build variance can be a large source of L-PBF scatter but cannot be estimated from one specimen build and one demonstrator build; randomized plate positions control only within-build effects. The scatter fed to the robust optimization is therefore within-build, and I will test sensitivity by inflating it in the Monte Carlo study. A second specimen build would address this; it is a question for the supervisor and is not budgeted.</w:t>
      </w:r>
    </w:p>
    <w:p>
      <w:pPr>
        <w:pStyle w:val="ListParagraph"/>
        <w:numPr>
          <w:ilvl w:val="0"/>
          <w:numId w:val="2"/>
        </w:numPr>
        <w:spacing w:after="60" w:line="276"/>
      </w:pPr>
      <w:r>
        <w:rPr>
          <w:rFonts w:ascii="Calibri" w:cs="Calibri" w:eastAsia="Calibri" w:hAnsi="Calibri"/>
          <w:b/>
          <w:bCs/>
          <w:sz w:val="21"/>
          <w:szCs w:val="21"/>
        </w:rPr>
        <w:t xml:space="preserve">Frequencies and uncertainty.</w:t>
      </w:r>
      <w:r>
        <w:rPr>
          <w:rFonts w:ascii="Calibri" w:cs="Calibri" w:eastAsia="Calibri" w:hAnsi="Calibri"/>
          <w:sz w:val="21"/>
          <w:szCs w:val="21"/>
        </w:rPr>
        <w:t xml:space="preserve"> Relative error per mode and model level, bootstrap intervals, modal assurance criterion, and a GUM-style uncertainty budget propagated by Monte Carlo.</w:t>
      </w:r>
    </w:p>
    <w:p>
      <w:pPr>
        <w:pStyle w:val="ListParagraph"/>
        <w:numPr>
          <w:ilvl w:val="0"/>
          <w:numId w:val="2"/>
        </w:numPr>
        <w:spacing w:after="60" w:line="276"/>
      </w:pPr>
      <w:r>
        <w:rPr>
          <w:rFonts w:ascii="Calibri" w:cs="Calibri" w:eastAsia="Calibri" w:hAnsi="Calibri"/>
          <w:b/>
          <w:bCs/>
          <w:sz w:val="21"/>
          <w:szCs w:val="21"/>
        </w:rPr>
        <w:t xml:space="preserve">Small samples and reproducibility.</w:t>
      </w:r>
      <w:r>
        <w:rPr>
          <w:rFonts w:ascii="Calibri" w:cs="Calibri" w:eastAsia="Calibri" w:hAnsi="Calibri"/>
          <w:sz w:val="21"/>
          <w:szCs w:val="21"/>
        </w:rPr>
        <w:t xml:space="preserve"> With four parts per design, power is limited: the 95% coverage in H2 is tested on the Monte Carlo model, the measured parts are a consistency check and H3 is descriptive. I will pre-specify the analysis, report effect sizes with intervals and keep code version-controlled, with a data management plan for raw CT stacks.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plan covers 24 months from September 2027, the upper end of the typical 18 to 24 months, and assumes the current handbook's 45-credit thesis M.Sc., of which about 16 credits are five 3-credit courses (to be confirmed). McGill's university-wide application window for September 2027 runs 15 September 2026 to 15 June 2027, but departments set their own deadlines; the only one I found is 1 December for September entry, on an undated page (an archived 2022-2023 table showed 15 December). So 1 December 2026, about seven weeks away, is possible, and I plan to apply by the earliest plausible date.</w:t>
      </w:r>
    </w:p>
    <w:p>
      <w:pPr>
        <w:keepNext/>
        <w:spacing w:after="60" w:before="80"/>
      </w:pPr>
      <w:r>
        <w:rPr>
          <w:rFonts w:ascii="Calibri" w:cs="Calibri" w:eastAsia="Calibri" w:hAnsi="Calibri"/>
          <w:b/>
          <w:bCs/>
          <w:sz w:val="19"/>
          <w:szCs w:val="19"/>
        </w:rPr>
        <w:t xml:space="preserve">Term-by-term plan. Conference timing depends on unconfirmed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9"/>
        <w:gridCol w:w="4190"/>
        <w:gridCol w:w="4191"/>
      </w:tblGrid>
      <w:tr>
        <w:trPr>
          <w:cantSplit/>
          <w:tblHeader/>
        </w:trPr>
        <w:tc>
          <w:tcPr>
            <w:tcW w:type="dxa" w:w="169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Mid-October to early December 2026</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the deadline with the graduate coordinator (possibly 1 December). Sit the English test (IELTS Academic planned) or ask whether results may follow. Settle transcript, CGPA conversion and referees. Write to Prof. Pasini. Submit the application by the deadline. Start self-study (Section 10).</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Deadline confirmed; application submitted on time.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December 2026 to August 2027</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Discuss fit and funding. After an offer, arrange funding, permit and travel. Continue self-study. If the deadline is missed, ask about Winter 2028 entry.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Offer and funding decision; permit; self-study checklist complete.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(for example finite element methods, vibration or optimization); safety and any required research-integrity training; WP0; draft the WP1 specimen design; printing and CT quotes.</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(month 2): WP0 protocol agreed. M2 (month 4): gap memo; go or refine decision; alloy, lattice and printing route fixed.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seminar. Order batch 1 at month 6. Build the CT pipeline on pilot coupons; verify L1 against analytical frequencies; bench vibration runs; begin 2D optimization by adapting open-source code.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 (month 6): batch 1 ordered. M4 (month 8): pipeline repeatable; L1 verified; frequency target set.</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Batch 1 arrives. CT scans, compression and modal tests; L2 and hold-out validation; WP3 pre-check; 2D robust optimization. Draft Paper 1.</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(month 10): defect dataset. M6 (month 12): model validated.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F0, F1, F2 comparison. Freeze V1 and V2; order batch 2 at month 14; prepare fixtures and drop-test protocol; one course. Batch 2 arrives about month 16 (6 to 8 week lead time assumed).</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submitted (month 14). M7 (month 14): comparison complete; batch 2 ordered.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Batch 2 testing: weigh, CT, modal, pilot then drop tests, post-impact modal. Optimization chapter. Paper 2 and other stretch work only if on schedule.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M8 (month 19): data collected. M9 (month 20): objective 4 complete. Paper 2 (stretch) submitted by month 18 if on schedule.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Final analysis and chapters; draft to the supervisor at month 21; month 22 buffer; thesis examination (format to confirm).</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Thesis submitted (month 23); examination (month 24).</w:t>
            </w:r>
          </w:p>
        </w:tc>
      </w:tr>
    </w:tbl>
    <w:p>
      <w:pPr>
        <w:spacing w:after="120"/>
      </w:pPr>
    </w:p>
    <w:p>
      <w:pPr>
        <w:spacing w:after="100" w:line="276"/>
      </w:pPr>
      <w:r>
        <w:rPr>
          <w:rFonts w:ascii="Calibri" w:cs="Calibri" w:eastAsia="Calibri" w:hAnsi="Calibri"/>
          <w:sz w:val="21"/>
          <w:szCs w:val="21"/>
        </w:rPr>
        <w:t xml:space="preserve">There is no spare term inside 24 months, so I will write each chapter as its work package closes, keep the month-22 buffer, book CT slots early and drop stretch items first, Paper 2 before the rest.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If WP0 confirms the gap, a dataset I am not aware of elsewhere pairing CT-measured defect statistics with the modal response of L-PBF lattices, and a numerical test of whether dynamic robustness needs defect scatter or only the mean knockdown (F1 against F2), checked on a small sample of as-built arms.</w:t>
      </w:r>
    </w:p>
    <w:p>
      <w:pPr>
        <w:pStyle w:val="ListParagraph"/>
        <w:numPr>
          <w:ilvl w:val="0"/>
          <w:numId w:val="2"/>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 documented workflow from CT scan to defect statistics to robust design, a reusable CT strut-analysis pipeline, a modal and drop-impact protocol for lattice parts, and a researcher trained in AM-aware design, optimization, CT metrology and modal testing, prepared for PhD continuation.</w:t>
      </w:r>
    </w:p>
    <w:p>
      <w:pPr>
        <w:pStyle w:val="ListParagraph"/>
        <w:numPr>
          <w:ilvl w:val="0"/>
          <w:numId w:val="2"/>
        </w:numPr>
        <w:spacing w:after="60" w:line="276"/>
      </w:pPr>
      <w:r>
        <w:rPr>
          <w:rFonts w:ascii="Calibri" w:cs="Calibri" w:eastAsia="Calibri" w:hAnsi="Calibri"/>
          <w:b/>
          <w:bCs/>
          <w:sz w:val="21"/>
          <w:szCs w:val="21"/>
        </w:rPr>
        <w:t xml:space="preserve">Paper 1 (submit month 14).</w:t>
      </w:r>
      <w:r>
        <w:rPr>
          <w:rFonts w:ascii="Calibri" w:cs="Calibri" w:eastAsia="Calibri" w:hAnsi="Calibri"/>
          <w:sz w:val="21"/>
          <w:szCs w:val="21"/>
        </w:rPr>
        <w:t xml:space="preserve"> CT defect statistics and modal response (WP1, WP2), for Additive Manufacturing (venue of [6]) or the Journal of Intelligent Manufacturing (venue of [8]).</w:t>
      </w:r>
    </w:p>
    <w:p>
      <w:pPr>
        <w:pStyle w:val="ListParagraph"/>
        <w:numPr>
          <w:ilvl w:val="0"/>
          <w:numId w:val="2"/>
        </w:numPr>
        <w:spacing w:after="60" w:line="276"/>
      </w:pPr>
      <w:r>
        <w:rPr>
          <w:rFonts w:ascii="Calibri" w:cs="Calibri" w:eastAsia="Calibri" w:hAnsi="Calibri"/>
          <w:b/>
          <w:bCs/>
          <w:sz w:val="21"/>
          <w:szCs w:val="21"/>
        </w:rPr>
        <w:t xml:space="preserve">Paper 2 (stretch; submit by month 18 if on schedule, otherwise after the thesis).</w:t>
      </w:r>
      <w:r>
        <w:rPr>
          <w:rFonts w:ascii="Calibri" w:cs="Calibri" w:eastAsia="Calibri" w:hAnsi="Calibri"/>
          <w:sz w:val="21"/>
          <w:szCs w:val="21"/>
        </w:rPr>
        <w:t xml:space="preserve"> Eigenfrequency-robust optimization with measured defects (WP3), for Structural and Multidisciplinary Optimization (venue of [7] and [2]).</w:t>
      </w:r>
    </w:p>
    <w:p>
      <w:pPr>
        <w:pStyle w:val="ListParagraph"/>
        <w:numPr>
          <w:ilvl w:val="0"/>
          <w:numId w:val="2"/>
        </w:numPr>
        <w:spacing w:after="60" w:line="276"/>
      </w:pPr>
      <w:r>
        <w:rPr>
          <w:rFonts w:ascii="Calibri" w:cs="Calibri" w:eastAsia="Calibri" w:hAnsi="Calibri"/>
          <w:b/>
          <w:bCs/>
          <w:sz w:val="21"/>
          <w:szCs w:val="21"/>
        </w:rPr>
        <w:t xml:space="preserve">Conferences and thesis.</w:t>
      </w:r>
      <w:r>
        <w:rPr>
          <w:rFonts w:ascii="Calibri" w:cs="Calibri" w:eastAsia="Calibri" w:hAnsi="Calibri"/>
          <w:sz w:val="21"/>
          <w:szCs w:val="21"/>
        </w:rPr>
        <w:t xml:space="preserve"> Preliminary results at about month 10 at SIM-AM (simulation for additive manufacturing) if an edition falls then, otherwise at a McGill or Montreal-area event; the UAV case study at the Vertical Flight Society Forum, where [1] appeared, if its deadline allows. All dates and call deadlines are unconfirmed.</w:t>
      </w:r>
    </w:p>
    <w:p>
      <w:pPr>
        <w:spacing w:after="100" w:line="276"/>
      </w:pPr>
      <w:r>
        <w:rPr>
          <w:rFonts w:ascii="Calibri" w:cs="Calibri" w:eastAsia="Calibri" w:hAnsi="Calibri"/>
          <w:sz w:val="21"/>
          <w:szCs w:val="21"/>
        </w:rPr>
        <w:t xml:space="preserve">I would share code and data openly if the supervisor and university agree, and I would expect Prof. Pasini to be co-author, with authorship agreed in advance.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p>
      <w:pPr>
        <w:keepNext/>
        <w:spacing w:after="60" w:before="80"/>
      </w:pPr>
      <w:r>
        <w:rPr>
          <w:rFonts w:ascii="Calibri" w:cs="Calibri" w:eastAsia="Calibri" w:hAnsi="Calibri"/>
          <w:b/>
          <w:bCs/>
          <w:sz w:val="19"/>
          <w:szCs w:val="19"/>
        </w:rPr>
        <w:t xml:space="preserve">Risk register. Likelihood and impact are my own initial judgments.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combination is already published or pre-empted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gate and fallbacks (Section 2.3); impact is only a checked response, so an extension of [12] would not remove the core.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place or funding for Fall 2027 (undated Openings page; early deadline; English test unsettled)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deadline and test route now; ask about openings, funding and Winter entry in the first email; adapt the topic for other groups if needed.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Group lacks L-PBF, micro-CT, modal or drop-test equipment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use commercial services or collaborators if agreed; reduce scale.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Printing cost or lead time exceeds budget or schedule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Order early (months 6 and 14); two strut diameters instead of three, keeping three replicates; lower-cost alloy; if batch 2 arrives after month 18, drop the clamped series.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Missing skills (FE, optimization, Python) and course workload slow progress; no documented experience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training (Section 10); adapt an open-source optimization code; weekly code review; term-1 courses; stretch items, Paper 2 first, dropped first.</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Dynamic criterion adds little over static stiffness for this arm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pre-check at month 9; alternatives are higher modes, a frequency gap or the mean-versus-scatter framing.</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Repeated eigenvalues and spurious modes in eigenfrequency optimization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Bound formulation (to be confirmed in WP0) and the treatment of multiple eigenfrequencies by Du and Olhoff [7]; 2D and graded forms first; fall back to a static-stiffness proxy plus a frequency check.</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shift too small to detect, homogenization invalid at part scale, small sample, or between-build variance not captured (one specimen build, one demonstrator build)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null result is still informative; thinner struts raise sensitivity; WP2 validity check; pre-specified analysis; scatter sensitivity study; a second build only if supervisor and budget allow.</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CT artifacts in dense Ti-6Al-4V, field-of-view limits for arms, or slow scan turnaround (about 60 scans)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Scan settings chosen with the operator; threshold-sensitivity study; optical cross-check; coarser voxel or sectioned arm scans; book slots early.</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(1) L-PBF fabrication; (2) micro-CT able to resolve struts; (3) a universal testing machine; (4) modal test equipment (hammer, lightweight accelerometers, data acquisition, ideally a laser Doppler vibrometer); (5) an instrumented drop tower and high-speed camera; (6) finite element and optimization software; (7) a multirotor, fixture and logging electronics; (8) machine-shop access.</w:t>
      </w:r>
    </w:p>
    <w:p>
      <w:pPr>
        <w:spacing w:after="100" w:line="276"/>
      </w:pPr>
      <w:r>
        <w:rPr>
          <w:rFonts w:ascii="Calibri" w:cs="Calibri" w:eastAsia="Calibri" w:hAnsi="Calibri"/>
          <w:b/>
          <w:bCs/>
          <w:sz w:val="21"/>
          <w:szCs w:val="21"/>
        </w:rPr>
        <w:t xml:space="preserve">What must be confirmed.</w:t>
      </w:r>
      <w:r>
        <w:rPr>
          <w:rFonts w:ascii="Calibri" w:cs="Calibri" w:eastAsia="Calibri" w:hAnsi="Calibri"/>
          <w:sz w:val="21"/>
          <w:szCs w:val="21"/>
        </w:rPr>
        <w:t xml:space="preserve"> I found no public equipment list for the group, so I assume nothing; the first conversation should ask which of items 1 to 8 the group or McGill can provide. I found no Mechanical Engineering M.Sc. (Thesis) stipend figure; McGill's graduate office says thesis master's students typically receive some funding from the supervisor. I have not yet secured funding and would ask about stipend and external awards open to international applicants. A funding source for the costs below will be agreed with the supervisor; tuition and living costs are separate.</w:t>
      </w:r>
    </w:p>
    <w:p>
      <w:pPr>
        <w:keepNext/>
        <w:spacing w:after="60" w:before="80"/>
      </w:pPr>
      <w:r>
        <w:rPr>
          <w:rFonts w:ascii="Calibri" w:cs="Calibri" w:eastAsia="Calibri" w:hAnsi="Calibri"/>
          <w:b/>
          <w:bCs/>
          <w:sz w:val="19"/>
          <w:szCs w:val="19"/>
        </w:rPr>
        <w:t xml:space="preserve">Indicative consumables and testing budget in CAD. Figures are rough estimates pending quotes, and some lines may be covered by group facilities.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39"/>
        <w:gridCol w:w="6009"/>
        <w:gridCol w:w="1832"/>
      </w:tblGrid>
      <w:tr>
        <w:trPr>
          <w:cantSplit/>
          <w:tblHeader/>
        </w:trPr>
        <w:tc>
          <w:tcPr>
            <w:tcW w:type="dxa" w:w="22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60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Basis of estimate</w:t>
            </w:r>
          </w:p>
        </w:tc>
        <w:tc>
          <w:tcPr>
            <w:tcW w:type="dxa" w:w="18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range (CAD)</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L-PBF cubes, beams and solid bars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 lattice specimens and 14 solid bars, commercial printing assumed</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 to 10,000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L-PBF UAV demonstrators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small parts (8 tested, 2 pilot spares)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 to 8,000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scanning</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46 items plus repeats and arm sections (about 60 scans); price per scan unknown, and fine-voxel scans of dense Ti-6Al-4V may cost more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 to 15,000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 consumables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Accelerometers, hammer tips, suspension, cables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 to 2,500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Drop-impact fixture and calibration</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Fixture, load-cell calibration, camera access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 to 4,000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vibration set-up</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Airframe kit, fixture, dummy motor mass, sensors, batteries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 to 4,000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Computing</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Cluster time, assumed largely free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 to 500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Dissemination</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open-access fees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 to 6,000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(rough)</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 of the ranges above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19,500 to 50,000</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The project fits the Architected Metamaterials Group at McGill, led by Prof. Damiano Pasini, a Professor in Mechanical Engineering, James McGill Professor and Tier 1 Canada Research Chair. Group-page facts come from search excerpts and need rechecking.</w:t>
      </w:r>
    </w:p>
    <w:p>
      <w:pPr>
        <w:pStyle w:val="ListParagraph"/>
        <w:numPr>
          <w:ilvl w:val="0"/>
          <w:numId w:val="2"/>
        </w:numPr>
        <w:spacing w:after="60" w:line="276"/>
      </w:pPr>
      <w:r>
        <w:rPr>
          <w:rFonts w:ascii="Calibri" w:cs="Calibri" w:eastAsia="Calibri" w:hAnsi="Calibri"/>
          <w:b/>
          <w:bCs/>
          <w:sz w:val="21"/>
          <w:szCs w:val="21"/>
        </w:rPr>
        <w:t xml:space="preserve">Starting point and method.</w:t>
      </w:r>
      <w:r>
        <w:rPr>
          <w:rFonts w:ascii="Calibri" w:cs="Calibri" w:eastAsia="Calibri" w:hAnsi="Calibri"/>
          <w:sz w:val="21"/>
          <w:szCs w:val="21"/>
        </w:rPr>
        <w:t xml:space="preserve"> The group's research page describes topology optimization of metamaterials that accounts for AM geometric and material defects [5, 6], and in-situ tomography of additively built metallic lattices with statistics-based defect models; the 2017 CT-based study [4] is the template for WP1, and a 2025 compensation framework tests build orientations and part scales [8].</w:t>
      </w:r>
    </w:p>
    <w:p>
      <w:pPr>
        <w:pStyle w:val="ListParagraph"/>
        <w:numPr>
          <w:ilvl w:val="0"/>
          <w:numId w:val="2"/>
        </w:numPr>
        <w:spacing w:after="60" w:line="276"/>
      </w:pPr>
      <w:r>
        <w:rPr>
          <w:rFonts w:ascii="Calibri" w:cs="Calibri" w:eastAsia="Calibri" w:hAnsi="Calibri"/>
          <w:b/>
          <w:bCs/>
          <w:sz w:val="21"/>
          <w:szCs w:val="21"/>
        </w:rPr>
        <w:t xml:space="preserve">UAV case study and dynamic extension.</w:t>
      </w:r>
      <w:r>
        <w:rPr>
          <w:rFonts w:ascii="Calibri" w:cs="Calibri" w:eastAsia="Calibri" w:hAnsi="Calibri"/>
          <w:sz w:val="21"/>
          <w:szCs w:val="21"/>
        </w:rPr>
        <w:t xml:space="preserve"> Aerospace is a named application sector, and Prof. Pasini is associated with the McGill Institute for Aerospace Engineering. I found no UAV-specific paper from the group and no group paper combining defects with dynamic response from 2021 to 2026, though I could not search the full publication list.</w:t>
      </w:r>
    </w:p>
    <w:p>
      <w:pPr>
        <w:spacing w:after="100" w:line="276"/>
      </w:pPr>
      <w:r>
        <w:rPr>
          <w:rFonts w:ascii="Calibri" w:cs="Calibri" w:eastAsia="Calibri" w:hAnsi="Calibri"/>
          <w:b/>
          <w:bCs/>
          <w:sz w:val="21"/>
          <w:szCs w:val="21"/>
        </w:rPr>
        <w:t xml:space="preserve">Routes to the group and recruiting status.</w:t>
      </w:r>
      <w:r>
        <w:rPr>
          <w:rFonts w:ascii="Calibri" w:cs="Calibri" w:eastAsia="Calibri" w:hAnsi="Calibri"/>
          <w:sz w:val="21"/>
          <w:szCs w:val="21"/>
        </w:rPr>
        <w:t xml:space="preserve"> The group's Openings page (seen only as an undated search excerpt) states multiple openings for next fall and winter and asks graduate applicants to apply through McGill's Mechanical Engineering graduate program, name their area of interest and write to Prof. Pasini. Because the page is undated, whether the openings include Fall 2027, and whether he would supervise this topic, are questions for him, not assumptions.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As a UAV technician I assemble, maintain and troubleshoot multirotor drones, so I can build the test multirotor, and my lathe and mill experience from industrial training should help with fixtures under supervision. These are practical contributions, not research results; I have no publications yet, and instrumentation and data acquisition are skills I must develop.</w:t>
      </w:r>
    </w:p>
    <w:p>
      <w:pPr>
        <w:spacing w:after="100" w:line="276"/>
      </w:pPr>
      <w:r>
        <w:rPr>
          <w:rFonts w:ascii="Calibri" w:cs="Calibri" w:eastAsia="Calibri" w:hAnsi="Calibri"/>
          <w:b/>
          <w:bCs/>
          <w:sz w:val="21"/>
          <w:szCs w:val="21"/>
        </w:rPr>
        <w:t xml:space="preserve">Alignment with current directions.</w:t>
      </w:r>
      <w:r>
        <w:rPr>
          <w:rFonts w:ascii="Calibri" w:cs="Calibri" w:eastAsia="Calibri" w:hAnsi="Calibri"/>
          <w:sz w:val="21"/>
          <w:szCs w:val="21"/>
        </w:rPr>
        <w:t xml:space="preserve"> The project sits on the group's defect-aware optimization line. From search excerpts, the group's recent output is mostly reprogrammable, origami, kirigami and soft-robotics metamaterials, so I would welcome the supervisor's view on fit with current priorities and am willing to adapt the scope.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keepNext/>
        <w:spacing w:after="60" w:before="80"/>
      </w:pPr>
      <w:r>
        <w:rPr>
          <w:rFonts w:ascii="Calibri" w:cs="Calibri" w:eastAsia="Calibri" w:hAnsi="Calibri"/>
          <w:b/>
          <w:bCs/>
          <w:sz w:val="19"/>
          <w:szCs w:val="19"/>
        </w:rPr>
        <w:t xml:space="preserve">Skills assessment. Skills not documented are treated as skills to be developed.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2"/>
        <w:gridCol w:w="3994"/>
        <w:gridCol w:w="3994"/>
      </w:tblGrid>
      <w:tr>
        <w:trPr>
          <w:cantSplit/>
          <w:tblHeader/>
        </w:trPr>
        <w:tc>
          <w:tcPr>
            <w:tcW w:type="dxa" w:w="20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9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UAV work</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Inventor, Fusion 360, AutoCAD; lathe and mill operation as a trainee; UAV Technician since May 2025 (ESC and structural fault diagnosis).</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a parametric octet-truss CAD model with variable strut diameter, exportable to FE; make test fixtures (machine-shop training to confirm); build the test multirotor and learn to log accelerometer and IMU data.</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FEA, topology optimization, scripting</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(generative-design exposure only); no documented Python or MATLAB.</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verify beam frequencies in CalculiX against analytical solutions, reproduce a minimum-compliance cantilever with an educational code, take a structured Python course. Months 1 to 8: add a frequency constraint to a 2D beam by adapting an open-source code; CT segmentation scripts by month 3; FE and optimization courses; weekly code review.</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testing, micro-CT, statistics, AM design</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Hammer tests on simple beams; FRF fitting and ISO 7626; vibration course in term 1; facility-operator training; ASTM E1441 and the GUM; mixed-effects models and the bootstrap; design-for-AM primer. Composites are outside this project.</w:t>
            </w:r>
          </w:p>
        </w:tc>
      </w:tr>
    </w:tbl>
    <w:p>
      <w:pPr>
        <w:spacing w:after="120"/>
      </w:pP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B.Eng. Mechanical Engineering, First Class Honours, Abiola Ajimobi Technical University, Ibadan (March 2025); the transcript will accompany the application. UAV Technician at Aerotech Services Ltd, Lagos (May 2025 to present): assembling, maintaining and troubleshooting multirotor and FPV drones, diagnosing ESC and structural faults. Industrial training at MEMMCOL (2023), Buildwell Plants &amp; Equipment (2024) and Coleman Technical Industries (2022); drone design and prototype project. EASA A1/A3 (2025), FAA UAS Safety Test Certificate (2025), Eurocontrol UAS and U-Space fundamentals (2026); Graduate Member of the NSE (2026) and member of the International Association of Engineers (2026).</w:t>
      </w:r>
    </w:p>
    <w:p>
      <w:pPr>
        <w:spacing w:after="100" w:line="276"/>
      </w:pPr>
      <w:r>
        <w:rPr>
          <w:rFonts w:ascii="Calibri" w:cs="Calibri" w:eastAsia="Calibri" w:hAnsi="Calibri"/>
          <w:b/>
          <w:bCs/>
          <w:sz w:val="21"/>
          <w:szCs w:val="21"/>
        </w:rPr>
        <w:t xml:space="preserve">Admission requirements to confirm.</w:t>
      </w:r>
      <w:r>
        <w:rPr>
          <w:rFonts w:ascii="Calibri" w:cs="Calibri" w:eastAsia="Calibri" w:hAnsi="Calibri"/>
          <w:sz w:val="21"/>
          <w:szCs w:val="21"/>
        </w:rPr>
        <w:t xml:space="preserve"> McGill's minimum is a CGPA equivalent to 3.3 on a 4.0 scale; I will provide my transcript and ask the coordinator how my CGPA converts. For English, the university-wide minimum is IELTS Academic 6.5 overall (the TOEFL iBT rule changed in January 2026; Duolingo and PTE are not accepted), and older Mechanical Engineering pages state higher scores (IELTS 7.0 or better). I will confirm which applies and whether I qualify for an exemption, and meanwhile plan an IELTS Academic sitting with results in time for the deadline.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or animals; I will confirm with the supervisor that no ethics review is needed and complete any required research-integrity training.</w:t>
      </w:r>
    </w:p>
    <w:p>
      <w:pPr>
        <w:pStyle w:val="ListParagraph"/>
        <w:numPr>
          <w:ilvl w:val="0"/>
          <w:numId w:val="2"/>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WHMIS and machine-shop training; micro-CT X-ray safety (trained, authorized staff only); guarding for the drop tower and any run with spinning propellers; lithium polymer battery handling; powder-handling controls if L-PBF is done in-house.</w:t>
      </w:r>
    </w:p>
    <w:p>
      <w:pPr>
        <w:pStyle w:val="ListParagraph"/>
        <w:numPr>
          <w:ilvl w:val="0"/>
          <w:numId w:val="2"/>
        </w:numPr>
        <w:spacing w:after="60" w:line="276"/>
      </w:pPr>
      <w:r>
        <w:rPr>
          <w:rFonts w:ascii="Calibri" w:cs="Calibri" w:eastAsia="Calibri" w:hAnsi="Calibri"/>
          <w:b/>
          <w:bCs/>
          <w:sz w:val="21"/>
          <w:szCs w:val="21"/>
        </w:rPr>
        <w:t xml:space="preserve">Transport Canada rules.</w:t>
      </w:r>
      <w:r>
        <w:rPr>
          <w:rFonts w:ascii="Calibri" w:cs="Calibri" w:eastAsia="Calibri" w:hAnsi="Calibri"/>
          <w:sz w:val="21"/>
          <w:szCs w:val="21"/>
        </w:rPr>
        <w:t xml:space="preserve"> Flights fall under the Canadian Aviation Regulations for remotely piloted aircraft systems. My EASA and FAA credentials are not Canadian certificates; for free flights I would obtain the Transport Canada pilot certificate, register the aircraft as required and obtain site and McGill approval. Bench measurement is the primary data source.</w:t>
      </w:r>
    </w:p>
    <w:p>
      <w:pPr>
        <w:pStyle w:val="ListParagraph"/>
        <w:numPr>
          <w:ilvl w:val="0"/>
          <w:numId w:val="2"/>
        </w:numPr>
        <w:spacing w:after="60" w:line="276"/>
      </w:pPr>
      <w:r>
        <w:rPr>
          <w:rFonts w:ascii="Calibri" w:cs="Calibri" w:eastAsia="Calibri" w:hAnsi="Calibri"/>
          <w:b/>
          <w:bCs/>
          <w:sz w:val="21"/>
          <w:szCs w:val="21"/>
        </w:rPr>
        <w:t xml:space="preserve">Data and intellectual property.</w:t>
      </w:r>
      <w:r>
        <w:rPr>
          <w:rFonts w:ascii="Calibri" w:cs="Calibri" w:eastAsia="Calibri" w:hAnsi="Calibri"/>
          <w:sz w:val="21"/>
          <w:szCs w:val="21"/>
        </w:rPr>
        <w:t xml:space="preserve"> Large raw CT stacks on systems approved by the university and supervisor (to confirm), with metadata and version control; ownership and open release agreed with the supervisor; a check on export-control provisions for UAV-related structures.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C. Scott, A. Comer, J. Hanan (2026). Comparative Evaluation of Finite Element-Driven Optimization Methods for Additively Manufactured UAV Primary Structures. </w:t>
      </w:r>
      <w:r>
        <w:rPr>
          <w:rFonts w:ascii="Calibri" w:cs="Calibri" w:eastAsia="Calibri" w:hAnsi="Calibri"/>
          <w:i/>
          <w:iCs/>
          <w:sz w:val="19"/>
          <w:szCs w:val="19"/>
        </w:rPr>
        <w:t xml:space="preserve">Vertical Flight Society Forum 82 (SAE Mobilus paper F-0082-2026-0305)</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[2] J. Wu, O. Sigmund, J. P. Groen (2021). Topology optimization of multi-scale structures: a review.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63(3), 1455-1480. https://doi.org/10.1007/s00158-021-02881-8</w:t>
      </w:r>
    </w:p>
    <w:p>
      <w:pPr>
        <w:spacing w:after="70" w:line="264"/>
        <w:ind w:left="540" w:hanging="540"/>
      </w:pPr>
      <w:r>
        <w:rPr>
          <w:rFonts w:ascii="Calibri" w:cs="Calibri" w:eastAsia="Calibri" w:hAnsi="Calibri"/>
          <w:sz w:val="19"/>
          <w:szCs w:val="19"/>
        </w:rPr>
        <w:t xml:space="preserve">[3] I. Echeta, B. Dutton, X. Feng, R. Leach, S. Piano (2020). Review of defects in lattice structures manufactured by powder bed fusion. </w:t>
      </w:r>
      <w:r>
        <w:rPr>
          <w:rFonts w:ascii="Calibri" w:cs="Calibri" w:eastAsia="Calibri" w:hAnsi="Calibri"/>
          <w:i/>
          <w:iCs/>
          <w:sz w:val="19"/>
          <w:szCs w:val="19"/>
        </w:rPr>
        <w:t xml:space="preserve">The International Journal of Advanced Manufacturing Technology</w:t>
      </w:r>
      <w:r>
        <w:rPr>
          <w:rFonts w:ascii="Calibri" w:cs="Calibri" w:eastAsia="Calibri" w:hAnsi="Calibri"/>
          <w:sz w:val="19"/>
          <w:szCs w:val="19"/>
        </w:rPr>
        <w:t xml:space="preserve">, 106(5-6), 2649-2668. https://doi.org/10.1007/s00170-019-04753-4</w:t>
      </w:r>
    </w:p>
    <w:p>
      <w:pPr>
        <w:spacing w:after="70" w:line="264"/>
        <w:ind w:left="540" w:hanging="540"/>
      </w:pPr>
      <w:r>
        <w:rPr>
          <w:rFonts w:ascii="Calibri" w:cs="Calibri" w:eastAsia="Calibri" w:hAnsi="Calibri"/>
          <w:sz w:val="19"/>
          <w:szCs w:val="19"/>
        </w:rPr>
        <w:t xml:space="preserve">[4] L. Liu, P. Kamm, F. García-Moreno, J. Banhart, D. Pasini (2017). Elastic and failure response of imperfect three-dimensional metallic lattices: the role of geometric defects induced by Selective Laser Melting. </w:t>
      </w:r>
      <w:r>
        <w:rPr>
          <w:rFonts w:ascii="Calibri" w:cs="Calibri" w:eastAsia="Calibri" w:hAnsi="Calibri"/>
          <w:i/>
          <w:iCs/>
          <w:sz w:val="19"/>
          <w:szCs w:val="19"/>
        </w:rPr>
        <w:t xml:space="preserve">Journal of the Mechanics and Physics of Solids</w:t>
      </w:r>
      <w:r>
        <w:rPr>
          <w:rFonts w:ascii="Calibri" w:cs="Calibri" w:eastAsia="Calibri" w:hAnsi="Calibri"/>
          <w:sz w:val="19"/>
          <w:szCs w:val="19"/>
        </w:rPr>
        <w:t xml:space="preserve">, 107, 160-184.</w:t>
      </w:r>
    </w:p>
    <w:p>
      <w:pPr>
        <w:spacing w:after="70" w:line="264"/>
        <w:ind w:left="540" w:hanging="540"/>
      </w:pPr>
      <w:r>
        <w:rPr>
          <w:rFonts w:ascii="Calibri" w:cs="Calibri" w:eastAsia="Calibri" w:hAnsi="Calibri"/>
          <w:sz w:val="19"/>
          <w:szCs w:val="19"/>
        </w:rPr>
        <w:t xml:space="preserve">[5] D. Pasini, J. K. Guest (2019). Imperfect architected materials: Mechanics and topology optimization. </w:t>
      </w:r>
      <w:r>
        <w:rPr>
          <w:rFonts w:ascii="Calibri" w:cs="Calibri" w:eastAsia="Calibri" w:hAnsi="Calibri"/>
          <w:i/>
          <w:iCs/>
          <w:sz w:val="19"/>
          <w:szCs w:val="19"/>
        </w:rPr>
        <w:t xml:space="preserve">MRS Bulletin</w:t>
      </w:r>
      <w:r>
        <w:rPr>
          <w:rFonts w:ascii="Calibri" w:cs="Calibri" w:eastAsia="Calibri" w:hAnsi="Calibri"/>
          <w:sz w:val="19"/>
          <w:szCs w:val="19"/>
        </w:rPr>
        <w:t xml:space="preserve">, 44, 766-772. https://doi.org/10.1557/mrs.2019.231</w:t>
      </w:r>
    </w:p>
    <w:p>
      <w:pPr>
        <w:spacing w:after="70" w:line="264"/>
        <w:ind w:left="540" w:hanging="540"/>
      </w:pPr>
      <w:r>
        <w:rPr>
          <w:rFonts w:ascii="Calibri" w:cs="Calibri" w:eastAsia="Calibri" w:hAnsi="Calibri"/>
          <w:sz w:val="19"/>
          <w:szCs w:val="19"/>
        </w:rPr>
        <w:t xml:space="preserve">[6] A. Moussa, D. Mélançon, A. El Elmi, D. Pasini (2021). Topology optimization of imperfect lattice materials built with process-induced defects via Powder Bed Fusion. </w:t>
      </w:r>
      <w:r>
        <w:rPr>
          <w:rFonts w:ascii="Calibri" w:cs="Calibri" w:eastAsia="Calibri" w:hAnsi="Calibri"/>
          <w:i/>
          <w:iCs/>
          <w:sz w:val="19"/>
          <w:szCs w:val="19"/>
        </w:rPr>
        <w:t xml:space="preserve">Additive Manufacturing</w:t>
      </w:r>
      <w:r>
        <w:rPr>
          <w:rFonts w:ascii="Calibri" w:cs="Calibri" w:eastAsia="Calibri" w:hAnsi="Calibri"/>
          <w:sz w:val="19"/>
          <w:szCs w:val="19"/>
        </w:rPr>
        <w:t xml:space="preserve">, 37, 101608.</w:t>
      </w:r>
    </w:p>
    <w:p>
      <w:pPr>
        <w:spacing w:after="70" w:line="264"/>
        <w:ind w:left="540" w:hanging="540"/>
      </w:pPr>
      <w:r>
        <w:rPr>
          <w:rFonts w:ascii="Calibri" w:cs="Calibri" w:eastAsia="Calibri" w:hAnsi="Calibri"/>
          <w:sz w:val="19"/>
          <w:szCs w:val="19"/>
        </w:rPr>
        <w:t xml:space="preserve">[7] J. Du, N. Olhoff (2007). Topological design of freely vibrating continuum structures for maximum values of simple and multiple eigenfrequencies and frequency gaps.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34(2), 91-110. https://doi.org/10.1007/s00158-007-0101-y</w:t>
      </w:r>
    </w:p>
    <w:p>
      <w:pPr>
        <w:spacing w:after="70" w:line="264"/>
        <w:ind w:left="540" w:hanging="540"/>
      </w:pPr>
      <w:r>
        <w:rPr>
          <w:rFonts w:ascii="Calibri" w:cs="Calibri" w:eastAsia="Calibri" w:hAnsi="Calibri"/>
          <w:sz w:val="19"/>
          <w:szCs w:val="19"/>
        </w:rPr>
        <w:t xml:space="preserve">[8] S. Murchio, M. Benedetti, M. Dallago, S. Raghavendra, G. Zappini, D. Pasini (2025). Mitigating manufacturing defects in laser-powder bed fusion: a design-led compensation framework for truss-based metallic lattices. </w:t>
      </w:r>
      <w:r>
        <w:rPr>
          <w:rFonts w:ascii="Calibri" w:cs="Calibri" w:eastAsia="Calibri" w:hAnsi="Calibri"/>
          <w:i/>
          <w:iCs/>
          <w:sz w:val="19"/>
          <w:szCs w:val="19"/>
        </w:rPr>
        <w:t xml:space="preserve">Journal of Intelligent Manufacturing</w:t>
      </w:r>
      <w:r>
        <w:rPr>
          <w:rFonts w:ascii="Calibri" w:cs="Calibri" w:eastAsia="Calibri" w:hAnsi="Calibri"/>
          <w:sz w:val="19"/>
          <w:szCs w:val="19"/>
        </w:rPr>
        <w:t xml:space="preserve">, online 2025. https://doi.org/10.1007/s10845-025-02667-5</w:t>
      </w:r>
    </w:p>
    <w:p>
      <w:pPr>
        <w:spacing w:after="70" w:line="264"/>
        <w:ind w:left="540" w:hanging="540"/>
      </w:pPr>
      <w:r>
        <w:rPr>
          <w:rFonts w:ascii="Calibri" w:cs="Calibri" w:eastAsia="Calibri" w:hAnsi="Calibri"/>
          <w:sz w:val="19"/>
          <w:szCs w:val="19"/>
        </w:rPr>
        <w:t xml:space="preserve">[9] D. Thillaithevan, P. Bruce, M. Santer (2021). Robust multiscale optimization accounting for spatially-varying material uncertainties.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https://doi.org/10.1007/s00158-021-03104-w</w:t>
      </w:r>
    </w:p>
    <w:p>
      <w:pPr>
        <w:spacing w:after="70" w:line="264"/>
        <w:ind w:left="540" w:hanging="540"/>
      </w:pPr>
      <w:r>
        <w:rPr>
          <w:rFonts w:ascii="Calibri" w:cs="Calibri" w:eastAsia="Calibri" w:hAnsi="Calibri"/>
          <w:sz w:val="19"/>
          <w:szCs w:val="19"/>
        </w:rPr>
        <w:t xml:space="preserve">[10] I. Ben-Yelun, A. O. Yuksel, F. Cirak (2023). Robust topology optimisation of lattice structures with spatially correlated uncertainties. </w:t>
      </w:r>
      <w:r>
        <w:rPr>
          <w:rFonts w:ascii="Calibri" w:cs="Calibri" w:eastAsia="Calibri" w:hAnsi="Calibri"/>
          <w:i/>
          <w:iCs/>
          <w:sz w:val="19"/>
          <w:szCs w:val="19"/>
        </w:rPr>
        <w:t xml:space="preserve">arXiv preprint arXiv:2308.14958</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N. Florian, A. Etienne, M. Montemurro, J.-Y. Dantan, J. Gardan (2026). A statistical decomposition of geometric imperfections applied to robust topology optimisation. </w:t>
      </w:r>
      <w:r>
        <w:rPr>
          <w:rFonts w:ascii="Calibri" w:cs="Calibri" w:eastAsia="Calibri" w:hAnsi="Calibri"/>
          <w:i/>
          <w:iCs/>
          <w:sz w:val="19"/>
          <w:szCs w:val="19"/>
        </w:rPr>
        <w:t xml:space="preserve">Reliability Engineering and System Safety</w:t>
      </w:r>
      <w:r>
        <w:rPr>
          <w:rFonts w:ascii="Calibri" w:cs="Calibri" w:eastAsia="Calibri" w:hAnsi="Calibri"/>
          <w:sz w:val="19"/>
          <w:szCs w:val="19"/>
        </w:rPr>
        <w:t xml:space="preserve">, 265 (Part A), 111442. https://doi.org/10.1016/j.ress.2025.111442</w:t>
      </w:r>
    </w:p>
    <w:p>
      <w:pPr>
        <w:spacing w:after="70" w:line="264"/>
        <w:ind w:left="540" w:hanging="540"/>
      </w:pPr>
      <w:r>
        <w:rPr>
          <w:rFonts w:ascii="Calibri" w:cs="Calibri" w:eastAsia="Calibri" w:hAnsi="Calibri"/>
          <w:sz w:val="19"/>
          <w:szCs w:val="19"/>
        </w:rPr>
        <w:t xml:space="preserve">[12] C. Boursier Niutta, D. S. Paolino, A. Tridello (2023). Additively manufactured lattice structures: An innovative defect-based design methodology against crash impact. </w:t>
      </w:r>
      <w:r>
        <w:rPr>
          <w:rFonts w:ascii="Calibri" w:cs="Calibri" w:eastAsia="Calibri" w:hAnsi="Calibri"/>
          <w:i/>
          <w:iCs/>
          <w:sz w:val="19"/>
          <w:szCs w:val="19"/>
        </w:rPr>
        <w:t xml:space="preserve">Engineering Failure Analysis</w:t>
      </w:r>
      <w:r>
        <w:rPr>
          <w:rFonts w:ascii="Calibri" w:cs="Calibri" w:eastAsia="Calibri" w:hAnsi="Calibri"/>
          <w:sz w:val="19"/>
          <w:szCs w:val="19"/>
        </w:rPr>
        <w:t xml:space="preserve">, 152, 107436. https://doi.org/10.1016/j.engfailanal.2023.107436</w:t>
      </w:r>
    </w:p>
    <w:p>
      <w:pPr>
        <w:spacing w:after="70" w:line="264"/>
        <w:ind w:left="540" w:hanging="540"/>
      </w:pPr>
      <w:r>
        <w:rPr>
          <w:rFonts w:ascii="Calibri" w:cs="Calibri" w:eastAsia="Calibri" w:hAnsi="Calibri"/>
          <w:sz w:val="19"/>
          <w:szCs w:val="19"/>
        </w:rPr>
        <w:t xml:space="preserve">[13] ISO/ASTM International (2026). ISO/ASTM 52959:2026 Additive manufacturing of metals - Test artefacts - Compression validation specimens for lattice designs. </w:t>
      </w:r>
      <w:r>
        <w:rPr>
          <w:rFonts w:ascii="Calibri" w:cs="Calibri" w:eastAsia="Calibri" w:hAnsi="Calibri"/>
          <w:i/>
          <w:iCs/>
          <w:sz w:val="19"/>
          <w:szCs w:val="19"/>
        </w:rPr>
        <w:t xml:space="preserve">ISO/ASTM standard, Edition 1 (ISO/TC 261); also listed as EN ISO/ASTM 52959:2026</w:t>
      </w:r>
      <w:r>
        <w:rPr>
          <w:rFonts w:ascii="Calibri" w:cs="Calibri" w:eastAsia="Calibri" w:hAnsi="Calibri"/>
          <w:sz w:val="19"/>
          <w:szCs w:val="19"/>
        </w:rPr>
        <w:t xml:space="preserve">, 5 pages per the ISO listing.</w:t>
      </w:r>
    </w:p>
    <w:p>
      <w:pPr>
        <w:spacing w:after="70" w:line="264"/>
        <w:ind w:left="540" w:hanging="540"/>
      </w:pPr>
      <w:r>
        <w:rPr>
          <w:rFonts w:ascii="Calibri" w:cs="Calibri" w:eastAsia="Calibri" w:hAnsi="Calibri"/>
          <w:sz w:val="19"/>
          <w:szCs w:val="19"/>
        </w:rPr>
        <w:t xml:space="preserve">[14] O. Sigmund (2009). Manufacturing tolerant topology optimization. </w:t>
      </w:r>
      <w:r>
        <w:rPr>
          <w:rFonts w:ascii="Calibri" w:cs="Calibri" w:eastAsia="Calibri" w:hAnsi="Calibri"/>
          <w:i/>
          <w:iCs/>
          <w:sz w:val="19"/>
          <w:szCs w:val="19"/>
        </w:rPr>
        <w:t xml:space="preserve">Acta Mechanica Sinica</w:t>
      </w:r>
      <w:r>
        <w:rPr>
          <w:rFonts w:ascii="Calibri" w:cs="Calibri" w:eastAsia="Calibri" w:hAnsi="Calibri"/>
          <w:sz w:val="19"/>
          <w:szCs w:val="19"/>
        </w:rPr>
        <w:t xml:space="preserve">, 25(2), 227-239.</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Eigenfrequency-robust graded-lattice optimization for UAV parts</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Defect-Aware, Eigenfrequency-Robust Graded-Lattice Design Optimization of Additively Manufactured UAV Components: Measured Defect Statistics and Model Checks on As-Built Parts</dc:title>
  <dc:creator>Adedamola Adetola</dc:creator>
  <cp:lastModifiedBy>Un-named</cp:lastModifiedBy>
  <cp:revision>1</cp:revision>
  <dcterms:created xsi:type="dcterms:W3CDTF">2026-10-12T16:35:10.657Z</dcterms:created>
  <dcterms:modified xsi:type="dcterms:W3CDTF">2026-10-12T16:35:10.657Z</dcterms:modified>
</cp:coreProperties>
</file>

<file path=docProps/custom.xml><?xml version="1.0" encoding="utf-8"?>
<Properties xmlns="http://schemas.openxmlformats.org/officeDocument/2006/custom-properties" xmlns:vt="http://schemas.openxmlformats.org/officeDocument/2006/docPropsVTypes"/>
</file>