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2.png" ContentType="image/png"/>
  <Override PartName="/word/media/rId42.png" ContentType="image/png"/>
  <Override PartName="/word/media/rId65.png" ContentType="image/png"/>
  <Default Extension="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Arbitrage Decagon</w:t>
      </w:r>
    </w:p>
    <w:p>
      <w:pPr>
        <w:pStyle w:val="Subtitle"/>
      </w:pPr>
      <w:r>
        <w:t xml:space="preserve">AI Arbitrage as a Framework for Disruptive Innovation</w:t>
      </w:r>
    </w:p>
    <w:p>
      <w:pPr>
        <w:pStyle w:val="TitleDescriptor"/>
      </w:pPr>
      <w:r>
        <w:t xml:space="preserve">Volume III of The Innovation Decagon. Uber, Airbnb, the sixteen-sector map, the twenty ventures of Volumes I and II, and the Double Decagon serve as baselines and benchmarks for a framework for AI arbitrage and ten AI arbitrage ventures.</w:t>
      </w:r>
    </w:p>
    <w:p>
      <w:pPr>
        <w:pStyle w:val="TitleMeta"/>
      </w:pPr>
      <w:r>
        <w:t xml:space="preserve">Working paper · October 2026</w:t>
      </w:r>
    </w:p>
    <w:p>
      <w:pPr>
        <w:pStyle w:val="TitleThesis"/>
      </w:pPr>
      <w:r>
        <w:rPr>
          <w:b/>
          <w:bCs/>
        </w:rPr>
        <w:t xml:space="preserve">Thesis.</w:t>
      </w:r>
      <w:r>
        <w:t xml:space="preserve"> </w:t>
      </w:r>
      <w:r>
        <w:t xml:space="preserve">AI opens spreads between what outcomes cost to produce and what they are worth to the people who need them. Every spread closes. The spread is the door; the moat is the house. Close the gap; don’t farm it.</w:t>
      </w:r>
    </w:p>
    <w:p>
      <w:pPr>
        <w:pStyle w:val="TOCHeading"/>
      </w:pPr>
      <w:r>
        <w:t>Contents</w:t>
      </w:r>
    </w:p>
    <w:p>
      <w:pPr>
        <w:pStyle w:val="TOC1"/>
      </w:pPr>
      <w:r>
        <w:fldChar w:fldCharType="begin"/>
      </w:r>
      <w:r>
        <w:instrText xml:space="preserve"> TOC \o "1-3" \h \z \u </w:instrText>
      </w:r>
      <w:r>
        <w:fldChar w:fldCharType="separate"/>
      </w:r>
      <w:hyperlink w:anchor="executive-summary" w:history="1">
        <w:r>
          <w:t xml:space="preserve">Executive summary</w:t>
        </w:r>
        <w:r>
          <w:tab/>
        </w:r>
        <w:r>
          <w:t>4</w:t>
        </w:r>
      </w:hyperlink>
    </w:p>
    <w:p>
      <w:pPr>
        <w:pStyle w:val="TOC2"/>
      </w:pPr>
      <w:hyperlink w:anchor="how-to-read-this-volume" w:history="1">
        <w:r>
          <w:t xml:space="preserve">How to read this volume</w:t>
        </w:r>
        <w:r>
          <w:tab/>
        </w:r>
        <w:r>
          <w:t>5</w:t>
        </w:r>
      </w:hyperlink>
    </w:p>
    <w:p>
      <w:pPr>
        <w:pStyle w:val="TOC1"/>
      </w:pPr>
      <w:hyperlink w:anchor="part-1-foundations" w:history="1">
        <w:r>
          <w:t xml:space="preserve">Part 1: Foundations</w:t>
        </w:r>
        <w:r>
          <w:tab/>
        </w:r>
        <w:r>
          <w:t>6</w:t>
        </w:r>
      </w:hyperlink>
    </w:p>
    <w:p>
      <w:pPr>
        <w:pStyle w:val="TOC2"/>
      </w:pPr>
      <w:hyperlink w:anchor="what-ai-arbitrage-is-and-is-not" w:history="1">
        <w:r>
          <w:t xml:space="preserve">1.1 What AI arbitrage is, and is not</w:t>
        </w:r>
        <w:r>
          <w:tab/>
        </w:r>
        <w:r>
          <w:t>6</w:t>
        </w:r>
      </w:hyperlink>
    </w:p>
    <w:p>
      <w:pPr>
        <w:pStyle w:val="TOC2"/>
      </w:pPr>
      <w:hyperlink w:anchor="the-ai-arbitrage-equation" w:history="1">
        <w:r>
          <w:t xml:space="preserve">1.2 The AI arbitrage equation</w:t>
        </w:r>
        <w:r>
          <w:tab/>
        </w:r>
        <w:r>
          <w:t>6</w:t>
        </w:r>
      </w:hyperlink>
    </w:p>
    <w:p>
      <w:pPr>
        <w:pStyle w:val="TOC2"/>
      </w:pPr>
      <w:hyperlink w:anchor="why-ai-spreads-are-opening-now" w:history="1">
        <w:r>
          <w:t xml:space="preserve">1.3 Why AI spreads are opening now</w:t>
        </w:r>
        <w:r>
          <w:tab/>
        </w:r>
        <w:r>
          <w:t>7</w:t>
        </w:r>
      </w:hyperlink>
    </w:p>
    <w:p>
      <w:pPr>
        <w:pStyle w:val="TOC2"/>
      </w:pPr>
      <w:hyperlink w:anchor="Xb087f20b34b41f320b64c1374f76c7635524ce7" w:history="1">
        <w:r>
          <w:t xml:space="preserve">1.4 Benchmarks: Uber and Airbnb as arbitrage businesses</w:t>
        </w:r>
        <w:r>
          <w:tab/>
        </w:r>
        <w:r>
          <w:t>7</w:t>
        </w:r>
      </w:hyperlink>
    </w:p>
    <w:p>
      <w:pPr>
        <w:pStyle w:val="TOC2"/>
      </w:pPr>
      <w:hyperlink w:anchor="five-laws-of-ai-arbitrage" w:history="1">
        <w:r>
          <w:t xml:space="preserve">1.5 Five laws of AI arbitrage</w:t>
        </w:r>
        <w:r>
          <w:tab/>
        </w:r>
        <w:r>
          <w:t>8</w:t>
        </w:r>
      </w:hyperlink>
    </w:p>
    <w:p>
      <w:pPr>
        <w:pStyle w:val="TOC1"/>
      </w:pPr>
      <w:hyperlink w:anchor="part-2-theory-system-dynamics-and-ethics" w:history="1">
        <w:r>
          <w:t xml:space="preserve">Part 2: Theory, System Dynamics and Ethics</w:t>
        </w:r>
        <w:r>
          <w:tab/>
        </w:r>
        <w:r>
          <w:t>9</w:t>
        </w:r>
      </w:hyperlink>
    </w:p>
    <w:p>
      <w:pPr>
        <w:pStyle w:val="TOC2"/>
      </w:pPr>
      <w:hyperlink w:anchor="X900530cdd6a66d08e34e150e131eb1c32ec90c9" w:history="1">
        <w:r>
          <w:t xml:space="preserve">2.1 Kirzner and Schumpeter: two kinds of entrepreneur</w:t>
        </w:r>
        <w:r>
          <w:tab/>
        </w:r>
        <w:r>
          <w:t>9</w:t>
        </w:r>
      </w:hyperlink>
    </w:p>
    <w:p>
      <w:pPr>
        <w:pStyle w:val="TOC2"/>
      </w:pPr>
      <w:hyperlink w:anchor="X27c16a2c705cc4e2c6f2d2f7e5d6bf29ca13004" w:history="1">
        <w:r>
          <w:t xml:space="preserve">2.2 Baumol: productive, unproductive and destructive arbitrage</w:t>
        </w:r>
        <w:r>
          <w:tab/>
        </w:r>
        <w:r>
          <w:t>9</w:t>
        </w:r>
      </w:hyperlink>
    </w:p>
    <w:p>
      <w:pPr>
        <w:pStyle w:val="TOC2"/>
      </w:pPr>
      <w:hyperlink w:anchor="X8c0229c1c437b4f682dd82429b8231ddd2937a2" w:history="1">
        <w:r>
          <w:t xml:space="preserve">2.3 Ricardo reshuffled: comparative advantage in the AI era</w:t>
        </w:r>
        <w:r>
          <w:tab/>
        </w:r>
        <w:r>
          <w:t>9</w:t>
        </w:r>
      </w:hyperlink>
    </w:p>
    <w:p>
      <w:pPr>
        <w:pStyle w:val="TOC2"/>
      </w:pPr>
      <w:hyperlink w:anchor="Xccea0a4aedc642750997b7f8f3b1951843a08d4" w:history="1">
        <w:r>
          <w:t xml:space="preserve">2.4 Jevons, Goldratt and Moravec: where the bottleneck moves</w:t>
        </w:r>
        <w:r>
          <w:tab/>
        </w:r>
        <w:r>
          <w:t>10</w:t>
        </w:r>
      </w:hyperlink>
    </w:p>
    <w:p>
      <w:pPr>
        <w:pStyle w:val="TOC2"/>
      </w:pPr>
      <w:hyperlink w:anchor="the-system-dynamics-of-arbitrage" w:history="1">
        <w:r>
          <w:t xml:space="preserve">2.5 The system dynamics of arbitrage</w:t>
        </w:r>
        <w:r>
          <w:tab/>
        </w:r>
        <w:r>
          <w:t>11</w:t>
        </w:r>
      </w:hyperlink>
    </w:p>
    <w:p>
      <w:pPr>
        <w:pStyle w:val="TOC2"/>
      </w:pPr>
      <w:hyperlink w:anchor="Xcb999854fa461c701180a16e46bba6180a0bdba" w:history="1">
        <w:r>
          <w:t xml:space="preserve">2.6 The ethics of arbitrage: from Aristotle to Ubuntu</w:t>
        </w:r>
        <w:r>
          <w:tab/>
        </w:r>
        <w:r>
          <w:t>12</w:t>
        </w:r>
      </w:hyperlink>
    </w:p>
    <w:p>
      <w:pPr>
        <w:pStyle w:val="TOC1"/>
      </w:pPr>
      <w:hyperlink w:anchor="X9aed35d51a0021b00be6c36a23cf66bfd1d0677" w:history="1">
        <w:r>
          <w:t xml:space="preserve">Part 3: The Framework: The Arbitrage Decagon</w:t>
        </w:r>
        <w:r>
          <w:tab/>
        </w:r>
        <w:r>
          <w:t>13</w:t>
        </w:r>
      </w:hyperlink>
    </w:p>
    <w:p>
      <w:pPr>
        <w:pStyle w:val="TOC2"/>
      </w:pPr>
      <w:hyperlink w:anchor="the-spread-map-ten-ai-spreads" w:history="1">
        <w:r>
          <w:t xml:space="preserve">3.1 The Spread Map: ten AI spreads</w:t>
        </w:r>
        <w:r>
          <w:tab/>
        </w:r>
        <w:r>
          <w:t>13</w:t>
        </w:r>
      </w:hyperlink>
    </w:p>
    <w:p>
      <w:pPr>
        <w:pStyle w:val="TOC2"/>
      </w:pPr>
      <w:hyperlink w:anchor="the-spread-to-moat-ladder" w:history="1">
        <w:r>
          <w:t xml:space="preserve">3.2 The Spread-to-Moat Ladder</w:t>
        </w:r>
        <w:r>
          <w:tab/>
        </w:r>
        <w:r>
          <w:t>14</w:t>
        </w:r>
      </w:hyperlink>
    </w:p>
    <w:p>
      <w:pPr>
        <w:pStyle w:val="TOC2"/>
      </w:pPr>
      <w:hyperlink w:anchor="Xeb48579fa6a1208bb07433dfef621153ffa7ce2" w:history="1">
        <w:r>
          <w:t xml:space="preserve">3.3 Seven moats that survive the spread closing</w:t>
        </w:r>
        <w:r>
          <w:tab/>
        </w:r>
        <w:r>
          <w:t>15</w:t>
        </w:r>
      </w:hyperlink>
    </w:p>
    <w:p>
      <w:pPr>
        <w:pStyle w:val="TOC2"/>
      </w:pPr>
      <w:hyperlink w:anchor="the-spread-quality-score" w:history="1">
        <w:r>
          <w:t xml:space="preserve">3.4 The Spread Quality Score</w:t>
        </w:r>
        <w:r>
          <w:tab/>
        </w:r>
        <w:r>
          <w:t>16</w:t>
        </w:r>
      </w:hyperlink>
    </w:p>
    <w:p>
      <w:pPr>
        <w:pStyle w:val="TOC2"/>
      </w:pPr>
      <w:hyperlink w:anchor="the-productive-arbitrage-test" w:history="1">
        <w:r>
          <w:t xml:space="preserve">3.5 The Productive Arbitrage Test</w:t>
        </w:r>
        <w:r>
          <w:tab/>
        </w:r>
        <w:r>
          <w:t>16</w:t>
        </w:r>
      </w:hyperlink>
    </w:p>
    <w:p>
      <w:pPr>
        <w:pStyle w:val="TOC2"/>
      </w:pPr>
      <w:hyperlink w:anchor="X80180a83dbc08adeb86a4ae6865e06b160d8253" w:history="1">
        <w:r>
          <w:t xml:space="preserve">3.6 The Dark Decagon: ten AI arbitrages to avoid</w:t>
        </w:r>
        <w:r>
          <w:tab/>
        </w:r>
        <w:r>
          <w:t>17</w:t>
        </w:r>
      </w:hyperlink>
    </w:p>
    <w:p>
      <w:pPr>
        <w:pStyle w:val="TOC2"/>
      </w:pPr>
      <w:hyperlink w:anchor="integration-with-volumes-i-and-ii" w:history="1">
        <w:r>
          <w:t xml:space="preserve">3.7 Integration with Volumes I and II</w:t>
        </w:r>
        <w:r>
          <w:tab/>
        </w:r>
        <w:r>
          <w:t>18</w:t>
        </w:r>
      </w:hyperlink>
    </w:p>
    <w:p>
      <w:pPr>
        <w:pStyle w:val="TOC2"/>
      </w:pPr>
      <w:hyperlink w:anchor="the-arbitrage-to-venture-process" w:history="1">
        <w:r>
          <w:t xml:space="preserve">3.8 The Arbitrage-to-Venture process</w:t>
        </w:r>
        <w:r>
          <w:tab/>
        </w:r>
        <w:r>
          <w:t>18</w:t>
        </w:r>
      </w:hyperlink>
    </w:p>
    <w:p>
      <w:pPr>
        <w:pStyle w:val="TOC1"/>
      </w:pPr>
      <w:hyperlink w:anchor="part-4-ten-ai-arbitrage-ventures" w:history="1">
        <w:r>
          <w:t xml:space="preserve">Part 4: Ten AI Arbitrage Ventures</w:t>
        </w:r>
        <w:r>
          <w:tab/>
        </w:r>
        <w:r>
          <w:t>19</w:t>
        </w:r>
      </w:hyperlink>
    </w:p>
    <w:p>
      <w:pPr>
        <w:pStyle w:val="TOC2"/>
      </w:pPr>
      <w:hyperlink w:anchor="X6f3e8aa094cdac6e92e646b106d07ee49fd5bb5" w:history="1">
        <w:r>
          <w:t xml:space="preserve">Venture 1: STRANDEDWATTS, compute where energy is wasted</w:t>
        </w:r>
        <w:r>
          <w:tab/>
        </w:r>
        <w:r>
          <w:t>19</w:t>
        </w:r>
      </w:hyperlink>
    </w:p>
    <w:p>
      <w:pPr>
        <w:pStyle w:val="TOC2"/>
      </w:pPr>
      <w:hyperlink w:anchor="Xc8d51a0ff0199f105a71edbc2edd0b2e8df56d6" w:history="1">
        <w:r>
          <w:t xml:space="preserve">Venture 2: COMPUTECOOP, fair AI access for African builders</w:t>
        </w:r>
        <w:r>
          <w:tab/>
        </w:r>
        <w:r>
          <w:t>21</w:t>
        </w:r>
      </w:hyperlink>
    </w:p>
    <w:p>
      <w:pPr>
        <w:pStyle w:val="TOC2"/>
      </w:pPr>
      <w:hyperlink w:anchor="X1cdfcd9e650bdb8c0707564b8d77747a7ee7ae2" w:history="1">
        <w:r>
          <w:t xml:space="preserve">Venture 3: OFFICEPILOT, an AI back office for small and informal businesses</w:t>
        </w:r>
        <w:r>
          <w:tab/>
        </w:r>
        <w:r>
          <w:t>23</w:t>
        </w:r>
      </w:hyperlink>
    </w:p>
    <w:p>
      <w:pPr>
        <w:pStyle w:val="TOC2"/>
      </w:pPr>
      <w:hyperlink w:anchor="X5f63b8e53ec300a1c2dc41a716f2c9fc991d1ec" w:history="1">
        <w:r>
          <w:t xml:space="preserve">Venture 4: TONGUEBRIDGE, unlocking value trapped in one language</w:t>
        </w:r>
        <w:r>
          <w:tab/>
        </w:r>
        <w:r>
          <w:t>25</w:t>
        </w:r>
      </w:hyperlink>
    </w:p>
    <w:p>
      <w:pPr>
        <w:pStyle w:val="TOC2"/>
      </w:pPr>
      <w:hyperlink w:anchor="X73586802ff27d08e97bc0b5ea63766fc946dd99" w:history="1">
        <w:r>
          <w:t xml:space="preserve">Venture 5: OUTCOMEWORKS, AI-augmented service exports priced by results</w:t>
        </w:r>
        <w:r>
          <w:tab/>
        </w:r>
        <w:r>
          <w:t>27</w:t>
        </w:r>
      </w:hyperlink>
    </w:p>
    <w:p>
      <w:pPr>
        <w:pStyle w:val="TOC2"/>
      </w:pPr>
      <w:hyperlink w:anchor="X591ec747999d46f11e1121bb4ffafe9dd52f0cd" w:history="1">
        <w:r>
          <w:t xml:space="preserve">Venture 6: SCANBRIDGE, specialist judgement where there are no specialists</w:t>
        </w:r>
        <w:r>
          <w:tab/>
        </w:r>
        <w:r>
          <w:t>29</w:t>
        </w:r>
      </w:hyperlink>
    </w:p>
    <w:p>
      <w:pPr>
        <w:pStyle w:val="TOC2"/>
      </w:pPr>
      <w:hyperlink w:anchor="X2a075f68e78012f4cc24a14387f6076be48fe31" w:history="1">
        <w:r>
          <w:t xml:space="preserve">Venture 7: TUTORGRID, one-to-one learning for every child</w:t>
        </w:r>
        <w:r>
          <w:tab/>
        </w:r>
        <w:r>
          <w:t>31</w:t>
        </w:r>
      </w:hyperlink>
    </w:p>
    <w:p>
      <w:pPr>
        <w:pStyle w:val="TOC2"/>
      </w:pPr>
      <w:hyperlink w:anchor="X0e76691f48c8de10b491fd8b4b106956722398d" w:history="1">
        <w:r>
          <w:t xml:space="preserve">Venture 8: FAIRSCORE, fair credit for people with no credit file</w:t>
        </w:r>
        <w:r>
          <w:tab/>
        </w:r>
        <w:r>
          <w:t>33</w:t>
        </w:r>
      </w:hyperlink>
    </w:p>
    <w:p>
      <w:pPr>
        <w:pStyle w:val="TOC2"/>
      </w:pPr>
      <w:hyperlink w:anchor="X5caca09e6b775e9de6df38bb714be8df444409c" w:history="1">
        <w:r>
          <w:t xml:space="preserve">Venture 9: BACKLOGZERO, clearing the public sector’s paperwork mountain</w:t>
        </w:r>
        <w:r>
          <w:tab/>
        </w:r>
        <w:r>
          <w:t>35</w:t>
        </w:r>
      </w:hyperlink>
    </w:p>
    <w:p>
      <w:pPr>
        <w:pStyle w:val="TOC2"/>
      </w:pPr>
      <w:hyperlink w:anchor="Xb92cedfb6fa87451705a7d31196e2f24f93e053" w:history="1">
        <w:r>
          <w:t xml:space="preserve">Venture 10: EXPORTREADY, compliance that keeps smallholders in global trade</w:t>
        </w:r>
        <w:r>
          <w:tab/>
        </w:r>
        <w:r>
          <w:t>37</w:t>
        </w:r>
      </w:hyperlink>
    </w:p>
    <w:p>
      <w:pPr>
        <w:pStyle w:val="TOC1"/>
      </w:pPr>
      <w:hyperlink w:anchor="X54d68372ec63eeb5b39b0904f69b36598cc2fd1" w:history="1">
        <w:r>
          <w:t xml:space="preserve">Part 5: Portfolio, Strategy and Closing Philosophy</w:t>
        </w:r>
        <w:r>
          <w:tab/>
        </w:r>
        <w:r>
          <w:t>40</w:t>
        </w:r>
      </w:hyperlink>
    </w:p>
    <w:p>
      <w:pPr>
        <w:pStyle w:val="TOC2"/>
      </w:pPr>
      <w:hyperlink w:anchor="the-scoreboard" w:history="1">
        <w:r>
          <w:t xml:space="preserve">5.1 The scoreboard</w:t>
        </w:r>
        <w:r>
          <w:tab/>
        </w:r>
        <w:r>
          <w:t>40</w:t>
        </w:r>
      </w:hyperlink>
    </w:p>
    <w:p>
      <w:pPr>
        <w:pStyle w:val="TOC2"/>
      </w:pPr>
      <w:hyperlink w:anchor="Xb3401b83225d3ff5b7d2767d855f816a0631461" w:history="1">
        <w:r>
          <w:t xml:space="preserve">5.2 Harvest short spreads; invest in long spreads</w:t>
        </w:r>
        <w:r>
          <w:tab/>
        </w:r>
        <w:r>
          <w:t>41</w:t>
        </w:r>
      </w:hyperlink>
    </w:p>
    <w:p>
      <w:pPr>
        <w:pStyle w:val="TOC2"/>
      </w:pPr>
      <w:hyperlink w:anchor="X88401b9f1ebd896be4dc02cbbe4c687a6ca87ac" w:history="1">
        <w:r>
          <w:t xml:space="preserve">5.3 How the ten ventures reinforce each other</w:t>
        </w:r>
        <w:r>
          <w:tab/>
        </w:r>
        <w:r>
          <w:t>41</w:t>
        </w:r>
      </w:hyperlink>
    </w:p>
    <w:p>
      <w:pPr>
        <w:pStyle w:val="TOC2"/>
      </w:pPr>
      <w:hyperlink w:anchor="links-with-volumes-i-and-ii" w:history="1">
        <w:r>
          <w:t xml:space="preserve">5.4 Links with Volumes I and II</w:t>
        </w:r>
        <w:r>
          <w:tab/>
        </w:r>
        <w:r>
          <w:t>42</w:t>
        </w:r>
      </w:hyperlink>
    </w:p>
    <w:p>
      <w:pPr>
        <w:pStyle w:val="TOC2"/>
      </w:pPr>
      <w:hyperlink w:anchor="Xac1dc2545c51ca47b81018075de4e46ac0f54eb" w:history="1">
        <w:r>
          <w:t xml:space="preserve">5.5 Africa’s comparative advantage in the AI era</w:t>
        </w:r>
        <w:r>
          <w:tab/>
        </w:r>
        <w:r>
          <w:t>42</w:t>
        </w:r>
      </w:hyperlink>
    </w:p>
    <w:p>
      <w:pPr>
        <w:pStyle w:val="TOC2"/>
      </w:pPr>
      <w:hyperlink w:anchor="X7077aa5da30b186ac1a67f36c7e299feffbb3d2" w:history="1">
        <w:r>
          <w:t xml:space="preserve">5.6 A fifth mission: a fair AI dividend for Africa</w:t>
        </w:r>
        <w:r>
          <w:tab/>
        </w:r>
        <w:r>
          <w:t>42</w:t>
        </w:r>
      </w:hyperlink>
    </w:p>
    <w:p>
      <w:pPr>
        <w:pStyle w:val="TOC2"/>
      </w:pPr>
      <w:hyperlink w:anchor="sequencing-and-feasibility" w:history="1">
        <w:r>
          <w:t xml:space="preserve">5.7 Sequencing and feasibility</w:t>
        </w:r>
        <w:r>
          <w:tab/>
        </w:r>
        <w:r>
          <w:t>43</w:t>
        </w:r>
      </w:hyperlink>
    </w:p>
    <w:p>
      <w:pPr>
        <w:pStyle w:val="TOC2"/>
      </w:pPr>
      <w:hyperlink w:anchor="risks-to-the-whole-portfolio" w:history="1">
        <w:r>
          <w:t xml:space="preserve">5.8 Risks to the whole portfolio</w:t>
        </w:r>
        <w:r>
          <w:tab/>
        </w:r>
        <w:r>
          <w:t>43</w:t>
        </w:r>
      </w:hyperlink>
    </w:p>
    <w:p>
      <w:pPr>
        <w:pStyle w:val="TOC2"/>
      </w:pPr>
      <w:hyperlink w:anchor="X18bfb529c7ef984fe43fb4f209c7a740aa8d424" w:history="1">
        <w:r>
          <w:t xml:space="preserve">5.9 Closing philosophy: close the gap; don’t farm it</w:t>
        </w:r>
        <w:r>
          <w:tab/>
        </w:r>
        <w:r>
          <w:t>43</w:t>
        </w:r>
      </w:hyperlink>
    </w:p>
    <w:p>
      <w:pPr>
        <w:pStyle w:val="TOC1"/>
      </w:pPr>
      <w:hyperlink w:anchor="appendices" w:history="1">
        <w:r>
          <w:t xml:space="preserve">Appendices</w:t>
        </w:r>
        <w:r>
          <w:tab/>
        </w:r>
        <w:r>
          <w:t>45</w:t>
        </w:r>
      </w:hyperlink>
    </w:p>
    <w:p>
      <w:pPr>
        <w:pStyle w:val="TOC2"/>
      </w:pPr>
      <w:hyperlink w:anchor="X606bbb5362f63e6fbd288d8d1de3674ee54e9b5" w:history="1">
        <w:r>
          <w:t xml:space="preserve">Appendix A: The AI Arbitrage Venture Canvas</w:t>
        </w:r>
        <w:r>
          <w:tab/>
        </w:r>
        <w:r>
          <w:t>45</w:t>
        </w:r>
      </w:hyperlink>
    </w:p>
    <w:p>
      <w:pPr>
        <w:pStyle w:val="TOC2"/>
      </w:pPr>
      <w:hyperlink w:anchor="X48d9bd76cfacceae40299efc2f7683d29c5d072" w:history="1">
        <w:r>
          <w:t xml:space="preserve">Appendix B: The Spread Quality Score rubric</w:t>
        </w:r>
        <w:r>
          <w:tab/>
        </w:r>
        <w:r>
          <w:t>45</w:t>
        </w:r>
      </w:hyperlink>
    </w:p>
    <w:p>
      <w:pPr>
        <w:pStyle w:val="TOC2"/>
      </w:pPr>
      <w:hyperlink w:anchor="X52dffc9e0c2fed9903b69d48df7cb1c75de7b1e" w:history="1">
        <w:r>
          <w:t xml:space="preserve">Appendix C: The Productive Arbitrage Test checklist</w:t>
        </w:r>
        <w:r>
          <w:tab/>
        </w:r>
        <w:r>
          <w:t>45</w:t>
        </w:r>
      </w:hyperlink>
    </w:p>
    <w:p>
      <w:pPr>
        <w:pStyle w:val="TOC2"/>
      </w:pPr>
      <w:hyperlink w:anchor="appendix-d-sources-and-further-reading" w:history="1">
        <w:r>
          <w:t xml:space="preserve">Appendix D: Sources and further reading</w:t>
        </w:r>
        <w:r>
          <w:tab/>
        </w:r>
        <w:r>
          <w:t>46</w:t>
        </w:r>
      </w:hyperlink>
      <w:r>
        <w:fldChar w:fldCharType="end"/>
      </w:r>
    </w:p>
    <w:bookmarkStart w:id="21" w:name="executive-summary"/>
    <w:p>
      <w:pPr>
        <w:pStyle w:val="Heading1"/>
      </w:pPr>
      <w:r>
        <w:t xml:space="preserve">Executive summary</w:t>
      </w:r>
    </w:p>
    <w:p>
      <w:pPr>
        <w:pStyle w:val="FirstParagraph"/>
      </w:pPr>
      <w:r>
        <w:rPr>
          <w:b/>
          <w:bCs/>
        </w:rPr>
        <w:t xml:space="preserve">What AI arbitrage is.</w:t>
      </w:r>
      <w:r>
        <w:t xml:space="preserve"> </w:t>
      </w:r>
      <w:r>
        <w:t xml:space="preserve">Arbitrage is profiting from a</w:t>
      </w:r>
      <w:r>
        <w:t xml:space="preserve"> </w:t>
      </w:r>
      <w:r>
        <w:rPr>
          <w:i/>
          <w:iCs/>
        </w:rPr>
        <w:t xml:space="preserve">spread</w:t>
      </w:r>
      <w:r>
        <w:t xml:space="preserve">: the same thing is cheap in one place and valuable in another. AI has opened spreads of a size and number never seen before. The cost of a given level of AI capability has collapsed: GPT-3.5-level inference fell more than 280-fold in about two years (Stanford AI Index 2025). Meanwhile the</w:t>
      </w:r>
      <w:r>
        <w:t xml:space="preserve"> </w:t>
      </w:r>
      <w:r>
        <w:rPr>
          <w:i/>
          <w:iCs/>
        </w:rPr>
        <w:t xml:space="preserve">outcomes</w:t>
      </w:r>
      <w:r>
        <w:t xml:space="preserve"> </w:t>
      </w:r>
      <w:r>
        <w:t xml:space="preserve">AI can now produce, such as a bookkeeping service, a tutored lesson, a read X-ray, a dubbed film or a compliance file, are still scarce and expensive for most people and businesses, especially in Africa.</w:t>
      </w:r>
      <w:r>
        <w:t xml:space="preserve"> </w:t>
      </w:r>
      <w:r>
        <w:rPr>
          <w:b/>
          <w:bCs/>
        </w:rPr>
        <w:t xml:space="preserve">AI arbitrage is the business of closing those gaps.</w:t>
      </w:r>
    </w:p>
    <w:p>
      <w:pPr>
        <w:pStyle w:val="BodyText"/>
      </w:pPr>
      <w:r>
        <w:rPr>
          <w:b/>
          <w:bCs/>
        </w:rPr>
        <w:t xml:space="preserve">The central insight.</w:t>
      </w:r>
      <w:r>
        <w:t xml:space="preserve"> </w:t>
      </w:r>
      <w:r>
        <w:t xml:space="preserve">Every spread closes. Competition, price cuts and copycats erase arbitrage profits, often within months for software-only plays. Uber and Airbnb began as arbitrage businesses (regulated taxi prices against idle cars; hotel rates against spare rooms), and their spreads did close. What lasted was what they built on top: trust, networks and brands. So the rule for AI arbitrage is:</w:t>
      </w:r>
    </w:p>
    <w:p>
      <w:pPr>
        <w:pStyle w:val="BlockText"/>
      </w:pPr>
      <w:r>
        <w:rPr>
          <w:b/>
          <w:bCs/>
        </w:rPr>
        <w:t xml:space="preserve">The spread is the door; the moat is the house.</w:t>
      </w:r>
      <w:r>
        <w:t xml:space="preserve"> </w:t>
      </w:r>
      <w:r>
        <w:t xml:space="preserve">Enter through a spread, but build something that lasts after the spread has closed, and share it with the people on the cheap side of the gap.</w:t>
      </w:r>
    </w:p>
    <w:p>
      <w:pPr>
        <w:pStyle w:val="FirstParagraph"/>
      </w:pPr>
      <w:r>
        <w:rPr>
          <w:b/>
          <w:bCs/>
        </w:rPr>
        <w:t xml:space="preserve">What Volume III provides:</w:t>
      </w:r>
    </w:p>
    <w:p>
      <w:pPr>
        <w:pStyle w:val="Compact"/>
        <w:numPr>
          <w:ilvl w:val="0"/>
          <w:numId w:val="1001"/>
        </w:numPr>
      </w:pPr>
      <w:r>
        <w:rPr>
          <w:b/>
          <w:bCs/>
        </w:rPr>
        <w:t xml:space="preserve">Foundations</w:t>
      </w:r>
      <w:r>
        <w:t xml:space="preserve"> </w:t>
      </w:r>
      <w:r>
        <w:t xml:space="preserve">(Part 1): a definition, the</w:t>
      </w:r>
      <w:r>
        <w:t xml:space="preserve"> </w:t>
      </w:r>
      <w:r>
        <w:rPr>
          <w:b/>
          <w:bCs/>
        </w:rPr>
        <w:t xml:space="preserve">AI arbitrage equation</w:t>
      </w:r>
      <w:r>
        <w:t xml:space="preserve">, the evidence for why spreads are opening now, and Uber and Airbnb re-read as arbitrage businesses.</w:t>
      </w:r>
    </w:p>
    <w:p>
      <w:pPr>
        <w:pStyle w:val="Compact"/>
        <w:numPr>
          <w:ilvl w:val="0"/>
          <w:numId w:val="1001"/>
        </w:numPr>
      </w:pPr>
      <w:r>
        <w:rPr>
          <w:b/>
          <w:bCs/>
        </w:rPr>
        <w:t xml:space="preserve">Theory and philosophy</w:t>
      </w:r>
      <w:r>
        <w:t xml:space="preserve"> </w:t>
      </w:r>
      <w:r>
        <w:t xml:space="preserve">(Part 2): Kirzner and Schumpeter, Baumol’s productive and destructive entrepreneurship, Ricardo’s comparative advantage reshuffled by AI, the Jevons paradox, the theory of constraints, Moravec’s paradox, a system dynamics model of arbitrage, and the ethics of arbitrage from Aristotle to Ubuntu.</w:t>
      </w:r>
    </w:p>
    <w:p>
      <w:pPr>
        <w:pStyle w:val="Compact"/>
        <w:numPr>
          <w:ilvl w:val="0"/>
          <w:numId w:val="1001"/>
        </w:numPr>
      </w:pPr>
      <w:r>
        <w:rPr>
          <w:b/>
          <w:bCs/>
        </w:rPr>
        <w:t xml:space="preserve">The framework: the Arbitrage Decagon</w:t>
      </w:r>
      <w:r>
        <w:t xml:space="preserve"> </w:t>
      </w:r>
      <w:r>
        <w:t xml:space="preserve">(Part 3):</w:t>
      </w:r>
    </w:p>
    <w:p>
      <w:pPr>
        <w:pStyle w:val="Compact"/>
        <w:numPr>
          <w:ilvl w:val="1"/>
          <w:numId w:val="1002"/>
        </w:numPr>
      </w:pPr>
      <w:r>
        <w:rPr>
          <w:b/>
          <w:bCs/>
        </w:rPr>
        <w:t xml:space="preserve">The Spread Map</w:t>
      </w:r>
      <w:r>
        <w:t xml:space="preserve">: ten kinds of AI spread.</w:t>
      </w:r>
    </w:p>
    <w:p>
      <w:pPr>
        <w:pStyle w:val="Compact"/>
        <w:numPr>
          <w:ilvl w:val="1"/>
          <w:numId w:val="1002"/>
        </w:numPr>
      </w:pPr>
      <w:r>
        <w:rPr>
          <w:b/>
          <w:bCs/>
        </w:rPr>
        <w:t xml:space="preserve">The Spread-to-Moat Ladder</w:t>
      </w:r>
      <w:r>
        <w:t xml:space="preserve">: five rungs from spotting a spread to stewarding what it builds.</w:t>
      </w:r>
    </w:p>
    <w:p>
      <w:pPr>
        <w:pStyle w:val="Compact"/>
        <w:numPr>
          <w:ilvl w:val="1"/>
          <w:numId w:val="1002"/>
        </w:numPr>
      </w:pPr>
      <w:r>
        <w:rPr>
          <w:b/>
          <w:bCs/>
        </w:rPr>
        <w:t xml:space="preserve">Seven moats</w:t>
      </w:r>
      <w:r>
        <w:t xml:space="preserve"> </w:t>
      </w:r>
      <w:r>
        <w:t xml:space="preserve">that survive when spreads close.</w:t>
      </w:r>
    </w:p>
    <w:p>
      <w:pPr>
        <w:pStyle w:val="Compact"/>
        <w:numPr>
          <w:ilvl w:val="1"/>
          <w:numId w:val="1002"/>
        </w:numPr>
      </w:pPr>
      <w:r>
        <w:rPr>
          <w:b/>
          <w:bCs/>
        </w:rPr>
        <w:t xml:space="preserve">The Spread Quality Score</w:t>
      </w:r>
      <w:r>
        <w:t xml:space="preserve"> </w:t>
      </w:r>
      <w:r>
        <w:t xml:space="preserve">(out of 25), calibrated against Uber, Airbnb and common AI hustles.</w:t>
      </w:r>
    </w:p>
    <w:p>
      <w:pPr>
        <w:pStyle w:val="Compact"/>
        <w:numPr>
          <w:ilvl w:val="1"/>
          <w:numId w:val="1002"/>
        </w:numPr>
      </w:pPr>
      <w:r>
        <w:rPr>
          <w:b/>
          <w:bCs/>
        </w:rPr>
        <w:t xml:space="preserve">The Productive Arbitrage Test</w:t>
      </w:r>
      <w:r>
        <w:t xml:space="preserve">, with red lines.</w:t>
      </w:r>
    </w:p>
    <w:p>
      <w:pPr>
        <w:pStyle w:val="Compact"/>
        <w:numPr>
          <w:ilvl w:val="1"/>
          <w:numId w:val="1002"/>
        </w:numPr>
      </w:pPr>
      <w:r>
        <w:rPr>
          <w:b/>
          <w:bCs/>
        </w:rPr>
        <w:t xml:space="preserve">The Dark Decagon</w:t>
      </w:r>
      <w:r>
        <w:t xml:space="preserve">: ten AI arbitrages to avoid.</w:t>
      </w:r>
    </w:p>
    <w:p>
      <w:pPr>
        <w:pStyle w:val="Compact"/>
        <w:numPr>
          <w:ilvl w:val="1"/>
          <w:numId w:val="1002"/>
        </w:numPr>
      </w:pPr>
      <w:r>
        <w:t xml:space="preserve">Integration with the</w:t>
      </w:r>
      <w:r>
        <w:t xml:space="preserve"> </w:t>
      </w:r>
      <w:r>
        <w:rPr>
          <w:b/>
          <w:bCs/>
        </w:rPr>
        <w:t xml:space="preserve">Double Decagon</w:t>
      </w:r>
      <w:r>
        <w:t xml:space="preserve"> </w:t>
      </w:r>
      <w:r>
        <w:t xml:space="preserve">of Volume II.</w:t>
      </w:r>
    </w:p>
    <w:p>
      <w:pPr>
        <w:pStyle w:val="Compact"/>
        <w:numPr>
          <w:ilvl w:val="0"/>
          <w:numId w:val="1001"/>
        </w:numPr>
      </w:pPr>
      <w:r>
        <w:rPr>
          <w:b/>
          <w:bCs/>
        </w:rPr>
        <w:t xml:space="preserve">Ten AI arbitrage ventures</w:t>
      </w:r>
      <w:r>
        <w:t xml:space="preserve"> </w:t>
      </w:r>
      <w:r>
        <w:t xml:space="preserve">(Part 4), one for each spread, Africa-first and globally scalable:</w:t>
      </w:r>
    </w:p>
    <w:tbl>
      <w:tblPr>
        <w:tblStyle w:val="Table"/>
        <w:tblW w:w="9360" w:type="dxa"/>
        <w:jc w:val="left"/>
        <w:tblLayout w:type="fixed"/>
        <w:tblLook w:firstRow="1" w:lastRow="0" w:firstColumn="0" w:lastColumn="0" w:noHBand="0" w:noVBand="0" w:val="0020"/>
      </w:tblPr>
      <w:tblGrid>
        <w:gridCol w:w="524"/>
        <w:gridCol w:w="1486"/>
        <w:gridCol w:w="1399"/>
        <w:gridCol w:w="5951"/>
      </w:tblGrid>
      <w:tr>
        <w:trPr>
          <w:cantSplit/>
          <w:tblHeader w:val="true"/>
        </w:trPr>
        <w:tc>
          <w:tcPr>
            <w:tcW w:w="524" w:type="dxa"/>
          </w:tcPr>
          <w:p>
            <w:pPr>
              <w:pStyle w:val="TableText"/>
              <w:jc w:val="left"/>
            </w:pPr>
            <w:r>
              <w:t xml:space="preserve">#</w:t>
            </w:r>
          </w:p>
        </w:tc>
        <w:tc>
          <w:tcPr>
            <w:tcW w:w="1486" w:type="dxa"/>
          </w:tcPr>
          <w:p>
            <w:pPr>
              <w:pStyle w:val="TableText"/>
              <w:jc w:val="left"/>
            </w:pPr>
            <w:r>
              <w:t xml:space="preserve">Spread</w:t>
            </w:r>
          </w:p>
        </w:tc>
        <w:tc>
          <w:tcPr>
            <w:tcW w:w="1399" w:type="dxa"/>
          </w:tcPr>
          <w:p>
            <w:pPr>
              <w:pStyle w:val="TableText"/>
              <w:jc w:val="left"/>
            </w:pPr>
            <w:r>
              <w:t xml:space="preserve">Venture</w:t>
            </w:r>
          </w:p>
        </w:tc>
        <w:tc>
          <w:tcPr>
            <w:tcW w:w="5951" w:type="dxa"/>
          </w:tcPr>
          <w:p>
            <w:pPr>
              <w:pStyle w:val="TableText"/>
              <w:jc w:val="left"/>
            </w:pPr>
            <w:r>
              <w:t xml:space="preserve">The gap it closes</w:t>
            </w:r>
          </w:p>
        </w:tc>
      </w:tr>
      <w:tr>
        <w:trPr>
          <w:cantSplit/>
        </w:trPr>
        <w:tc>
          <w:tcPr>
            <w:tcW w:w="524" w:type="dxa"/>
          </w:tcPr>
          <w:p>
            <w:pPr>
              <w:pStyle w:val="TableText"/>
              <w:jc w:val="left"/>
            </w:pPr>
            <w:r>
              <w:t xml:space="preserve">S1</w:t>
            </w:r>
          </w:p>
        </w:tc>
        <w:tc>
          <w:tcPr>
            <w:tcW w:w="1486" w:type="dxa"/>
          </w:tcPr>
          <w:p>
            <w:pPr>
              <w:pStyle w:val="TableText"/>
              <w:jc w:val="left"/>
            </w:pPr>
            <w:r>
              <w:t xml:space="preserve">Energy–compute</w:t>
            </w:r>
          </w:p>
        </w:tc>
        <w:tc>
          <w:tcPr>
            <w:tcW w:w="1399" w:type="dxa"/>
          </w:tcPr>
          <w:p>
            <w:pPr>
              <w:pStyle w:val="TableText"/>
              <w:jc w:val="left"/>
            </w:pPr>
            <w:r>
              <w:rPr>
                <w:b/>
                <w:bCs/>
              </w:rPr>
              <w:t xml:space="preserve">StrandedWatts</w:t>
            </w:r>
          </w:p>
        </w:tc>
        <w:tc>
          <w:tcPr>
            <w:tcW w:w="5951" w:type="dxa"/>
          </w:tcPr>
          <w:p>
            <w:pPr>
              <w:pStyle w:val="TableText"/>
              <w:jc w:val="left"/>
            </w:pPr>
            <w:r>
              <w:t xml:space="preserve">Flared gas and curtailed renewables wasted while AI compute sells out</w:t>
            </w:r>
          </w:p>
        </w:tc>
      </w:tr>
      <w:tr>
        <w:trPr>
          <w:cantSplit/>
        </w:trPr>
        <w:tc>
          <w:tcPr>
            <w:tcW w:w="524" w:type="dxa"/>
          </w:tcPr>
          <w:p>
            <w:pPr>
              <w:pStyle w:val="TableText"/>
              <w:jc w:val="left"/>
            </w:pPr>
            <w:r>
              <w:t xml:space="preserve">S2</w:t>
            </w:r>
          </w:p>
        </w:tc>
        <w:tc>
          <w:tcPr>
            <w:tcW w:w="1486" w:type="dxa"/>
          </w:tcPr>
          <w:p>
            <w:pPr>
              <w:pStyle w:val="TableText"/>
              <w:jc w:val="left"/>
            </w:pPr>
            <w:r>
              <w:t xml:space="preserve">Model price</w:t>
            </w:r>
          </w:p>
        </w:tc>
        <w:tc>
          <w:tcPr>
            <w:tcW w:w="1399" w:type="dxa"/>
          </w:tcPr>
          <w:p>
            <w:pPr>
              <w:pStyle w:val="TableText"/>
              <w:jc w:val="left"/>
            </w:pPr>
            <w:r>
              <w:rPr>
                <w:b/>
                <w:bCs/>
              </w:rPr>
              <w:t xml:space="preserve">ComputeCoop</w:t>
            </w:r>
          </w:p>
        </w:tc>
        <w:tc>
          <w:tcPr>
            <w:tcW w:w="5951" w:type="dxa"/>
          </w:tcPr>
          <w:p>
            <w:pPr>
              <w:pStyle w:val="TableText"/>
              <w:jc w:val="left"/>
            </w:pPr>
            <w:r>
              <w:t xml:space="preserve">AI prices vary by orders of magnitude, while African builders pay the most, in dollars</w:t>
            </w:r>
          </w:p>
        </w:tc>
      </w:tr>
      <w:tr>
        <w:trPr>
          <w:cantSplit/>
        </w:trPr>
        <w:tc>
          <w:tcPr>
            <w:tcW w:w="524" w:type="dxa"/>
          </w:tcPr>
          <w:p>
            <w:pPr>
              <w:pStyle w:val="TableText"/>
              <w:jc w:val="left"/>
            </w:pPr>
            <w:r>
              <w:t xml:space="preserve">S3</w:t>
            </w:r>
          </w:p>
        </w:tc>
        <w:tc>
          <w:tcPr>
            <w:tcW w:w="1486" w:type="dxa"/>
          </w:tcPr>
          <w:p>
            <w:pPr>
              <w:pStyle w:val="TableText"/>
              <w:jc w:val="left"/>
            </w:pPr>
            <w:r>
              <w:t xml:space="preserve">Adoption</w:t>
            </w:r>
          </w:p>
        </w:tc>
        <w:tc>
          <w:tcPr>
            <w:tcW w:w="1399" w:type="dxa"/>
          </w:tcPr>
          <w:p>
            <w:pPr>
              <w:pStyle w:val="TableText"/>
              <w:jc w:val="left"/>
            </w:pPr>
            <w:r>
              <w:rPr>
                <w:b/>
                <w:bCs/>
              </w:rPr>
              <w:t xml:space="preserve">OfficePilot</w:t>
            </w:r>
          </w:p>
        </w:tc>
        <w:tc>
          <w:tcPr>
            <w:tcW w:w="5951" w:type="dxa"/>
          </w:tcPr>
          <w:p>
            <w:pPr>
              <w:pStyle w:val="TableText"/>
              <w:jc w:val="left"/>
            </w:pPr>
            <w:r>
              <w:t xml:space="preserve">AI can run a small firm’s back office, but few small firms use it, and new tax rules raise the stakes</w:t>
            </w:r>
          </w:p>
        </w:tc>
      </w:tr>
      <w:tr>
        <w:trPr>
          <w:cantSplit/>
        </w:trPr>
        <w:tc>
          <w:tcPr>
            <w:tcW w:w="524" w:type="dxa"/>
          </w:tcPr>
          <w:p>
            <w:pPr>
              <w:pStyle w:val="TableText"/>
              <w:jc w:val="left"/>
            </w:pPr>
            <w:r>
              <w:t xml:space="preserve">S4</w:t>
            </w:r>
          </w:p>
        </w:tc>
        <w:tc>
          <w:tcPr>
            <w:tcW w:w="1486" w:type="dxa"/>
          </w:tcPr>
          <w:p>
            <w:pPr>
              <w:pStyle w:val="TableText"/>
              <w:jc w:val="left"/>
            </w:pPr>
            <w:r>
              <w:t xml:space="preserve">Language</w:t>
            </w:r>
          </w:p>
        </w:tc>
        <w:tc>
          <w:tcPr>
            <w:tcW w:w="1399" w:type="dxa"/>
          </w:tcPr>
          <w:p>
            <w:pPr>
              <w:pStyle w:val="TableText"/>
              <w:jc w:val="left"/>
            </w:pPr>
            <w:r>
              <w:rPr>
                <w:b/>
                <w:bCs/>
              </w:rPr>
              <w:t xml:space="preserve">TongueBridge</w:t>
            </w:r>
          </w:p>
        </w:tc>
        <w:tc>
          <w:tcPr>
            <w:tcW w:w="5951" w:type="dxa"/>
          </w:tcPr>
          <w:p>
            <w:pPr>
              <w:pStyle w:val="TableText"/>
              <w:jc w:val="left"/>
            </w:pPr>
            <w:r>
              <w:t xml:space="preserve">Films, music, lessons and catalogues trapped in one language</w:t>
            </w:r>
          </w:p>
        </w:tc>
      </w:tr>
      <w:tr>
        <w:trPr>
          <w:cantSplit/>
        </w:trPr>
        <w:tc>
          <w:tcPr>
            <w:tcW w:w="524" w:type="dxa"/>
          </w:tcPr>
          <w:p>
            <w:pPr>
              <w:pStyle w:val="TableText"/>
              <w:jc w:val="left"/>
            </w:pPr>
            <w:r>
              <w:t xml:space="preserve">S5</w:t>
            </w:r>
          </w:p>
        </w:tc>
        <w:tc>
          <w:tcPr>
            <w:tcW w:w="1486" w:type="dxa"/>
          </w:tcPr>
          <w:p>
            <w:pPr>
              <w:pStyle w:val="TableText"/>
              <w:jc w:val="left"/>
            </w:pPr>
            <w:r>
              <w:t xml:space="preserve">Labour and skill</w:t>
            </w:r>
          </w:p>
        </w:tc>
        <w:tc>
          <w:tcPr>
            <w:tcW w:w="1399" w:type="dxa"/>
          </w:tcPr>
          <w:p>
            <w:pPr>
              <w:pStyle w:val="TableText"/>
              <w:jc w:val="left"/>
            </w:pPr>
            <w:r>
              <w:rPr>
                <w:b/>
                <w:bCs/>
              </w:rPr>
              <w:t xml:space="preserve">OutcomeWorks</w:t>
            </w:r>
          </w:p>
        </w:tc>
        <w:tc>
          <w:tcPr>
            <w:tcW w:w="5951" w:type="dxa"/>
          </w:tcPr>
          <w:p>
            <w:pPr>
              <w:pStyle w:val="TableText"/>
              <w:jc w:val="left"/>
            </w:pPr>
            <w:r>
              <w:t xml:space="preserve">AI-augmented African teams can deliver global-quality services, priced by outcome</w:t>
            </w:r>
          </w:p>
        </w:tc>
      </w:tr>
      <w:tr>
        <w:trPr>
          <w:cantSplit/>
        </w:trPr>
        <w:tc>
          <w:tcPr>
            <w:tcW w:w="524" w:type="dxa"/>
          </w:tcPr>
          <w:p>
            <w:pPr>
              <w:pStyle w:val="TableText"/>
              <w:jc w:val="left"/>
            </w:pPr>
            <w:r>
              <w:t xml:space="preserve">S6</w:t>
            </w:r>
          </w:p>
        </w:tc>
        <w:tc>
          <w:tcPr>
            <w:tcW w:w="1486" w:type="dxa"/>
          </w:tcPr>
          <w:p>
            <w:pPr>
              <w:pStyle w:val="TableText"/>
              <w:jc w:val="left"/>
            </w:pPr>
            <w:r>
              <w:t xml:space="preserve">Expertise</w:t>
            </w:r>
          </w:p>
        </w:tc>
        <w:tc>
          <w:tcPr>
            <w:tcW w:w="1399" w:type="dxa"/>
          </w:tcPr>
          <w:p>
            <w:pPr>
              <w:pStyle w:val="TableText"/>
              <w:jc w:val="left"/>
            </w:pPr>
            <w:r>
              <w:rPr>
                <w:b/>
                <w:bCs/>
              </w:rPr>
              <w:t xml:space="preserve">ScanBridge</w:t>
            </w:r>
          </w:p>
        </w:tc>
        <w:tc>
          <w:tcPr>
            <w:tcW w:w="5951" w:type="dxa"/>
          </w:tcPr>
          <w:p>
            <w:pPr>
              <w:pStyle w:val="TableText"/>
              <w:jc w:val="left"/>
            </w:pPr>
            <w:r>
              <w:t xml:space="preserve">Sub-Saharan Africa has about 2 radiologists per million people, against 93 in rich countries</w:t>
            </w:r>
          </w:p>
        </w:tc>
      </w:tr>
      <w:tr>
        <w:trPr>
          <w:cantSplit/>
        </w:trPr>
        <w:tc>
          <w:tcPr>
            <w:tcW w:w="524" w:type="dxa"/>
          </w:tcPr>
          <w:p>
            <w:pPr>
              <w:pStyle w:val="TableText"/>
              <w:jc w:val="left"/>
            </w:pPr>
            <w:r>
              <w:t xml:space="preserve">S7</w:t>
            </w:r>
          </w:p>
        </w:tc>
        <w:tc>
          <w:tcPr>
            <w:tcW w:w="1486" w:type="dxa"/>
          </w:tcPr>
          <w:p>
            <w:pPr>
              <w:pStyle w:val="TableText"/>
              <w:jc w:val="left"/>
            </w:pPr>
            <w:r>
              <w:t xml:space="preserve">Learning</w:t>
            </w:r>
          </w:p>
        </w:tc>
        <w:tc>
          <w:tcPr>
            <w:tcW w:w="1399" w:type="dxa"/>
          </w:tcPr>
          <w:p>
            <w:pPr>
              <w:pStyle w:val="TableText"/>
              <w:jc w:val="left"/>
            </w:pPr>
            <w:r>
              <w:rPr>
                <w:b/>
                <w:bCs/>
              </w:rPr>
              <w:t xml:space="preserve">TutorGrid</w:t>
            </w:r>
          </w:p>
        </w:tc>
        <w:tc>
          <w:tcPr>
            <w:tcW w:w="5951" w:type="dxa"/>
          </w:tcPr>
          <w:p>
            <w:pPr>
              <w:pStyle w:val="TableText"/>
              <w:jc w:val="left"/>
            </w:pPr>
            <w:r>
              <w:t xml:space="preserve">One-to-one tutoring transforms learning but is unaffordable; AI tutoring showed large gains in Nigeria</w:t>
            </w:r>
          </w:p>
        </w:tc>
      </w:tr>
      <w:tr>
        <w:trPr>
          <w:cantSplit/>
        </w:trPr>
        <w:tc>
          <w:tcPr>
            <w:tcW w:w="524" w:type="dxa"/>
          </w:tcPr>
          <w:p>
            <w:pPr>
              <w:pStyle w:val="TableText"/>
              <w:jc w:val="left"/>
            </w:pPr>
            <w:r>
              <w:t xml:space="preserve">S8</w:t>
            </w:r>
          </w:p>
        </w:tc>
        <w:tc>
          <w:tcPr>
            <w:tcW w:w="1486" w:type="dxa"/>
          </w:tcPr>
          <w:p>
            <w:pPr>
              <w:pStyle w:val="TableText"/>
              <w:jc w:val="left"/>
            </w:pPr>
            <w:r>
              <w:t xml:space="preserve">Risk pricing</w:t>
            </w:r>
          </w:p>
        </w:tc>
        <w:tc>
          <w:tcPr>
            <w:tcW w:w="1399" w:type="dxa"/>
          </w:tcPr>
          <w:p>
            <w:pPr>
              <w:pStyle w:val="TableText"/>
              <w:jc w:val="left"/>
            </w:pPr>
            <w:r>
              <w:rPr>
                <w:b/>
                <w:bCs/>
              </w:rPr>
              <w:t xml:space="preserve">FairScore</w:t>
            </w:r>
          </w:p>
        </w:tc>
        <w:tc>
          <w:tcPr>
            <w:tcW w:w="5951" w:type="dxa"/>
          </w:tcPr>
          <w:p>
            <w:pPr>
              <w:pStyle w:val="TableText"/>
              <w:jc w:val="left"/>
            </w:pPr>
            <w:r>
              <w:t xml:space="preserve">Creditworthy small firms and farmers are mispriced or excluded</w:t>
            </w:r>
          </w:p>
        </w:tc>
      </w:tr>
      <w:tr>
        <w:trPr>
          <w:cantSplit/>
        </w:trPr>
        <w:tc>
          <w:tcPr>
            <w:tcW w:w="524" w:type="dxa"/>
          </w:tcPr>
          <w:p>
            <w:pPr>
              <w:pStyle w:val="TableText"/>
              <w:jc w:val="left"/>
            </w:pPr>
            <w:r>
              <w:t xml:space="preserve">S9</w:t>
            </w:r>
          </w:p>
        </w:tc>
        <w:tc>
          <w:tcPr>
            <w:tcW w:w="1486" w:type="dxa"/>
          </w:tcPr>
          <w:p>
            <w:pPr>
              <w:pStyle w:val="TableText"/>
              <w:jc w:val="left"/>
            </w:pPr>
            <w:r>
              <w:t xml:space="preserve">Backlog</w:t>
            </w:r>
          </w:p>
        </w:tc>
        <w:tc>
          <w:tcPr>
            <w:tcW w:w="1399" w:type="dxa"/>
          </w:tcPr>
          <w:p>
            <w:pPr>
              <w:pStyle w:val="TableText"/>
              <w:jc w:val="left"/>
            </w:pPr>
            <w:r>
              <w:rPr>
                <w:b/>
                <w:bCs/>
              </w:rPr>
              <w:t xml:space="preserve">BacklogZero</w:t>
            </w:r>
          </w:p>
        </w:tc>
        <w:tc>
          <w:tcPr>
            <w:tcW w:w="5951" w:type="dxa"/>
          </w:tcPr>
          <w:p>
            <w:pPr>
              <w:pStyle w:val="TableText"/>
              <w:jc w:val="left"/>
            </w:pPr>
            <w:r>
              <w:t xml:space="preserve">Citizens wait years for land titles, permits and records that AI could help clear in days</w:t>
            </w:r>
          </w:p>
        </w:tc>
      </w:tr>
      <w:tr>
        <w:trPr>
          <w:cantSplit/>
        </w:trPr>
        <w:tc>
          <w:tcPr>
            <w:tcW w:w="524" w:type="dxa"/>
          </w:tcPr>
          <w:p>
            <w:pPr>
              <w:pStyle w:val="TableText"/>
              <w:jc w:val="left"/>
            </w:pPr>
            <w:r>
              <w:t xml:space="preserve">S10</w:t>
            </w:r>
          </w:p>
        </w:tc>
        <w:tc>
          <w:tcPr>
            <w:tcW w:w="1486" w:type="dxa"/>
          </w:tcPr>
          <w:p>
            <w:pPr>
              <w:pStyle w:val="TableText"/>
              <w:jc w:val="left"/>
            </w:pPr>
            <w:r>
              <w:t xml:space="preserve">Compliance</w:t>
            </w:r>
          </w:p>
        </w:tc>
        <w:tc>
          <w:tcPr>
            <w:tcW w:w="1399" w:type="dxa"/>
          </w:tcPr>
          <w:p>
            <w:pPr>
              <w:pStyle w:val="TableText"/>
              <w:jc w:val="left"/>
            </w:pPr>
            <w:r>
              <w:rPr>
                <w:b/>
                <w:bCs/>
              </w:rPr>
              <w:t xml:space="preserve">ExportReady</w:t>
            </w:r>
          </w:p>
        </w:tc>
        <w:tc>
          <w:tcPr>
            <w:tcW w:w="5951" w:type="dxa"/>
          </w:tcPr>
          <w:p>
            <w:pPr>
              <w:pStyle w:val="TableText"/>
              <w:jc w:val="left"/>
            </w:pPr>
            <w:r>
              <w:t xml:space="preserve">New export rules (e.g., EU deforestation rules from December 2026) could shut out smallholders</w:t>
            </w:r>
          </w:p>
        </w:tc>
      </w:tr>
    </w:tbl>
    <w:p>
      <w:pPr>
        <w:pStyle w:val="Compact"/>
        <w:numPr>
          <w:ilvl w:val="0"/>
          <w:numId w:val="1003"/>
        </w:numPr>
      </w:pPr>
      <w:r>
        <w:rPr>
          <w:b/>
          <w:bCs/>
        </w:rPr>
        <w:t xml:space="preserve">Portfolio</w:t>
      </w:r>
      <w:r>
        <w:t xml:space="preserve"> </w:t>
      </w:r>
      <w:r>
        <w:t xml:space="preserve">(Part 5): the scoreboard, a strategy of</w:t>
      </w:r>
      <w:r>
        <w:t xml:space="preserve"> </w:t>
      </w:r>
      <w:r>
        <w:rPr>
          <w:i/>
          <w:iCs/>
        </w:rPr>
        <w:t xml:space="preserve">harvesting short spreads to fund long ones</w:t>
      </w:r>
      <w:r>
        <w:t xml:space="preserve">, links to Volumes I and II, Africa’s comparative advantages in the AI era, a fifth mission (</w:t>
      </w:r>
      <w:r>
        <w:rPr>
          <w:b/>
          <w:bCs/>
        </w:rPr>
        <w:t xml:space="preserve">a fair AI dividend for Africa</w:t>
      </w:r>
      <w:r>
        <w:t xml:space="preserve">), and a closing philosophy:</w:t>
      </w:r>
      <w:r>
        <w:t xml:space="preserve"> </w:t>
      </w:r>
      <w:r>
        <w:rPr>
          <w:b/>
          <w:bCs/>
        </w:rPr>
        <w:t xml:space="preserve">close the gap; don’t farm it.</w:t>
      </w:r>
    </w:p>
    <w:bookmarkStart w:id="20" w:name="how-to-read-this-volume"/>
    <w:p>
      <w:pPr>
        <w:pStyle w:val="Heading2"/>
      </w:pPr>
      <w:r>
        <w:t xml:space="preserve">How to read this volume</w:t>
      </w:r>
    </w:p>
    <w:tbl>
      <w:tblPr>
        <w:tblStyle w:val="Table"/>
        <w:tblW w:w="9360" w:type="dxa"/>
        <w:jc w:val="left"/>
        <w:tblLayout w:type="fixed"/>
        <w:tblLook w:firstRow="1" w:lastRow="0" w:firstColumn="0" w:lastColumn="0" w:noHBand="0" w:noVBand="0" w:val="0020"/>
      </w:tblPr>
      <w:tblGrid>
        <w:gridCol w:w="1137"/>
        <w:gridCol w:w="4198"/>
        <w:gridCol w:w="4025"/>
      </w:tblGrid>
      <w:tr>
        <w:trPr>
          <w:cantSplit/>
          <w:tblHeader w:val="true"/>
        </w:trPr>
        <w:tc>
          <w:tcPr>
            <w:tcW w:w="1137" w:type="dxa"/>
          </w:tcPr>
          <w:p>
            <w:pPr>
              <w:pStyle w:val="TableText"/>
              <w:jc w:val="left"/>
            </w:pPr>
            <w:r>
              <w:t xml:space="preserve">Part</w:t>
            </w:r>
          </w:p>
        </w:tc>
        <w:tc>
          <w:tcPr>
            <w:tcW w:w="4198" w:type="dxa"/>
          </w:tcPr>
          <w:p>
            <w:pPr>
              <w:pStyle w:val="TableText"/>
              <w:jc w:val="left"/>
            </w:pPr>
            <w:r>
              <w:t xml:space="preserve">Content</w:t>
            </w:r>
          </w:p>
        </w:tc>
        <w:tc>
          <w:tcPr>
            <w:tcW w:w="4025" w:type="dxa"/>
          </w:tcPr>
          <w:p>
            <w:pPr>
              <w:pStyle w:val="TableText"/>
              <w:jc w:val="left"/>
            </w:pPr>
            <w:r>
              <w:t xml:space="preserve">Use it if you want to…</w:t>
            </w:r>
          </w:p>
        </w:tc>
      </w:tr>
      <w:tr>
        <w:trPr>
          <w:cantSplit/>
        </w:trPr>
        <w:tc>
          <w:tcPr>
            <w:tcW w:w="1137" w:type="dxa"/>
          </w:tcPr>
          <w:p>
            <w:pPr>
              <w:pStyle w:val="TableText"/>
              <w:jc w:val="left"/>
            </w:pPr>
            <w:r>
              <w:t xml:space="preserve">1</w:t>
            </w:r>
          </w:p>
        </w:tc>
        <w:tc>
          <w:tcPr>
            <w:tcW w:w="4198" w:type="dxa"/>
          </w:tcPr>
          <w:p>
            <w:pPr>
              <w:pStyle w:val="TableText"/>
              <w:jc w:val="left"/>
            </w:pPr>
            <w:r>
              <w:t xml:space="preserve">Foundations: definition, equation, evidence, benchmarks</w:t>
            </w:r>
          </w:p>
        </w:tc>
        <w:tc>
          <w:tcPr>
            <w:tcW w:w="4025" w:type="dxa"/>
          </w:tcPr>
          <w:p>
            <w:pPr>
              <w:pStyle w:val="TableText"/>
              <w:jc w:val="left"/>
            </w:pPr>
            <w:r>
              <w:t xml:space="preserve">Understand AI arbitrage precisely</w:t>
            </w:r>
          </w:p>
        </w:tc>
      </w:tr>
      <w:tr>
        <w:trPr>
          <w:cantSplit/>
        </w:trPr>
        <w:tc>
          <w:tcPr>
            <w:tcW w:w="1137" w:type="dxa"/>
          </w:tcPr>
          <w:p>
            <w:pPr>
              <w:pStyle w:val="TableText"/>
              <w:jc w:val="left"/>
            </w:pPr>
            <w:r>
              <w:t xml:space="preserve">2</w:t>
            </w:r>
          </w:p>
        </w:tc>
        <w:tc>
          <w:tcPr>
            <w:tcW w:w="4198" w:type="dxa"/>
          </w:tcPr>
          <w:p>
            <w:pPr>
              <w:pStyle w:val="TableText"/>
              <w:jc w:val="left"/>
            </w:pPr>
            <w:r>
              <w:t xml:space="preserve">Theory, system dynamics and ethics</w:t>
            </w:r>
          </w:p>
        </w:tc>
        <w:tc>
          <w:tcPr>
            <w:tcW w:w="4025" w:type="dxa"/>
          </w:tcPr>
          <w:p>
            <w:pPr>
              <w:pStyle w:val="TableText"/>
              <w:jc w:val="left"/>
            </w:pPr>
            <w:r>
              <w:t xml:space="preserve">Understand why spreads open, close and sometimes harm</w:t>
            </w:r>
          </w:p>
        </w:tc>
      </w:tr>
      <w:tr>
        <w:trPr>
          <w:cantSplit/>
        </w:trPr>
        <w:tc>
          <w:tcPr>
            <w:tcW w:w="1137" w:type="dxa"/>
          </w:tcPr>
          <w:p>
            <w:pPr>
              <w:pStyle w:val="TableText"/>
              <w:jc w:val="left"/>
            </w:pPr>
            <w:r>
              <w:t xml:space="preserve">3</w:t>
            </w:r>
          </w:p>
        </w:tc>
        <w:tc>
          <w:tcPr>
            <w:tcW w:w="4198" w:type="dxa"/>
          </w:tcPr>
          <w:p>
            <w:pPr>
              <w:pStyle w:val="TableText"/>
              <w:jc w:val="left"/>
            </w:pPr>
            <w:r>
              <w:t xml:space="preserve">The Arbitrage Decagon framework</w:t>
            </w:r>
          </w:p>
        </w:tc>
        <w:tc>
          <w:tcPr>
            <w:tcW w:w="4025" w:type="dxa"/>
          </w:tcPr>
          <w:p>
            <w:pPr>
              <w:pStyle w:val="TableText"/>
              <w:jc w:val="left"/>
            </w:pPr>
            <w:r>
              <w:t xml:space="preserve">Find, measure and judge AI arbitrage opportunities</w:t>
            </w:r>
          </w:p>
        </w:tc>
      </w:tr>
      <w:tr>
        <w:trPr>
          <w:cantSplit/>
        </w:trPr>
        <w:tc>
          <w:tcPr>
            <w:tcW w:w="1137" w:type="dxa"/>
          </w:tcPr>
          <w:p>
            <w:pPr>
              <w:pStyle w:val="TableText"/>
              <w:jc w:val="left"/>
            </w:pPr>
            <w:r>
              <w:t xml:space="preserve">4</w:t>
            </w:r>
          </w:p>
        </w:tc>
        <w:tc>
          <w:tcPr>
            <w:tcW w:w="4198" w:type="dxa"/>
          </w:tcPr>
          <w:p>
            <w:pPr>
              <w:pStyle w:val="TableText"/>
              <w:jc w:val="left"/>
            </w:pPr>
            <w:r>
              <w:t xml:space="preserve">Ten AI arbitrage ventures</w:t>
            </w:r>
          </w:p>
        </w:tc>
        <w:tc>
          <w:tcPr>
            <w:tcW w:w="4025" w:type="dxa"/>
          </w:tcPr>
          <w:p>
            <w:pPr>
              <w:pStyle w:val="TableText"/>
              <w:jc w:val="left"/>
            </w:pPr>
            <w:r>
              <w:t xml:space="preserve">Get concrete startup ideas</w:t>
            </w:r>
          </w:p>
        </w:tc>
      </w:tr>
      <w:tr>
        <w:trPr>
          <w:cantSplit/>
        </w:trPr>
        <w:tc>
          <w:tcPr>
            <w:tcW w:w="1137" w:type="dxa"/>
          </w:tcPr>
          <w:p>
            <w:pPr>
              <w:pStyle w:val="TableText"/>
              <w:jc w:val="left"/>
            </w:pPr>
            <w:r>
              <w:t xml:space="preserve">5</w:t>
            </w:r>
          </w:p>
        </w:tc>
        <w:tc>
          <w:tcPr>
            <w:tcW w:w="4198" w:type="dxa"/>
          </w:tcPr>
          <w:p>
            <w:pPr>
              <w:pStyle w:val="TableText"/>
              <w:jc w:val="left"/>
            </w:pPr>
            <w:r>
              <w:t xml:space="preserve">Portfolio, strategy and closing philosophy</w:t>
            </w:r>
          </w:p>
        </w:tc>
        <w:tc>
          <w:tcPr>
            <w:tcW w:w="4025" w:type="dxa"/>
          </w:tcPr>
          <w:p>
            <w:pPr>
              <w:pStyle w:val="TableText"/>
              <w:jc w:val="left"/>
            </w:pPr>
            <w:r>
              <w:t xml:space="preserve">Build and sequence a portfolio</w:t>
            </w:r>
          </w:p>
        </w:tc>
      </w:tr>
      <w:tr>
        <w:trPr>
          <w:cantSplit/>
        </w:trPr>
        <w:tc>
          <w:tcPr>
            <w:tcW w:w="1137" w:type="dxa"/>
          </w:tcPr>
          <w:p>
            <w:pPr>
              <w:pStyle w:val="TableText"/>
              <w:jc w:val="left"/>
            </w:pPr>
            <w:r>
              <w:t xml:space="preserve">Appendices</w:t>
            </w:r>
          </w:p>
        </w:tc>
        <w:tc>
          <w:tcPr>
            <w:tcW w:w="4198" w:type="dxa"/>
          </w:tcPr>
          <w:p>
            <w:pPr>
              <w:pStyle w:val="TableText"/>
              <w:jc w:val="left"/>
            </w:pPr>
            <w:r>
              <w:t xml:space="preserve">Canvas, rubric, test checklist, sources</w:t>
            </w:r>
          </w:p>
        </w:tc>
        <w:tc>
          <w:tcPr>
            <w:tcW w:w="4025" w:type="dxa"/>
          </w:tcPr>
          <w:p>
            <w:pPr>
              <w:pStyle w:val="TableText"/>
              <w:jc w:val="left"/>
            </w:pPr>
            <w:r>
              <w:t xml:space="preserve">Apply the framework yourself</w:t>
            </w:r>
          </w:p>
        </w:tc>
      </w:tr>
    </w:tbl>
    <w:p>
      <w:pPr>
        <w:pStyle w:val="BodyText"/>
        <w:spacing w:before="160"/>
      </w:pPr>
      <w:r>
        <w:rPr>
          <w:i/>
          <w:iCs/>
        </w:rPr>
        <w:t xml:space="preserve">Scores and judgements are the author’s analysis. Venture concepts are hypotheses to be tested, not investment, legal or financial advice.</w:t>
      </w:r>
    </w:p>
    <w:bookmarkEnd w:id="20"/>
    <w:bookmarkEnd w:id="21"/>
    <w:bookmarkStart w:id="27" w:name="part-1-foundations"/>
    <w:p>
      <w:pPr>
        <w:pStyle w:val="Heading1"/>
      </w:pPr>
      <w:r>
        <w:t xml:space="preserve">Part 1: Foundations</w:t>
      </w:r>
    </w:p>
    <w:bookmarkStart w:id="22" w:name="what-ai-arbitrage-is-and-is-not"/>
    <w:p>
      <w:pPr>
        <w:pStyle w:val="Heading2"/>
      </w:pPr>
      <w:r>
        <w:t xml:space="preserve">1.1 What AI arbitrage is, and is not</w:t>
      </w:r>
    </w:p>
    <w:p>
      <w:pPr>
        <w:pStyle w:val="FirstParagraph"/>
      </w:pPr>
      <w:r>
        <w:rPr>
          <w:b/>
          <w:bCs/>
        </w:rPr>
        <w:t xml:space="preserve">Classic arbitrage</w:t>
      </w:r>
      <w:r>
        <w:t xml:space="preserve"> </w:t>
      </w:r>
      <w:r>
        <w:t xml:space="preserve">buys an asset where it is cheap and sells it where it is dear.</w:t>
      </w:r>
      <w:r>
        <w:t xml:space="preserve"> </w:t>
      </w:r>
      <w:r>
        <w:rPr>
          <w:b/>
          <w:bCs/>
        </w:rPr>
        <w:t xml:space="preserve">Entrepreneurial arbitrage</w:t>
      </w:r>
      <w:r>
        <w:t xml:space="preserve">, in Israel Kirzner’s sense, is noticing a gap that others have missed, such as a resource used poorly in one place and needed badly in another, and acting to close it.</w:t>
      </w:r>
    </w:p>
    <w:p>
      <w:pPr>
        <w:pStyle w:val="BodyText"/>
      </w:pPr>
      <w:r>
        <w:rPr>
          <w:b/>
          <w:bCs/>
        </w:rPr>
        <w:t xml:space="preserve">AI arbitrage</w:t>
      </w:r>
      <w:r>
        <w:t xml:space="preserve"> </w:t>
      </w:r>
      <w:r>
        <w:t xml:space="preserve">is a special case:</w:t>
      </w:r>
    </w:p>
    <w:p>
      <w:pPr>
        <w:pStyle w:val="BlockText"/>
      </w:pPr>
      <w:r>
        <w:rPr>
          <w:b/>
          <w:bCs/>
        </w:rPr>
        <w:t xml:space="preserve">AI arbitrage</w:t>
      </w:r>
      <w:r>
        <w:t xml:space="preserve"> </w:t>
      </w:r>
      <w:r>
        <w:t xml:space="preserve">is capturing the spread between what an outcome costs to produce with AI (plus the human and physical work around it) and what the same outcome is worth, or currently costs, to the people who need it.</w:t>
      </w:r>
    </w:p>
    <w:p>
      <w:pPr>
        <w:pStyle w:val="FirstParagraph"/>
      </w:pPr>
      <w:r>
        <w:t xml:space="preserve">The term is also used for less admirable things: reselling a chatbot under a new name, flooding the web with AI content to farm advertising, or using AI to impersonate people. Volume III separates</w:t>
      </w:r>
      <w:r>
        <w:t xml:space="preserve"> </w:t>
      </w:r>
      <w:r>
        <w:rPr>
          <w:b/>
          <w:bCs/>
        </w:rPr>
        <w:t xml:space="preserve">productive arbitrage</w:t>
      </w:r>
      <w:r>
        <w:t xml:space="preserve">, which closes real gaps and creates capability, from</w:t>
      </w:r>
      <w:r>
        <w:t xml:space="preserve"> </w:t>
      </w:r>
      <w:r>
        <w:rPr>
          <w:b/>
          <w:bCs/>
        </w:rPr>
        <w:t xml:space="preserve">extractive and destructive arbitrage</w:t>
      </w:r>
      <w:r>
        <w:t xml:space="preserve">, which exploits gaps or creates new harms (Section 3.6).</w:t>
      </w:r>
    </w:p>
    <w:bookmarkEnd w:id="22"/>
    <w:bookmarkStart w:id="23" w:name="the-ai-arbitrage-equation"/>
    <w:p>
      <w:pPr>
        <w:pStyle w:val="Heading2"/>
      </w:pPr>
      <w:r>
        <w:t xml:space="preserve">1.2 The AI arbitrage equation</w:t>
      </w:r>
    </w:p>
    <w:p>
      <w:pPr>
        <w:pStyle w:val="BlockText"/>
      </w:pPr>
      <w:r>
        <w:rPr>
          <w:b/>
          <w:bCs/>
        </w:rPr>
        <w:t xml:space="preserve">Net spread = Value of the outcome − (AI cost + human cost + physical cost) − Friction</w:t>
      </w:r>
    </w:p>
    <w:p>
      <w:pPr>
        <w:pStyle w:val="Compact"/>
        <w:numPr>
          <w:ilvl w:val="0"/>
          <w:numId w:val="1004"/>
        </w:numPr>
      </w:pPr>
      <w:r>
        <w:rPr>
          <w:b/>
          <w:bCs/>
        </w:rPr>
        <w:t xml:space="preserve">Value of the outcome:</w:t>
      </w:r>
      <w:r>
        <w:t xml:space="preserve"> </w:t>
      </w:r>
      <w:r>
        <w:t xml:space="preserve">what the customer gains or would otherwise pay. Examples: an accountant’s fee, a radiologist’s report, a year of learning, avoiding a late-filing penalty.</w:t>
      </w:r>
    </w:p>
    <w:p>
      <w:pPr>
        <w:pStyle w:val="Compact"/>
        <w:numPr>
          <w:ilvl w:val="0"/>
          <w:numId w:val="1004"/>
        </w:numPr>
      </w:pPr>
      <w:r>
        <w:rPr>
          <w:b/>
          <w:bCs/>
        </w:rPr>
        <w:t xml:space="preserve">AI cost:</w:t>
      </w:r>
      <w:r>
        <w:t xml:space="preserve"> </w:t>
      </w:r>
      <w:r>
        <w:t xml:space="preserve">model inference, fine-tuning and compute. This is falling fast, but unevenly.</w:t>
      </w:r>
    </w:p>
    <w:p>
      <w:pPr>
        <w:pStyle w:val="Compact"/>
        <w:numPr>
          <w:ilvl w:val="0"/>
          <w:numId w:val="1004"/>
        </w:numPr>
      </w:pPr>
      <w:r>
        <w:rPr>
          <w:b/>
          <w:bCs/>
        </w:rPr>
        <w:t xml:space="preserve">Human cost:</w:t>
      </w:r>
      <w:r>
        <w:t xml:space="preserve"> </w:t>
      </w:r>
      <w:r>
        <w:t xml:space="preserve">supervision, sign-off, quality assurance and customer care. In serious domains a human stays in the loop.</w:t>
      </w:r>
    </w:p>
    <w:p>
      <w:pPr>
        <w:pStyle w:val="Compact"/>
        <w:numPr>
          <w:ilvl w:val="0"/>
          <w:numId w:val="1004"/>
        </w:numPr>
      </w:pPr>
      <w:r>
        <w:rPr>
          <w:b/>
          <w:bCs/>
        </w:rPr>
        <w:t xml:space="preserve">Physical cost:</w:t>
      </w:r>
      <w:r>
        <w:t xml:space="preserve"> </w:t>
      </w:r>
      <w:r>
        <w:t xml:space="preserve">energy, connectivity, devices, logistics.</w:t>
      </w:r>
    </w:p>
    <w:p>
      <w:pPr>
        <w:pStyle w:val="Compact"/>
        <w:numPr>
          <w:ilvl w:val="0"/>
          <w:numId w:val="1004"/>
        </w:numPr>
      </w:pPr>
      <w:r>
        <w:rPr>
          <w:b/>
          <w:bCs/>
        </w:rPr>
        <w:t xml:space="preserve">Friction:</w:t>
      </w:r>
      <w:r>
        <w:t xml:space="preserve"> </w:t>
      </w:r>
      <w:r>
        <w:t xml:space="preserve">everything between the AI and the customer: trust, distribution, language, regulation, payment, quality risk and liability.</w:t>
      </w:r>
    </w:p>
    <w:p>
      <w:pPr>
        <w:pStyle w:val="FirstParagraph"/>
      </w:pPr>
      <w:r>
        <w:t xml:space="preserve">Two more terms decide whether a spread can become a venture:</w:t>
      </w:r>
    </w:p>
    <w:p>
      <w:pPr>
        <w:pStyle w:val="Compact"/>
        <w:numPr>
          <w:ilvl w:val="0"/>
          <w:numId w:val="1005"/>
        </w:numPr>
      </w:pPr>
      <w:r>
        <w:rPr>
          <w:b/>
          <w:bCs/>
        </w:rPr>
        <w:t xml:space="preserve">Spread half-life:</w:t>
      </w:r>
      <w:r>
        <w:t xml:space="preserve"> </w:t>
      </w:r>
      <w:r>
        <w:t xml:space="preserve">how long before competition, price cuts or regulation halves the spread. Software-only spreads can halve within months; spreads anchored in energy, regulation, trust or expertise can last years.</w:t>
      </w:r>
    </w:p>
    <w:p>
      <w:pPr>
        <w:pStyle w:val="Compact"/>
        <w:numPr>
          <w:ilvl w:val="0"/>
          <w:numId w:val="1005"/>
        </w:numPr>
      </w:pPr>
      <w:r>
        <w:rPr>
          <w:b/>
          <w:bCs/>
        </w:rPr>
        <w:t xml:space="preserve">Moat conversion:</w:t>
      </w:r>
      <w:r>
        <w:t xml:space="preserve"> </w:t>
      </w:r>
      <w:r>
        <w:t xml:space="preserve">how much of the spread can be turned into durable assets before it closes (Section 3.3).</w:t>
      </w:r>
    </w:p>
    <w:p>
      <w:pPr>
        <w:pStyle w:val="BlockText"/>
      </w:pPr>
      <w:r>
        <w:rPr>
          <w:b/>
          <w:bCs/>
        </w:rPr>
        <w:t xml:space="preserve">Venture value ≈ (spread × volume × half-life) + value of the moat that remains when the spread has closed</w:t>
      </w:r>
    </w:p>
    <w:p>
      <w:pPr>
        <w:pStyle w:val="FirstParagraph"/>
      </w:pPr>
      <w:r>
        <w:t xml:space="preserve">Most AI hustles maximize the first term and ignore the second. Durable ventures invest the first term into the second.</w:t>
      </w:r>
    </w:p>
    <w:bookmarkEnd w:id="23"/>
    <w:bookmarkStart w:id="24" w:name="why-ai-spreads-are-opening-now"/>
    <w:p>
      <w:pPr>
        <w:pStyle w:val="Heading2"/>
      </w:pPr>
      <w:r>
        <w:t xml:space="preserve">1.3 Why AI spreads are opening now</w:t>
      </w:r>
    </w:p>
    <w:tbl>
      <w:tblPr>
        <w:tblStyle w:val="Table"/>
        <w:tblW w:w="9360" w:type="dxa"/>
        <w:jc w:val="left"/>
        <w:tblLayout w:type="fixed"/>
        <w:tblLook w:firstRow="1" w:lastRow="0" w:firstColumn="0" w:lastColumn="0" w:noHBand="0" w:noVBand="0" w:val="0020"/>
      </w:tblPr>
      <w:tblGrid>
        <w:gridCol w:w="1459"/>
        <w:gridCol w:w="5753"/>
        <w:gridCol w:w="2148"/>
      </w:tblGrid>
      <w:tr>
        <w:trPr>
          <w:cantSplit/>
          <w:tblHeader w:val="true"/>
        </w:trPr>
        <w:tc>
          <w:tcPr>
            <w:tcW w:w="1459" w:type="dxa"/>
          </w:tcPr>
          <w:p>
            <w:pPr>
              <w:pStyle w:val="TableText"/>
              <w:jc w:val="left"/>
            </w:pPr>
            <w:r>
              <w:t xml:space="preserve">Force</w:t>
            </w:r>
          </w:p>
        </w:tc>
        <w:tc>
          <w:tcPr>
            <w:tcW w:w="5753" w:type="dxa"/>
          </w:tcPr>
          <w:p>
            <w:pPr>
              <w:pStyle w:val="TableText"/>
              <w:jc w:val="left"/>
            </w:pPr>
            <w:r>
              <w:t xml:space="preserve">Evidence</w:t>
            </w:r>
          </w:p>
        </w:tc>
        <w:tc>
          <w:tcPr>
            <w:tcW w:w="2148" w:type="dxa"/>
          </w:tcPr>
          <w:p>
            <w:pPr>
              <w:pStyle w:val="TableText"/>
              <w:jc w:val="left"/>
            </w:pPr>
            <w:r>
              <w:t xml:space="preserve">Spread it creates</w:t>
            </w:r>
          </w:p>
        </w:tc>
      </w:tr>
      <w:tr>
        <w:trPr>
          <w:cantSplit/>
        </w:trPr>
        <w:tc>
          <w:tcPr>
            <w:tcW w:w="1459" w:type="dxa"/>
          </w:tcPr>
          <w:p>
            <w:pPr>
              <w:pStyle w:val="TableText"/>
              <w:jc w:val="left"/>
            </w:pPr>
            <w:r>
              <w:rPr>
                <w:b/>
                <w:bCs/>
              </w:rPr>
              <w:t xml:space="preserve">Collapsing AI cost</w:t>
            </w:r>
          </w:p>
        </w:tc>
        <w:tc>
          <w:tcPr>
            <w:tcW w:w="5753" w:type="dxa"/>
          </w:tcPr>
          <w:p>
            <w:pPr>
              <w:pStyle w:val="TableText"/>
              <w:jc w:val="left"/>
            </w:pPr>
            <w:r>
              <w:t xml:space="preserve">The cost of GPT-3.5-level inference fell from about $20 to about $0.07 per million tokens between late 2022 and late 2024, more than 280-fold (Stanford AI Index 2025); depending on the task, prices have fallen 9–900-fold a year</w:t>
            </w:r>
          </w:p>
        </w:tc>
        <w:tc>
          <w:tcPr>
            <w:tcW w:w="2148" w:type="dxa"/>
          </w:tcPr>
          <w:p>
            <w:pPr>
              <w:pStyle w:val="TableText"/>
              <w:jc w:val="left"/>
            </w:pPr>
            <w:r>
              <w:t xml:space="preserve">Cheap cognition against expensive outcomes (S3, S5–S10)</w:t>
            </w:r>
          </w:p>
        </w:tc>
      </w:tr>
      <w:tr>
        <w:trPr>
          <w:cantSplit/>
        </w:trPr>
        <w:tc>
          <w:tcPr>
            <w:tcW w:w="1459" w:type="dxa"/>
          </w:tcPr>
          <w:p>
            <w:pPr>
              <w:pStyle w:val="TableText"/>
              <w:jc w:val="left"/>
            </w:pPr>
            <w:r>
              <w:rPr>
                <w:b/>
                <w:bCs/>
              </w:rPr>
              <w:t xml:space="preserve">Uneven adoption</w:t>
            </w:r>
          </w:p>
        </w:tc>
        <w:tc>
          <w:tcPr>
            <w:tcW w:w="5753" w:type="dxa"/>
          </w:tcPr>
          <w:p>
            <w:pPr>
              <w:pStyle w:val="TableText"/>
              <w:jc w:val="left"/>
            </w:pPr>
            <w:r>
              <w:t xml:space="preserve">Even in the US, only about 18% of firms used AI in any business function in late 2025 to early 2026, and small firms used it least (US Census Bureau)</w:t>
            </w:r>
          </w:p>
        </w:tc>
        <w:tc>
          <w:tcPr>
            <w:tcW w:w="2148" w:type="dxa"/>
          </w:tcPr>
          <w:p>
            <w:pPr>
              <w:pStyle w:val="TableText"/>
              <w:jc w:val="left"/>
            </w:pPr>
            <w:r>
              <w:t xml:space="preserve">Adoption spread (S3)</w:t>
            </w:r>
          </w:p>
        </w:tc>
      </w:tr>
      <w:tr>
        <w:trPr>
          <w:cantSplit/>
        </w:trPr>
        <w:tc>
          <w:tcPr>
            <w:tcW w:w="1459" w:type="dxa"/>
          </w:tcPr>
          <w:p>
            <w:pPr>
              <w:pStyle w:val="TableText"/>
              <w:jc w:val="left"/>
            </w:pPr>
            <w:r>
              <w:rPr>
                <w:b/>
                <w:bCs/>
              </w:rPr>
              <w:t xml:space="preserve">Volatile, scarce compute</w:t>
            </w:r>
          </w:p>
        </w:tc>
        <w:tc>
          <w:tcPr>
            <w:tcW w:w="5753" w:type="dxa"/>
          </w:tcPr>
          <w:p>
            <w:pPr>
              <w:pStyle w:val="TableText"/>
              <w:jc w:val="left"/>
            </w:pPr>
            <w:r>
              <w:t xml:space="preserve">H100 GPU rental prices fell sharply during 2025, then rose again in 2026 as capacity sold out</w:t>
            </w:r>
          </w:p>
        </w:tc>
        <w:tc>
          <w:tcPr>
            <w:tcW w:w="2148" w:type="dxa"/>
          </w:tcPr>
          <w:p>
            <w:pPr>
              <w:pStyle w:val="TableText"/>
              <w:jc w:val="left"/>
            </w:pPr>
            <w:r>
              <w:t xml:space="preserve">Energy–compute and model-price spreads (S1, S2)</w:t>
            </w:r>
          </w:p>
        </w:tc>
      </w:tr>
      <w:tr>
        <w:trPr>
          <w:cantSplit/>
        </w:trPr>
        <w:tc>
          <w:tcPr>
            <w:tcW w:w="1459" w:type="dxa"/>
          </w:tcPr>
          <w:p>
            <w:pPr>
              <w:pStyle w:val="TableText"/>
              <w:jc w:val="left"/>
            </w:pPr>
            <w:r>
              <w:rPr>
                <w:b/>
                <w:bCs/>
              </w:rPr>
              <w:t xml:space="preserve">Energy constraints</w:t>
            </w:r>
          </w:p>
        </w:tc>
        <w:tc>
          <w:tcPr>
            <w:tcW w:w="5753" w:type="dxa"/>
          </w:tcPr>
          <w:p>
            <w:pPr>
              <w:pStyle w:val="TableText"/>
              <w:jc w:val="left"/>
            </w:pPr>
            <w:r>
              <w:t xml:space="preserve">Data-centre electricity demand is projected to more than double by 2030 (IEA); global gas flaring reached about 151 bcm in 2024, the highest since 2007, and Nigeria’s flaring rose about 12% (World Bank)</w:t>
            </w:r>
          </w:p>
        </w:tc>
        <w:tc>
          <w:tcPr>
            <w:tcW w:w="2148" w:type="dxa"/>
          </w:tcPr>
          <w:p>
            <w:pPr>
              <w:pStyle w:val="TableText"/>
              <w:jc w:val="left"/>
            </w:pPr>
            <w:r>
              <w:t xml:space="preserve">Energy–compute spread (S1)</w:t>
            </w:r>
          </w:p>
        </w:tc>
      </w:tr>
      <w:tr>
        <w:trPr>
          <w:cantSplit/>
        </w:trPr>
        <w:tc>
          <w:tcPr>
            <w:tcW w:w="1459" w:type="dxa"/>
          </w:tcPr>
          <w:p>
            <w:pPr>
              <w:pStyle w:val="TableText"/>
              <w:jc w:val="left"/>
            </w:pPr>
            <w:r>
              <w:rPr>
                <w:b/>
                <w:bCs/>
              </w:rPr>
              <w:t xml:space="preserve">Scarce experts</w:t>
            </w:r>
          </w:p>
        </w:tc>
        <w:tc>
          <w:tcPr>
            <w:tcW w:w="5753" w:type="dxa"/>
          </w:tcPr>
          <w:p>
            <w:pPr>
              <w:pStyle w:val="TableText"/>
              <w:jc w:val="left"/>
            </w:pPr>
            <w:r>
              <w:t xml:space="preserve">Sub-Saharan Africa has about 2 radiologists per million people, against about 93 in high-income countries (IAEA data); Nigeria has perhaps 250–300 radiologists</w:t>
            </w:r>
          </w:p>
        </w:tc>
        <w:tc>
          <w:tcPr>
            <w:tcW w:w="2148" w:type="dxa"/>
          </w:tcPr>
          <w:p>
            <w:pPr>
              <w:pStyle w:val="TableText"/>
              <w:jc w:val="left"/>
            </w:pPr>
            <w:r>
              <w:t xml:space="preserve">Expertise spread (S6)</w:t>
            </w:r>
          </w:p>
        </w:tc>
      </w:tr>
      <w:tr>
        <w:trPr>
          <w:cantSplit/>
        </w:trPr>
        <w:tc>
          <w:tcPr>
            <w:tcW w:w="1459" w:type="dxa"/>
          </w:tcPr>
          <w:p>
            <w:pPr>
              <w:pStyle w:val="TableText"/>
              <w:jc w:val="left"/>
            </w:pPr>
            <w:r>
              <w:rPr>
                <w:b/>
                <w:bCs/>
              </w:rPr>
              <w:t xml:space="preserve">Proven learning gains</w:t>
            </w:r>
          </w:p>
        </w:tc>
        <w:tc>
          <w:tcPr>
            <w:tcW w:w="5753" w:type="dxa"/>
          </w:tcPr>
          <w:p>
            <w:pPr>
              <w:pStyle w:val="TableText"/>
              <w:jc w:val="left"/>
            </w:pPr>
            <w:r>
              <w:t xml:space="preserve">A World Bank trial in Edo State, Nigeria, found AI-assisted tutoring raised scores by about 0.3 standard deviations in six weeks, roughly 1.5–2 years of typical learning</w:t>
            </w:r>
          </w:p>
        </w:tc>
        <w:tc>
          <w:tcPr>
            <w:tcW w:w="2148" w:type="dxa"/>
          </w:tcPr>
          <w:p>
            <w:pPr>
              <w:pStyle w:val="TableText"/>
              <w:jc w:val="left"/>
            </w:pPr>
            <w:r>
              <w:t xml:space="preserve">Learning spread (S7)</w:t>
            </w:r>
          </w:p>
        </w:tc>
      </w:tr>
      <w:tr>
        <w:trPr>
          <w:cantSplit/>
        </w:trPr>
        <w:tc>
          <w:tcPr>
            <w:tcW w:w="1459" w:type="dxa"/>
          </w:tcPr>
          <w:p>
            <w:pPr>
              <w:pStyle w:val="TableText"/>
              <w:jc w:val="left"/>
            </w:pPr>
            <w:r>
              <w:rPr>
                <w:b/>
                <w:bCs/>
              </w:rPr>
              <w:t xml:space="preserve">New rules and deadlines</w:t>
            </w:r>
          </w:p>
        </w:tc>
        <w:tc>
          <w:tcPr>
            <w:tcW w:w="5753" w:type="dxa"/>
          </w:tcPr>
          <w:p>
            <w:pPr>
              <w:pStyle w:val="TableText"/>
              <w:jc w:val="left"/>
            </w:pPr>
            <w:r>
              <w:t xml:space="preserve">Nigeria’s tax reform took effect in January 2026, with filing required even for zero-tax small firms; the EU deforestation regulation applies from 30 December 2026 (30 June 2027 for micro and small operators)</w:t>
            </w:r>
          </w:p>
        </w:tc>
        <w:tc>
          <w:tcPr>
            <w:tcW w:w="2148" w:type="dxa"/>
          </w:tcPr>
          <w:p>
            <w:pPr>
              <w:pStyle w:val="TableText"/>
              <w:jc w:val="left"/>
            </w:pPr>
            <w:r>
              <w:t xml:space="preserve">Compliance and adoption spreads (S3, S10)</w:t>
            </w:r>
          </w:p>
        </w:tc>
      </w:tr>
      <w:tr>
        <w:trPr>
          <w:cantSplit/>
        </w:trPr>
        <w:tc>
          <w:tcPr>
            <w:tcW w:w="1459" w:type="dxa"/>
          </w:tcPr>
          <w:p>
            <w:pPr>
              <w:pStyle w:val="TableText"/>
              <w:jc w:val="left"/>
            </w:pPr>
            <w:r>
              <w:rPr>
                <w:b/>
                <w:bCs/>
              </w:rPr>
              <w:t xml:space="preserve">Language barriers</w:t>
            </w:r>
          </w:p>
        </w:tc>
        <w:tc>
          <w:tcPr>
            <w:tcW w:w="5753" w:type="dxa"/>
          </w:tcPr>
          <w:p>
            <w:pPr>
              <w:pStyle w:val="TableText"/>
              <w:jc w:val="left"/>
            </w:pPr>
            <w:r>
              <w:t xml:space="preserve">Most AI value is created in a few languages; Africa has over 2,000</w:t>
            </w:r>
          </w:p>
        </w:tc>
        <w:tc>
          <w:tcPr>
            <w:tcW w:w="2148" w:type="dxa"/>
          </w:tcPr>
          <w:p>
            <w:pPr>
              <w:pStyle w:val="TableText"/>
              <w:jc w:val="left"/>
            </w:pPr>
            <w:r>
              <w:t xml:space="preserve">Language spread (S4)</w:t>
            </w:r>
          </w:p>
        </w:tc>
      </w:tr>
      <w:tr>
        <w:trPr>
          <w:cantSplit/>
        </w:trPr>
        <w:tc>
          <w:tcPr>
            <w:tcW w:w="1459" w:type="dxa"/>
          </w:tcPr>
          <w:p>
            <w:pPr>
              <w:pStyle w:val="TableText"/>
              <w:jc w:val="left"/>
            </w:pPr>
            <w:r>
              <w:rPr>
                <w:b/>
                <w:bCs/>
              </w:rPr>
              <w:t xml:space="preserve">Service exports under pressure</w:t>
            </w:r>
          </w:p>
        </w:tc>
        <w:tc>
          <w:tcPr>
            <w:tcW w:w="5753" w:type="dxa"/>
          </w:tcPr>
          <w:p>
            <w:pPr>
              <w:pStyle w:val="TableText"/>
              <w:jc w:val="left"/>
            </w:pPr>
            <w:r>
              <w:t xml:space="preserve">The Philippine IT-BPM industry employs about 1.9 million people and earned about $40bn in 2025, and most firms report adopting AI tools</w:t>
            </w:r>
          </w:p>
        </w:tc>
        <w:tc>
          <w:tcPr>
            <w:tcW w:w="2148" w:type="dxa"/>
          </w:tcPr>
          <w:p>
            <w:pPr>
              <w:pStyle w:val="TableText"/>
              <w:jc w:val="left"/>
            </w:pPr>
            <w:r>
              <w:t xml:space="preserve">Labour–skill spread (S5)</w:t>
            </w:r>
          </w:p>
        </w:tc>
      </w:tr>
    </w:tbl>
    <w:bookmarkEnd w:id="24"/>
    <w:bookmarkStart w:id="25" w:name="Xb087f20b34b41f320b64c1374f76c7635524ce7"/>
    <w:p>
      <w:pPr>
        <w:pStyle w:val="Heading2"/>
      </w:pPr>
      <w:r>
        <w:t xml:space="preserve">1.4 Benchmarks: Uber and Airbnb as arbitrage businesses</w:t>
      </w:r>
    </w:p>
    <w:p>
      <w:pPr>
        <w:pStyle w:val="FirstParagraph"/>
      </w:pPr>
      <w:r>
        <w:t xml:space="preserve">Seen through this lens, the first platform era was an arbitrage era.</w:t>
      </w:r>
    </w:p>
    <w:tbl>
      <w:tblPr>
        <w:tblStyle w:val="Table"/>
        <w:tblW w:w="9360" w:type="dxa"/>
        <w:jc w:val="left"/>
        <w:tblLayout w:type="fixed"/>
        <w:tblLook w:firstRow="1" w:lastRow="0" w:firstColumn="0" w:lastColumn="0" w:noHBand="0" w:noVBand="0" w:val="0020"/>
      </w:tblPr>
      <w:tblGrid>
        <w:gridCol w:w="1202"/>
        <w:gridCol w:w="4465"/>
        <w:gridCol w:w="3693"/>
      </w:tblGrid>
      <w:tr>
        <w:trPr>
          <w:cantSplit/>
          <w:tblHeader w:val="true"/>
        </w:trPr>
        <w:tc>
          <w:tcPr>
            <w:tcW w:w="1202" w:type="dxa"/>
          </w:tcPr>
          <w:p>
            <w:pPr>
              <w:pStyle w:val="TableText"/>
            </w:pPr>
          </w:p>
        </w:tc>
        <w:tc>
          <w:tcPr>
            <w:tcW w:w="4465" w:type="dxa"/>
          </w:tcPr>
          <w:p>
            <w:pPr>
              <w:pStyle w:val="TableText"/>
              <w:jc w:val="left"/>
            </w:pPr>
            <w:r>
              <w:rPr>
                <w:b/>
                <w:bCs/>
              </w:rPr>
              <w:t xml:space="preserve">Uber</w:t>
            </w:r>
          </w:p>
        </w:tc>
        <w:tc>
          <w:tcPr>
            <w:tcW w:w="3693" w:type="dxa"/>
          </w:tcPr>
          <w:p>
            <w:pPr>
              <w:pStyle w:val="TableText"/>
              <w:jc w:val="left"/>
            </w:pPr>
            <w:r>
              <w:rPr>
                <w:b/>
                <w:bCs/>
              </w:rPr>
              <w:t xml:space="preserve">Airbnb</w:t>
            </w:r>
          </w:p>
        </w:tc>
      </w:tr>
      <w:tr>
        <w:trPr>
          <w:cantSplit/>
        </w:trPr>
        <w:tc>
          <w:tcPr>
            <w:tcW w:w="1202" w:type="dxa"/>
          </w:tcPr>
          <w:p>
            <w:pPr>
              <w:pStyle w:val="TableText"/>
              <w:jc w:val="left"/>
            </w:pPr>
            <w:r>
              <w:rPr>
                <w:b/>
                <w:bCs/>
              </w:rPr>
              <w:t xml:space="preserve">The spread</w:t>
            </w:r>
          </w:p>
        </w:tc>
        <w:tc>
          <w:tcPr>
            <w:tcW w:w="4465" w:type="dxa"/>
          </w:tcPr>
          <w:p>
            <w:pPr>
              <w:pStyle w:val="TableText"/>
              <w:jc w:val="left"/>
            </w:pPr>
            <w:r>
              <w:t xml:space="preserve">Regulated, medallion-limited taxi prices versus the low marginal cost of idle private cars and drivers’ spare hours</w:t>
            </w:r>
          </w:p>
        </w:tc>
        <w:tc>
          <w:tcPr>
            <w:tcW w:w="3693" w:type="dxa"/>
          </w:tcPr>
          <w:p>
            <w:pPr>
              <w:pStyle w:val="TableText"/>
              <w:jc w:val="left"/>
            </w:pPr>
            <w:r>
              <w:t xml:space="preserve">Hotel rates, especially at peak times, versus the near-zero marginal cost of spare rooms</w:t>
            </w:r>
          </w:p>
        </w:tc>
      </w:tr>
      <w:tr>
        <w:trPr>
          <w:cantSplit/>
        </w:trPr>
        <w:tc>
          <w:tcPr>
            <w:tcW w:w="1202" w:type="dxa"/>
          </w:tcPr>
          <w:p>
            <w:pPr>
              <w:pStyle w:val="TableText"/>
              <w:jc w:val="left"/>
            </w:pPr>
            <w:r>
              <w:rPr>
                <w:b/>
                <w:bCs/>
              </w:rPr>
              <w:t xml:space="preserve">Secondary spreads</w:t>
            </w:r>
          </w:p>
        </w:tc>
        <w:tc>
          <w:tcPr>
            <w:tcW w:w="4465" w:type="dxa"/>
          </w:tcPr>
          <w:p>
            <w:pPr>
              <w:pStyle w:val="TableText"/>
              <w:jc w:val="left"/>
            </w:pPr>
            <w:r>
              <w:t xml:space="preserve">Regulatory (operating outside taxi rules); capital (investor subsidies)</w:t>
            </w:r>
          </w:p>
        </w:tc>
        <w:tc>
          <w:tcPr>
            <w:tcW w:w="3693" w:type="dxa"/>
          </w:tcPr>
          <w:p>
            <w:pPr>
              <w:pStyle w:val="TableText"/>
              <w:jc w:val="left"/>
            </w:pPr>
            <w:r>
              <w:t xml:space="preserve">Regulatory (hotel taxes and zoning); trust (no one else had solved stranger-to-stranger trust at scale)</w:t>
            </w:r>
          </w:p>
        </w:tc>
      </w:tr>
      <w:tr>
        <w:trPr>
          <w:cantSplit/>
        </w:trPr>
        <w:tc>
          <w:tcPr>
            <w:tcW w:w="1202" w:type="dxa"/>
          </w:tcPr>
          <w:p>
            <w:pPr>
              <w:pStyle w:val="TableText"/>
              <w:jc w:val="left"/>
            </w:pPr>
            <w:r>
              <w:rPr>
                <w:b/>
                <w:bCs/>
              </w:rPr>
              <w:t xml:space="preserve">How the spread closed</w:t>
            </w:r>
          </w:p>
        </w:tc>
        <w:tc>
          <w:tcPr>
            <w:tcW w:w="4465" w:type="dxa"/>
          </w:tcPr>
          <w:p>
            <w:pPr>
              <w:pStyle w:val="TableText"/>
              <w:jc w:val="left"/>
            </w:pPr>
            <w:r>
              <w:t xml:space="preserve">Medallion values collapsed; subsidies ended and prices rose; driver earnings converged to their reservation wage (Volume I, Part II); regulation arrived</w:t>
            </w:r>
          </w:p>
        </w:tc>
        <w:tc>
          <w:tcPr>
            <w:tcW w:w="3693" w:type="dxa"/>
          </w:tcPr>
          <w:p>
            <w:pPr>
              <w:pStyle w:val="TableText"/>
              <w:jc w:val="left"/>
            </w:pPr>
            <w:r>
              <w:t xml:space="preserve">Hotels responded; regulation capped listings in high-demand cities; fees rose</w:t>
            </w:r>
          </w:p>
        </w:tc>
      </w:tr>
      <w:tr>
        <w:trPr>
          <w:cantSplit/>
        </w:trPr>
        <w:tc>
          <w:tcPr>
            <w:tcW w:w="1202" w:type="dxa"/>
          </w:tcPr>
          <w:p>
            <w:pPr>
              <w:pStyle w:val="TableText"/>
              <w:jc w:val="left"/>
            </w:pPr>
            <w:r>
              <w:rPr>
                <w:b/>
                <w:bCs/>
              </w:rPr>
              <w:t xml:space="preserve">What lasted</w:t>
            </w:r>
          </w:p>
        </w:tc>
        <w:tc>
          <w:tcPr>
            <w:tcW w:w="4465" w:type="dxa"/>
          </w:tcPr>
          <w:p>
            <w:pPr>
              <w:pStyle w:val="TableText"/>
              <w:jc w:val="left"/>
            </w:pPr>
            <w:r>
              <w:t xml:space="preserve">A global network, data, brand, and multi-sided expansion (delivery, freight, AV aggregation)</w:t>
            </w:r>
          </w:p>
        </w:tc>
        <w:tc>
          <w:tcPr>
            <w:tcW w:w="3693" w:type="dxa"/>
          </w:tcPr>
          <w:p>
            <w:pPr>
              <w:pStyle w:val="TableText"/>
              <w:jc w:val="left"/>
            </w:pPr>
            <w:r>
              <w:t xml:space="preserve">A trust system, unique supply, brand and community</w:t>
            </w:r>
          </w:p>
        </w:tc>
      </w:tr>
      <w:tr>
        <w:trPr>
          <w:cantSplit/>
        </w:trPr>
        <w:tc>
          <w:tcPr>
            <w:tcW w:w="1202" w:type="dxa"/>
          </w:tcPr>
          <w:p>
            <w:pPr>
              <w:pStyle w:val="TableText"/>
              <w:jc w:val="left"/>
            </w:pPr>
            <w:r>
              <w:rPr>
                <w:b/>
                <w:bCs/>
              </w:rPr>
              <w:t xml:space="preserve">Lesson</w:t>
            </w:r>
          </w:p>
        </w:tc>
        <w:tc>
          <w:tcPr>
            <w:tcW w:w="4465" w:type="dxa"/>
          </w:tcPr>
          <w:p>
            <w:pPr>
              <w:pStyle w:val="TableText"/>
              <w:jc w:val="left"/>
            </w:pPr>
            <w:r>
              <w:t xml:space="preserve">The pricing spread was the door; the network was the house</w:t>
            </w:r>
          </w:p>
        </w:tc>
        <w:tc>
          <w:tcPr>
            <w:tcW w:w="3693" w:type="dxa"/>
          </w:tcPr>
          <w:p>
            <w:pPr>
              <w:pStyle w:val="TableText"/>
              <w:jc w:val="left"/>
            </w:pPr>
            <w:r>
              <w:t xml:space="preserve">The price spread was the door; trust was the house</w:t>
            </w:r>
          </w:p>
        </w:tc>
      </w:tr>
    </w:tbl>
    <w:p>
      <w:pPr>
        <w:pStyle w:val="BodyText"/>
        <w:spacing w:before="160"/>
      </w:pPr>
      <w:r>
        <w:t xml:space="preserve">Volume I’s study of failed</w:t>
      </w:r>
      <w:r>
        <w:t xml:space="preserve"> </w:t>
      </w:r>
      <w:r>
        <w:t xml:space="preserve">“</w:t>
      </w:r>
      <w:r>
        <w:t xml:space="preserve">Uber for X</w:t>
      </w:r>
      <w:r>
        <w:t xml:space="preserve">”</w:t>
      </w:r>
      <w:r>
        <w:t xml:space="preserve"> </w:t>
      </w:r>
      <w:r>
        <w:t xml:space="preserve">startups adds the negative cases.</w:t>
      </w:r>
      <w:r>
        <w:t xml:space="preserve"> </w:t>
      </w:r>
      <w:r>
        <w:rPr>
          <w:b/>
          <w:bCs/>
        </w:rPr>
        <w:t xml:space="preserve">Washio’s</w:t>
      </w:r>
      <w:r>
        <w:t xml:space="preserve"> </w:t>
      </w:r>
      <w:r>
        <w:t xml:space="preserve">spread was too thin to cover logistics;</w:t>
      </w:r>
      <w:r>
        <w:t xml:space="preserve"> </w:t>
      </w:r>
      <w:r>
        <w:rPr>
          <w:b/>
          <w:bCs/>
        </w:rPr>
        <w:t xml:space="preserve">Homejoy’s</w:t>
      </w:r>
      <w:r>
        <w:t xml:space="preserve"> </w:t>
      </w:r>
      <w:r>
        <w:t xml:space="preserve">leaked as customers went direct. Neither converted its spread into a moat before it closed.</w:t>
      </w:r>
    </w:p>
    <w:bookmarkEnd w:id="25"/>
    <w:bookmarkStart w:id="26" w:name="five-laws-of-ai-arbitrage"/>
    <w:p>
      <w:pPr>
        <w:pStyle w:val="Heading2"/>
      </w:pPr>
      <w:r>
        <w:t xml:space="preserve">1.5 Five laws of AI arbitrage</w:t>
      </w:r>
    </w:p>
    <w:p>
      <w:pPr>
        <w:pStyle w:val="FirstParagraph"/>
      </w:pPr>
      <w:r>
        <w:t xml:space="preserve">Volume II distilled twelve laws of platform disruption. AI arbitrage adds five:</w:t>
      </w:r>
    </w:p>
    <w:tbl>
      <w:tblPr>
        <w:tblStyle w:val="Table"/>
        <w:tblW w:w="9360" w:type="dxa"/>
        <w:jc w:val="left"/>
        <w:tblLayout w:type="fixed"/>
        <w:tblLook w:firstRow="1" w:lastRow="0" w:firstColumn="0" w:lastColumn="0" w:noHBand="0" w:noVBand="0" w:val="0020"/>
      </w:tblPr>
      <w:tblGrid>
        <w:gridCol w:w="429"/>
        <w:gridCol w:w="1975"/>
        <w:gridCol w:w="6956"/>
      </w:tblGrid>
      <w:tr>
        <w:trPr>
          <w:cantSplit/>
          <w:tblHeader w:val="true"/>
        </w:trPr>
        <w:tc>
          <w:tcPr>
            <w:tcW w:w="429" w:type="dxa"/>
          </w:tcPr>
          <w:p>
            <w:pPr>
              <w:pStyle w:val="TableText"/>
              <w:jc w:val="left"/>
            </w:pPr>
            <w:r>
              <w:t xml:space="preserve">#</w:t>
            </w:r>
          </w:p>
        </w:tc>
        <w:tc>
          <w:tcPr>
            <w:tcW w:w="1975" w:type="dxa"/>
          </w:tcPr>
          <w:p>
            <w:pPr>
              <w:pStyle w:val="TableText"/>
              <w:jc w:val="left"/>
            </w:pPr>
            <w:r>
              <w:t xml:space="preserve">Law</w:t>
            </w:r>
          </w:p>
        </w:tc>
        <w:tc>
          <w:tcPr>
            <w:tcW w:w="6956" w:type="dxa"/>
          </w:tcPr>
          <w:p>
            <w:pPr>
              <w:pStyle w:val="TableText"/>
              <w:jc w:val="left"/>
            </w:pPr>
            <w:r>
              <w:t xml:space="preserve">Statement</w:t>
            </w:r>
          </w:p>
        </w:tc>
      </w:tr>
      <w:tr>
        <w:trPr>
          <w:cantSplit/>
        </w:trPr>
        <w:tc>
          <w:tcPr>
            <w:tcW w:w="429" w:type="dxa"/>
          </w:tcPr>
          <w:p>
            <w:pPr>
              <w:pStyle w:val="TableText"/>
              <w:jc w:val="left"/>
            </w:pPr>
            <w:r>
              <w:t xml:space="preserve">A1</w:t>
            </w:r>
          </w:p>
        </w:tc>
        <w:tc>
          <w:tcPr>
            <w:tcW w:w="1975" w:type="dxa"/>
          </w:tcPr>
          <w:p>
            <w:pPr>
              <w:pStyle w:val="TableText"/>
              <w:jc w:val="left"/>
            </w:pPr>
            <w:r>
              <w:rPr>
                <w:b/>
                <w:bCs/>
              </w:rPr>
              <w:t xml:space="preserve">The closing law</w:t>
            </w:r>
            <w:r>
              <w:t xml:space="preserve"> </w:t>
            </w:r>
            <w:r>
              <w:t xml:space="preserve">(Kirzner)</w:t>
            </w:r>
          </w:p>
        </w:tc>
        <w:tc>
          <w:tcPr>
            <w:tcW w:w="6956" w:type="dxa"/>
          </w:tcPr>
          <w:p>
            <w:pPr>
              <w:pStyle w:val="TableText"/>
              <w:jc w:val="left"/>
            </w:pPr>
            <w:r>
              <w:t xml:space="preserve">Every spread attracts entrants, and entrants close it. Plan for the spread’s half-life, not its peak.</w:t>
            </w:r>
          </w:p>
        </w:tc>
      </w:tr>
      <w:tr>
        <w:trPr>
          <w:cantSplit/>
        </w:trPr>
        <w:tc>
          <w:tcPr>
            <w:tcW w:w="429" w:type="dxa"/>
          </w:tcPr>
          <w:p>
            <w:pPr>
              <w:pStyle w:val="TableText"/>
              <w:jc w:val="left"/>
            </w:pPr>
            <w:r>
              <w:t xml:space="preserve">A2</w:t>
            </w:r>
          </w:p>
        </w:tc>
        <w:tc>
          <w:tcPr>
            <w:tcW w:w="1975" w:type="dxa"/>
          </w:tcPr>
          <w:p>
            <w:pPr>
              <w:pStyle w:val="TableText"/>
              <w:jc w:val="left"/>
            </w:pPr>
            <w:r>
              <w:rPr>
                <w:b/>
                <w:bCs/>
              </w:rPr>
              <w:t xml:space="preserve">The Jevons law</w:t>
            </w:r>
          </w:p>
        </w:tc>
        <w:tc>
          <w:tcPr>
            <w:tcW w:w="6956" w:type="dxa"/>
          </w:tcPr>
          <w:p>
            <w:pPr>
              <w:pStyle w:val="TableText"/>
              <w:jc w:val="left"/>
            </w:pPr>
            <w:r>
              <w:t xml:space="preserve">When intelligence gets cheaper, total use rises, so demand for compute, energy, data and human oversight rises too.</w:t>
            </w:r>
          </w:p>
        </w:tc>
      </w:tr>
      <w:tr>
        <w:trPr>
          <w:cantSplit/>
        </w:trPr>
        <w:tc>
          <w:tcPr>
            <w:tcW w:w="429" w:type="dxa"/>
          </w:tcPr>
          <w:p>
            <w:pPr>
              <w:pStyle w:val="TableText"/>
              <w:jc w:val="left"/>
            </w:pPr>
            <w:r>
              <w:t xml:space="preserve">A3</w:t>
            </w:r>
          </w:p>
        </w:tc>
        <w:tc>
          <w:tcPr>
            <w:tcW w:w="1975" w:type="dxa"/>
          </w:tcPr>
          <w:p>
            <w:pPr>
              <w:pStyle w:val="TableText"/>
              <w:jc w:val="left"/>
            </w:pPr>
            <w:r>
              <w:rPr>
                <w:b/>
                <w:bCs/>
              </w:rPr>
              <w:t xml:space="preserve">The bottleneck law</w:t>
            </w:r>
            <w:r>
              <w:t xml:space="preserve"> </w:t>
            </w:r>
            <w:r>
              <w:t xml:space="preserve">(theory of constraints)</w:t>
            </w:r>
          </w:p>
        </w:tc>
        <w:tc>
          <w:tcPr>
            <w:tcW w:w="6956" w:type="dxa"/>
          </w:tcPr>
          <w:p>
            <w:pPr>
              <w:pStyle w:val="TableText"/>
              <w:jc w:val="left"/>
            </w:pPr>
            <w:r>
              <w:t xml:space="preserve">Cheap cognition moves the bottleneck to whatever is still scarce: trust, energy, physical action, data rights, distribution, legitimacy. The best spreads sit at the new bottleneck.</w:t>
            </w:r>
          </w:p>
        </w:tc>
      </w:tr>
      <w:tr>
        <w:trPr>
          <w:cantSplit/>
        </w:trPr>
        <w:tc>
          <w:tcPr>
            <w:tcW w:w="429" w:type="dxa"/>
          </w:tcPr>
          <w:p>
            <w:pPr>
              <w:pStyle w:val="TableText"/>
              <w:jc w:val="left"/>
            </w:pPr>
            <w:r>
              <w:t xml:space="preserve">A4</w:t>
            </w:r>
          </w:p>
        </w:tc>
        <w:tc>
          <w:tcPr>
            <w:tcW w:w="1975" w:type="dxa"/>
          </w:tcPr>
          <w:p>
            <w:pPr>
              <w:pStyle w:val="TableText"/>
              <w:jc w:val="left"/>
            </w:pPr>
            <w:r>
              <w:rPr>
                <w:b/>
                <w:bCs/>
              </w:rPr>
              <w:t xml:space="preserve">The Baumol law</w:t>
            </w:r>
          </w:p>
        </w:tc>
        <w:tc>
          <w:tcPr>
            <w:tcW w:w="6956" w:type="dxa"/>
          </w:tcPr>
          <w:p>
            <w:pPr>
              <w:pStyle w:val="TableText"/>
              <w:jc w:val="left"/>
            </w:pPr>
            <w:r>
              <w:t xml:space="preserve">The rules of the game decide whether arbitrage is productive, unproductive or destructive. Where rules are weak, the most profitable arbitrage is often harmful.</w:t>
            </w:r>
          </w:p>
        </w:tc>
      </w:tr>
      <w:tr>
        <w:trPr>
          <w:cantSplit/>
        </w:trPr>
        <w:tc>
          <w:tcPr>
            <w:tcW w:w="429" w:type="dxa"/>
          </w:tcPr>
          <w:p>
            <w:pPr>
              <w:pStyle w:val="TableText"/>
              <w:jc w:val="left"/>
            </w:pPr>
            <w:r>
              <w:t xml:space="preserve">A5</w:t>
            </w:r>
          </w:p>
        </w:tc>
        <w:tc>
          <w:tcPr>
            <w:tcW w:w="1975" w:type="dxa"/>
          </w:tcPr>
          <w:p>
            <w:pPr>
              <w:pStyle w:val="TableText"/>
              <w:jc w:val="left"/>
            </w:pPr>
            <w:r>
              <w:rPr>
                <w:b/>
                <w:bCs/>
              </w:rPr>
              <w:t xml:space="preserve">The sharing law</w:t>
            </w:r>
            <w:r>
              <w:t xml:space="preserve"> </w:t>
            </w:r>
            <w:r>
              <w:t xml:space="preserve">(Polanyi)</w:t>
            </w:r>
          </w:p>
        </w:tc>
        <w:tc>
          <w:tcPr>
            <w:tcW w:w="6956" w:type="dxa"/>
          </w:tcPr>
          <w:p>
            <w:pPr>
              <w:pStyle w:val="TableText"/>
              <w:jc w:val="left"/>
            </w:pPr>
            <w:r>
              <w:t xml:space="preserve">Who captures the spread decides the venture’s legitimacy. Spreads extracted from workers, communities or users invite the double movement; spreads shared with them build allies.</w:t>
            </w:r>
          </w:p>
        </w:tc>
      </w:tr>
    </w:tbl>
    <w:bookmarkEnd w:id="26"/>
    <w:bookmarkEnd w:id="27"/>
    <w:bookmarkStart w:id="37" w:name="part-2-theory-system-dynamics-and-ethics"/>
    <w:p>
      <w:pPr>
        <w:pStyle w:val="Heading1"/>
      </w:pPr>
      <w:r>
        <w:t xml:space="preserve">Part 2: Theory, System Dynamics and Ethics</w:t>
      </w:r>
    </w:p>
    <w:bookmarkStart w:id="28" w:name="X900530cdd6a66d08e34e150e131eb1c32ec90c9"/>
    <w:p>
      <w:pPr>
        <w:pStyle w:val="Heading2"/>
      </w:pPr>
      <w:r>
        <w:t xml:space="preserve">2.1 Kirzner and Schumpeter: two kinds of entrepreneur</w:t>
      </w:r>
    </w:p>
    <w:p>
      <w:pPr>
        <w:pStyle w:val="FirstParagraph"/>
      </w:pPr>
      <w:r>
        <w:t xml:space="preserve">Israel Kirzner (</w:t>
      </w:r>
      <w:r>
        <w:rPr>
          <w:i/>
          <w:iCs/>
        </w:rPr>
        <w:t xml:space="preserve">Competition and Entrepreneurship</w:t>
      </w:r>
      <w:r>
        <w:t xml:space="preserve">, 1973) described the entrepreneur as an</w:t>
      </w:r>
      <w:r>
        <w:t xml:space="preserve"> </w:t>
      </w:r>
      <w:r>
        <w:rPr>
          <w:b/>
          <w:bCs/>
        </w:rPr>
        <w:t xml:space="preserve">alert arbitrageur</w:t>
      </w:r>
      <w:r>
        <w:t xml:space="preserve"> </w:t>
      </w:r>
      <w:r>
        <w:t xml:space="preserve">who notices price differences others have missed and, by acting on them, pushes markets toward equilibrium. Joseph Schumpeter described the entrepreneur as a</w:t>
      </w:r>
      <w:r>
        <w:t xml:space="preserve"> </w:t>
      </w:r>
      <w:r>
        <w:rPr>
          <w:b/>
          <w:bCs/>
        </w:rPr>
        <w:t xml:space="preserve">creative destroyer</w:t>
      </w:r>
      <w:r>
        <w:t xml:space="preserve"> </w:t>
      </w:r>
      <w:r>
        <w:t xml:space="preserve">who introduces new combinations that overturn equilibrium altogether.</w:t>
      </w:r>
    </w:p>
    <w:p>
      <w:pPr>
        <w:pStyle w:val="BodyText"/>
      </w:pPr>
      <w:r>
        <w:t xml:space="preserve">AI arbitrage</w:t>
      </w:r>
      <w:r>
        <w:t xml:space="preserve"> </w:t>
      </w:r>
      <w:r>
        <w:rPr>
          <w:i/>
          <w:iCs/>
        </w:rPr>
        <w:t xml:space="preserve">starts</w:t>
      </w:r>
      <w:r>
        <w:t xml:space="preserve"> </w:t>
      </w:r>
      <w:r>
        <w:t xml:space="preserve">Kirznerian: it notices that an outcome which used to need a scarce expert can now be produced cheaply, and it moves value across the gap. A venture that stays Kirznerian disappears when the gap closes. To last, it must</w:t>
      </w:r>
      <w:r>
        <w:t xml:space="preserve"> </w:t>
      </w:r>
      <w:r>
        <w:rPr>
          <w:i/>
          <w:iCs/>
        </w:rPr>
        <w:t xml:space="preserve">become</w:t>
      </w:r>
      <w:r>
        <w:t xml:space="preserve"> </w:t>
      </w:r>
      <w:r>
        <w:t xml:space="preserve">Schumpeterian. It must use the spread to build something new that changes the structure of the market: a trust network, a cooperative, a public data commons, a new profession. Uber and Airbnb made exactly this transition.</w:t>
      </w:r>
    </w:p>
    <w:bookmarkEnd w:id="28"/>
    <w:bookmarkStart w:id="29" w:name="X27c16a2c705cc4e2c6f2d2f7e5d6bf29ca13004"/>
    <w:p>
      <w:pPr>
        <w:pStyle w:val="Heading2"/>
      </w:pPr>
      <w:r>
        <w:t xml:space="preserve">2.2 Baumol: productive, unproductive and destructive arbitrage</w:t>
      </w:r>
    </w:p>
    <w:p>
      <w:pPr>
        <w:pStyle w:val="FirstParagraph"/>
      </w:pPr>
      <w:r>
        <w:t xml:space="preserve">William Baumol (</w:t>
      </w:r>
      <w:r>
        <w:t xml:space="preserve">“</w:t>
      </w:r>
      <w:r>
        <w:t xml:space="preserve">Entrepreneurship: Productive, Unproductive, and Destructive</w:t>
      </w:r>
      <w:r>
        <w:t xml:space="preserve">”</w:t>
      </w:r>
      <w:r>
        <w:t xml:space="preserve">, 1990) argued that the supply of entrepreneurial energy is roughly constant across societies. What differs is</w:t>
      </w:r>
      <w:r>
        <w:t xml:space="preserve"> </w:t>
      </w:r>
      <w:r>
        <w:rPr>
          <w:b/>
          <w:bCs/>
        </w:rPr>
        <w:t xml:space="preserve">where the rules of the game direct it</w:t>
      </w:r>
      <w:r>
        <w:t xml:space="preserve">: toward innovation (productive), toward rent-seeking (unproductive) or toward activities that destroy value (destructive).</w:t>
      </w:r>
    </w:p>
    <w:tbl>
      <w:tblPr>
        <w:tblStyle w:val="Table"/>
        <w:tblW w:w="9360" w:type="dxa"/>
        <w:jc w:val="left"/>
        <w:tblLayout w:type="fixed"/>
        <w:tblLook w:firstRow="1" w:lastRow="0" w:firstColumn="0" w:lastColumn="0" w:noHBand="0" w:noVBand="0" w:val="0020"/>
      </w:tblPr>
      <w:tblGrid>
        <w:gridCol w:w="1287"/>
        <w:gridCol w:w="4551"/>
        <w:gridCol w:w="3522"/>
      </w:tblGrid>
      <w:tr>
        <w:trPr>
          <w:cantSplit/>
          <w:tblHeader w:val="true"/>
        </w:trPr>
        <w:tc>
          <w:tcPr>
            <w:tcW w:w="1287" w:type="dxa"/>
          </w:tcPr>
          <w:p>
            <w:pPr>
              <w:pStyle w:val="TableText"/>
              <w:jc w:val="left"/>
            </w:pPr>
            <w:r>
              <w:t xml:space="preserve">Kind</w:t>
            </w:r>
          </w:p>
        </w:tc>
        <w:tc>
          <w:tcPr>
            <w:tcW w:w="4551" w:type="dxa"/>
          </w:tcPr>
          <w:p>
            <w:pPr>
              <w:pStyle w:val="TableText"/>
              <w:jc w:val="left"/>
            </w:pPr>
            <w:r>
              <w:t xml:space="preserve">AI arbitrage example</w:t>
            </w:r>
          </w:p>
        </w:tc>
        <w:tc>
          <w:tcPr>
            <w:tcW w:w="3522" w:type="dxa"/>
          </w:tcPr>
          <w:p>
            <w:pPr>
              <w:pStyle w:val="TableText"/>
              <w:jc w:val="left"/>
            </w:pPr>
            <w:r>
              <w:t xml:space="preserve">Effect</w:t>
            </w:r>
          </w:p>
        </w:tc>
      </w:tr>
      <w:tr>
        <w:trPr>
          <w:cantSplit/>
        </w:trPr>
        <w:tc>
          <w:tcPr>
            <w:tcW w:w="1287" w:type="dxa"/>
          </w:tcPr>
          <w:p>
            <w:pPr>
              <w:pStyle w:val="TableText"/>
              <w:jc w:val="left"/>
            </w:pPr>
            <w:r>
              <w:rPr>
                <w:b/>
                <w:bCs/>
              </w:rPr>
              <w:t xml:space="preserve">Productive</w:t>
            </w:r>
          </w:p>
        </w:tc>
        <w:tc>
          <w:tcPr>
            <w:tcW w:w="4551" w:type="dxa"/>
          </w:tcPr>
          <w:p>
            <w:pPr>
              <w:pStyle w:val="TableText"/>
              <w:jc w:val="left"/>
            </w:pPr>
            <w:r>
              <w:t xml:space="preserve">AI-assisted tutoring that brings one-to-one learning to students who could never afford it</w:t>
            </w:r>
          </w:p>
        </w:tc>
        <w:tc>
          <w:tcPr>
            <w:tcW w:w="3522" w:type="dxa"/>
          </w:tcPr>
          <w:p>
            <w:pPr>
              <w:pStyle w:val="TableText"/>
              <w:jc w:val="left"/>
            </w:pPr>
            <w:r>
              <w:t xml:space="preserve">Closes a real gap; creates capability</w:t>
            </w:r>
          </w:p>
        </w:tc>
      </w:tr>
      <w:tr>
        <w:trPr>
          <w:cantSplit/>
        </w:trPr>
        <w:tc>
          <w:tcPr>
            <w:tcW w:w="1287" w:type="dxa"/>
          </w:tcPr>
          <w:p>
            <w:pPr>
              <w:pStyle w:val="TableText"/>
              <w:jc w:val="left"/>
            </w:pPr>
            <w:r>
              <w:rPr>
                <w:b/>
                <w:bCs/>
              </w:rPr>
              <w:t xml:space="preserve">Unproductive</w:t>
            </w:r>
          </w:p>
        </w:tc>
        <w:tc>
          <w:tcPr>
            <w:tcW w:w="4551" w:type="dxa"/>
          </w:tcPr>
          <w:p>
            <w:pPr>
              <w:pStyle w:val="TableText"/>
              <w:jc w:val="left"/>
            </w:pPr>
            <w:r>
              <w:t xml:space="preserve">Reselling a general-purpose chatbot under a new name with exaggerated claims</w:t>
            </w:r>
          </w:p>
        </w:tc>
        <w:tc>
          <w:tcPr>
            <w:tcW w:w="3522" w:type="dxa"/>
          </w:tcPr>
          <w:p>
            <w:pPr>
              <w:pStyle w:val="TableText"/>
              <w:jc w:val="left"/>
            </w:pPr>
            <w:r>
              <w:t xml:space="preserve">Captures a spread without creating capability; disappears when buyers learn</w:t>
            </w:r>
          </w:p>
        </w:tc>
      </w:tr>
      <w:tr>
        <w:trPr>
          <w:cantSplit/>
        </w:trPr>
        <w:tc>
          <w:tcPr>
            <w:tcW w:w="1287" w:type="dxa"/>
          </w:tcPr>
          <w:p>
            <w:pPr>
              <w:pStyle w:val="TableText"/>
              <w:jc w:val="left"/>
            </w:pPr>
            <w:r>
              <w:rPr>
                <w:b/>
                <w:bCs/>
              </w:rPr>
              <w:t xml:space="preserve">Destructive</w:t>
            </w:r>
          </w:p>
        </w:tc>
        <w:tc>
          <w:tcPr>
            <w:tcW w:w="4551" w:type="dxa"/>
          </w:tcPr>
          <w:p>
            <w:pPr>
              <w:pStyle w:val="TableText"/>
              <w:jc w:val="left"/>
            </w:pPr>
            <w:r>
              <w:t xml:space="preserve">Deepfake impersonation scams; AI content farms polluting search; predatory AI-scored loans</w:t>
            </w:r>
          </w:p>
        </w:tc>
        <w:tc>
          <w:tcPr>
            <w:tcW w:w="3522" w:type="dxa"/>
          </w:tcPr>
          <w:p>
            <w:pPr>
              <w:pStyle w:val="TableText"/>
              <w:jc w:val="left"/>
            </w:pPr>
            <w:r>
              <w:t xml:space="preserve">Profits by creating harm; triggers backlash and regulation</w:t>
            </w:r>
          </w:p>
        </w:tc>
      </w:tr>
    </w:tbl>
    <w:p>
      <w:pPr>
        <w:pStyle w:val="BodyText"/>
        <w:spacing w:before="160"/>
      </w:pPr>
      <w:r>
        <w:t xml:space="preserve">The lesson for founders and policymakers is the same:</w:t>
      </w:r>
      <w:r>
        <w:t xml:space="preserve"> </w:t>
      </w:r>
      <w:r>
        <w:rPr>
          <w:b/>
          <w:bCs/>
        </w:rPr>
        <w:t xml:space="preserve">design the rules so that the most profitable arbitrage is also the most productive.</w:t>
      </w:r>
      <w:r>
        <w:t xml:space="preserve"> </w:t>
      </w:r>
      <w:r>
        <w:t xml:space="preserve">This is why the framework includes the Productive Arbitrage Test and the Dark Decagon (Sections 3.5 and 3.6).</w:t>
      </w:r>
    </w:p>
    <w:bookmarkEnd w:id="29"/>
    <w:bookmarkStart w:id="30" w:name="X8c0229c1c437b4f682dd82429b8231ddd2937a2"/>
    <w:p>
      <w:pPr>
        <w:pStyle w:val="Heading2"/>
      </w:pPr>
      <w:r>
        <w:t xml:space="preserve">2.3 Ricardo reshuffled: comparative advantage in the AI era</w:t>
      </w:r>
    </w:p>
    <w:p>
      <w:pPr>
        <w:pStyle w:val="FirstParagraph"/>
      </w:pPr>
      <w:r>
        <w:t xml:space="preserve">David Ricardo showed that countries gain by specializing in what they do</w:t>
      </w:r>
      <w:r>
        <w:t xml:space="preserve"> </w:t>
      </w:r>
      <w:r>
        <w:rPr>
          <w:i/>
          <w:iCs/>
        </w:rPr>
        <w:t xml:space="preserve">relatively</w:t>
      </w:r>
      <w:r>
        <w:t xml:space="preserve"> </w:t>
      </w:r>
      <w:r>
        <w:t xml:space="preserve">best. AI is reshuffling comparative advantage. Routine cognitive work, once the basis of offshoring, is becoming cheap everywhere. New sources of comparative advantage emerge, and several favour Africa:</w:t>
      </w:r>
    </w:p>
    <w:tbl>
      <w:tblPr>
        <w:tblStyle w:val="Table"/>
        <w:tblW w:w="9360" w:type="dxa"/>
        <w:jc w:val="left"/>
        <w:tblLayout w:type="fixed"/>
        <w:tblLook w:firstRow="1" w:lastRow="0" w:firstColumn="0" w:lastColumn="0" w:noHBand="0" w:noVBand="0" w:val="0020"/>
      </w:tblPr>
      <w:tblGrid>
        <w:gridCol w:w="2575"/>
        <w:gridCol w:w="3606"/>
        <w:gridCol w:w="3179"/>
      </w:tblGrid>
      <w:tr>
        <w:trPr>
          <w:cantSplit/>
          <w:tblHeader w:val="true"/>
        </w:trPr>
        <w:tc>
          <w:tcPr>
            <w:tcW w:w="2575" w:type="dxa"/>
          </w:tcPr>
          <w:p>
            <w:pPr>
              <w:pStyle w:val="TableText"/>
              <w:jc w:val="left"/>
            </w:pPr>
            <w:r>
              <w:t xml:space="preserve">New comparative advantage</w:t>
            </w:r>
          </w:p>
        </w:tc>
        <w:tc>
          <w:tcPr>
            <w:tcW w:w="3606" w:type="dxa"/>
          </w:tcPr>
          <w:p>
            <w:pPr>
              <w:pStyle w:val="TableText"/>
              <w:jc w:val="left"/>
            </w:pPr>
            <w:r>
              <w:t xml:space="preserve">Why it matters in the AI era</w:t>
            </w:r>
          </w:p>
        </w:tc>
        <w:tc>
          <w:tcPr>
            <w:tcW w:w="3179" w:type="dxa"/>
          </w:tcPr>
          <w:p>
            <w:pPr>
              <w:pStyle w:val="TableText"/>
              <w:jc w:val="left"/>
            </w:pPr>
            <w:r>
              <w:t xml:space="preserve">African position</w:t>
            </w:r>
          </w:p>
        </w:tc>
      </w:tr>
      <w:tr>
        <w:trPr>
          <w:cantSplit/>
        </w:trPr>
        <w:tc>
          <w:tcPr>
            <w:tcW w:w="2575" w:type="dxa"/>
          </w:tcPr>
          <w:p>
            <w:pPr>
              <w:pStyle w:val="TableText"/>
              <w:jc w:val="left"/>
            </w:pPr>
            <w:r>
              <w:rPr>
                <w:b/>
                <w:bCs/>
              </w:rPr>
              <w:t xml:space="preserve">Young, connected workforce</w:t>
            </w:r>
          </w:p>
        </w:tc>
        <w:tc>
          <w:tcPr>
            <w:tcW w:w="3606" w:type="dxa"/>
          </w:tcPr>
          <w:p>
            <w:pPr>
              <w:pStyle w:val="TableText"/>
              <w:jc w:val="left"/>
            </w:pPr>
            <w:r>
              <w:t xml:space="preserve">Human oversight, physical tasks and trust work grow as AI spreads</w:t>
            </w:r>
          </w:p>
        </w:tc>
        <w:tc>
          <w:tcPr>
            <w:tcW w:w="3179" w:type="dxa"/>
          </w:tcPr>
          <w:p>
            <w:pPr>
              <w:pStyle w:val="TableText"/>
              <w:jc w:val="left"/>
            </w:pPr>
            <w:r>
              <w:t xml:space="preserve">The world’s youngest population</w:t>
            </w:r>
          </w:p>
        </w:tc>
      </w:tr>
      <w:tr>
        <w:trPr>
          <w:cantSplit/>
        </w:trPr>
        <w:tc>
          <w:tcPr>
            <w:tcW w:w="2575" w:type="dxa"/>
          </w:tcPr>
          <w:p>
            <w:pPr>
              <w:pStyle w:val="TableText"/>
              <w:jc w:val="left"/>
            </w:pPr>
            <w:r>
              <w:rPr>
                <w:b/>
                <w:bCs/>
              </w:rPr>
              <w:t xml:space="preserve">Energy, especially stranded and solar</w:t>
            </w:r>
          </w:p>
        </w:tc>
        <w:tc>
          <w:tcPr>
            <w:tcW w:w="3606" w:type="dxa"/>
          </w:tcPr>
          <w:p>
            <w:pPr>
              <w:pStyle w:val="TableText"/>
              <w:jc w:val="left"/>
            </w:pPr>
            <w:r>
              <w:t xml:space="preserve">Compute is energy-bound</w:t>
            </w:r>
          </w:p>
        </w:tc>
        <w:tc>
          <w:tcPr>
            <w:tcW w:w="3179" w:type="dxa"/>
          </w:tcPr>
          <w:p>
            <w:pPr>
              <w:pStyle w:val="TableText"/>
              <w:jc w:val="left"/>
            </w:pPr>
            <w:r>
              <w:t xml:space="preserve">Abundant sun; flared gas; under-used hydro</w:t>
            </w:r>
          </w:p>
        </w:tc>
      </w:tr>
      <w:tr>
        <w:trPr>
          <w:cantSplit/>
        </w:trPr>
        <w:tc>
          <w:tcPr>
            <w:tcW w:w="2575" w:type="dxa"/>
          </w:tcPr>
          <w:p>
            <w:pPr>
              <w:pStyle w:val="TableText"/>
              <w:jc w:val="left"/>
            </w:pPr>
            <w:r>
              <w:rPr>
                <w:b/>
                <w:bCs/>
              </w:rPr>
              <w:t xml:space="preserve">Languages and cultures</w:t>
            </w:r>
          </w:p>
        </w:tc>
        <w:tc>
          <w:tcPr>
            <w:tcW w:w="3606" w:type="dxa"/>
          </w:tcPr>
          <w:p>
            <w:pPr>
              <w:pStyle w:val="TableText"/>
              <w:jc w:val="left"/>
            </w:pPr>
            <w:r>
              <w:t xml:space="preserve">AI needs data and evaluation in many languages</w:t>
            </w:r>
          </w:p>
        </w:tc>
        <w:tc>
          <w:tcPr>
            <w:tcW w:w="3179" w:type="dxa"/>
          </w:tcPr>
          <w:p>
            <w:pPr>
              <w:pStyle w:val="TableText"/>
              <w:jc w:val="left"/>
            </w:pPr>
            <w:r>
              <w:t xml:space="preserve">Over 2,000 languages; large cultural industries</w:t>
            </w:r>
          </w:p>
        </w:tc>
      </w:tr>
      <w:tr>
        <w:trPr>
          <w:cantSplit/>
        </w:trPr>
        <w:tc>
          <w:tcPr>
            <w:tcW w:w="2575" w:type="dxa"/>
          </w:tcPr>
          <w:p>
            <w:pPr>
              <w:pStyle w:val="TableText"/>
              <w:jc w:val="left"/>
            </w:pPr>
            <w:r>
              <w:rPr>
                <w:b/>
                <w:bCs/>
              </w:rPr>
              <w:t xml:space="preserve">Mobile-money and informal-economy know-how</w:t>
            </w:r>
          </w:p>
        </w:tc>
        <w:tc>
          <w:tcPr>
            <w:tcW w:w="3606" w:type="dxa"/>
          </w:tcPr>
          <w:p>
            <w:pPr>
              <w:pStyle w:val="TableText"/>
              <w:jc w:val="left"/>
            </w:pPr>
            <w:r>
              <w:t xml:space="preserve">AI services must reach informal users</w:t>
            </w:r>
          </w:p>
        </w:tc>
        <w:tc>
          <w:tcPr>
            <w:tcW w:w="3179" w:type="dxa"/>
          </w:tcPr>
          <w:p>
            <w:pPr>
              <w:pStyle w:val="TableText"/>
              <w:jc w:val="left"/>
            </w:pPr>
            <w:r>
              <w:t xml:space="preserve">Among the world’s most advanced mobile-money markets</w:t>
            </w:r>
          </w:p>
        </w:tc>
      </w:tr>
      <w:tr>
        <w:trPr>
          <w:cantSplit/>
        </w:trPr>
        <w:tc>
          <w:tcPr>
            <w:tcW w:w="2575" w:type="dxa"/>
          </w:tcPr>
          <w:p>
            <w:pPr>
              <w:pStyle w:val="TableText"/>
              <w:jc w:val="left"/>
            </w:pPr>
            <w:r>
              <w:rPr>
                <w:b/>
                <w:bCs/>
              </w:rPr>
              <w:t xml:space="preserve">Diaspora networks</w:t>
            </w:r>
          </w:p>
        </w:tc>
        <w:tc>
          <w:tcPr>
            <w:tcW w:w="3606" w:type="dxa"/>
          </w:tcPr>
          <w:p>
            <w:pPr>
              <w:pStyle w:val="TableText"/>
              <w:jc w:val="left"/>
            </w:pPr>
            <w:r>
              <w:t xml:space="preserve">Trust and capital across borders</w:t>
            </w:r>
          </w:p>
        </w:tc>
        <w:tc>
          <w:tcPr>
            <w:tcW w:w="3179" w:type="dxa"/>
          </w:tcPr>
          <w:p>
            <w:pPr>
              <w:pStyle w:val="TableText"/>
              <w:jc w:val="left"/>
            </w:pPr>
            <w:r>
              <w:t xml:space="preserve">Large, skilled diasporas</w:t>
            </w:r>
          </w:p>
        </w:tc>
      </w:tr>
      <w:tr>
        <w:trPr>
          <w:cantSplit/>
        </w:trPr>
        <w:tc>
          <w:tcPr>
            <w:tcW w:w="2575" w:type="dxa"/>
          </w:tcPr>
          <w:p>
            <w:pPr>
              <w:pStyle w:val="TableText"/>
              <w:jc w:val="left"/>
            </w:pPr>
            <w:r>
              <w:rPr>
                <w:b/>
                <w:bCs/>
              </w:rPr>
              <w:t xml:space="preserve">Unmet demand</w:t>
            </w:r>
          </w:p>
        </w:tc>
        <w:tc>
          <w:tcPr>
            <w:tcW w:w="3606" w:type="dxa"/>
          </w:tcPr>
          <w:p>
            <w:pPr>
              <w:pStyle w:val="TableText"/>
              <w:jc w:val="left"/>
            </w:pPr>
            <w:r>
              <w:t xml:space="preserve">Spreads are widest where services are scarcest</w:t>
            </w:r>
          </w:p>
        </w:tc>
        <w:tc>
          <w:tcPr>
            <w:tcW w:w="3179" w:type="dxa"/>
          </w:tcPr>
          <w:p>
            <w:pPr>
              <w:pStyle w:val="TableText"/>
              <w:jc w:val="left"/>
            </w:pPr>
            <w:r>
              <w:t xml:space="preserve">Wide gaps in health, education and public services</w:t>
            </w:r>
          </w:p>
        </w:tc>
      </w:tr>
    </w:tbl>
    <w:bookmarkEnd w:id="30"/>
    <w:bookmarkStart w:id="31" w:name="Xccea0a4aedc642750997b7f8f3b1951843a08d4"/>
    <w:p>
      <w:pPr>
        <w:pStyle w:val="Heading2"/>
      </w:pPr>
      <w:r>
        <w:t xml:space="preserve">2.4 Jevons, Goldratt and Moravec: where the bottleneck moves</w:t>
      </w:r>
    </w:p>
    <w:p>
      <w:pPr>
        <w:pStyle w:val="Compact"/>
        <w:numPr>
          <w:ilvl w:val="0"/>
          <w:numId w:val="1006"/>
        </w:numPr>
      </w:pPr>
      <w:r>
        <w:rPr>
          <w:b/>
          <w:bCs/>
        </w:rPr>
        <w:t xml:space="preserve">The Jevons paradox.</w:t>
      </w:r>
      <w:r>
        <w:t xml:space="preserve"> </w:t>
      </w:r>
      <w:r>
        <w:t xml:space="preserve">William Stanley Jevons observed in 1865 that more efficient steam engines</w:t>
      </w:r>
      <w:r>
        <w:t xml:space="preserve"> </w:t>
      </w:r>
      <w:r>
        <w:rPr>
          <w:i/>
          <w:iCs/>
        </w:rPr>
        <w:t xml:space="preserve">increased</w:t>
      </w:r>
      <w:r>
        <w:t xml:space="preserve"> </w:t>
      </w:r>
      <w:r>
        <w:t xml:space="preserve">total coal use, because cheaper energy found more uses. Cheaper AI is doing the same: as cost per task falls, total AI use and total demand for compute and electricity rise.</w:t>
      </w:r>
    </w:p>
    <w:p>
      <w:pPr>
        <w:pStyle w:val="Compact"/>
        <w:numPr>
          <w:ilvl w:val="0"/>
          <w:numId w:val="1006"/>
        </w:numPr>
      </w:pPr>
      <w:r>
        <w:rPr>
          <w:b/>
          <w:bCs/>
        </w:rPr>
        <w:t xml:space="preserve">The theory of constraints.</w:t>
      </w:r>
      <w:r>
        <w:t xml:space="preserve"> </w:t>
      </w:r>
      <w:r>
        <w:t xml:space="preserve">Eliyahu Goldratt showed that a system’s output is set by its tightest bottleneck, and that relieving one bottleneck moves it elsewhere. As AI relieves the cognition bottleneck, the binding constraints become</w:t>
      </w:r>
      <w:r>
        <w:t xml:space="preserve"> </w:t>
      </w:r>
      <w:r>
        <w:rPr>
          <w:b/>
          <w:bCs/>
        </w:rPr>
        <w:t xml:space="preserve">energy, compute, trust, data rights, distribution, physical action and legitimacy</w:t>
      </w:r>
      <w:r>
        <w:t xml:space="preserve">.</w:t>
      </w:r>
    </w:p>
    <w:p>
      <w:pPr>
        <w:pStyle w:val="Compact"/>
        <w:numPr>
          <w:ilvl w:val="0"/>
          <w:numId w:val="1006"/>
        </w:numPr>
      </w:pPr>
      <w:r>
        <w:rPr>
          <w:b/>
          <w:bCs/>
        </w:rPr>
        <w:t xml:space="preserve">Moravec’s paradox.</w:t>
      </w:r>
      <w:r>
        <w:t xml:space="preserve"> </w:t>
      </w:r>
      <w:r>
        <w:t xml:space="preserve">Hans Moravec noted that what is hard for humans (calculation, logic) is often easy for machines, and what is easy for humans (perception, movement, common sense in messy places) is hard for machines. Physical, relational and trust-intensive work therefore stays scarce.</w:t>
      </w:r>
    </w:p>
    <w:p>
      <w:pPr>
        <w:pStyle w:val="FirstParagraph"/>
      </w:pPr>
      <w:r>
        <w:t xml:space="preserve">Taken together:</w:t>
      </w:r>
      <w:r>
        <w:t xml:space="preserve"> </w:t>
      </w:r>
      <w:r>
        <w:rPr>
          <w:b/>
          <w:bCs/>
        </w:rPr>
        <w:t xml:space="preserve">the best AI arbitrage spreads sit next to the new bottlenecks.</w:t>
      </w:r>
      <w:r>
        <w:t xml:space="preserve"> </w:t>
      </w:r>
      <w:r>
        <w:t xml:space="preserve">Of the ten ventures in Part 4, StrandedWatts sits at the energy bottleneck, ScanBridge at the expert-sign-off bottleneck, FairScore at the trust-in-data bottleneck, and BacklogZero at the legitimacy bottleneck.</w:t>
      </w:r>
    </w:p>
    <w:bookmarkEnd w:id="31"/>
    <w:bookmarkStart w:id="35" w:name="the-system-dynamics-of-arbitrage"/>
    <w:p>
      <w:pPr>
        <w:pStyle w:val="Heading2"/>
      </w:pPr>
      <w:r>
        <w:t xml:space="preserve">2.5 The system dynamics of arbitrage</w:t>
      </w:r>
    </w:p>
    <w:p>
      <w:pPr>
        <w:pStyle w:val="CaptionedFigure"/>
      </w:pPr>
      <w:r>
        <w:drawing>
          <wp:inline>
            <wp:extent cx="4937760" cy="4505372"/>
            <wp:effectExtent b="0" l="0" r="0" t="0"/>
            <wp:docPr descr="Figure 2. The system dynamics of arbitrage: the closing loop, the moat loop, the bottleneck pathway and the backlash loop." title="" id="33" name="Picture"/>
            <a:graphic>
              <a:graphicData uri="http://schemas.openxmlformats.org/drawingml/2006/picture">
                <pic:pic>
                  <pic:nvPicPr>
                    <pic:cNvPr descr="/tmp/claude-0/-home-user-Adekunle-Adeniji/db1110ee-95e2-549a-bb3a-dcca8fdc5e35/scratchpad/docx_build/img3_tb/diagram_0.png" id="34" name="Picture"/>
                    <pic:cNvPicPr>
                      <a:picLocks noChangeArrowheads="1" noChangeAspect="1"/>
                    </pic:cNvPicPr>
                  </pic:nvPicPr>
                  <pic:blipFill>
                    <a:blip r:embed="rId32"/>
                    <a:stretch>
                      <a:fillRect/>
                    </a:stretch>
                  </pic:blipFill>
                  <pic:spPr bwMode="auto">
                    <a:xfrm>
                      <a:off x="0" y="0"/>
                      <a:ext cx="4937760" cy="4505372"/>
                    </a:xfrm>
                    <a:prstGeom prst="rect">
                      <a:avLst/>
                    </a:prstGeom>
                    <a:noFill/>
                    <a:ln w="9525">
                      <a:noFill/>
                      <a:headEnd/>
                      <a:tailEnd/>
                    </a:ln>
                  </pic:spPr>
                </pic:pic>
              </a:graphicData>
            </a:graphic>
          </wp:inline>
        </w:drawing>
      </w:r>
    </w:p>
    <w:p>
      <w:pPr>
        <w:pStyle w:val="ImageCaption"/>
      </w:pPr>
      <w:r>
        <w:t xml:space="preserve">Figure 2. The system dynamics of arbitrage: the closing loop, the moat loop, the bottleneck pathway and the backlash loop.</w:t>
      </w:r>
    </w:p>
    <w:p>
      <w:pPr>
        <w:pStyle w:val="Compact"/>
        <w:numPr>
          <w:ilvl w:val="0"/>
          <w:numId w:val="1007"/>
        </w:numPr>
      </w:pPr>
      <w:r>
        <w:rPr>
          <w:b/>
          <w:bCs/>
        </w:rPr>
        <w:t xml:space="preserve">B1, the closing loop (Kirzner):</w:t>
      </w:r>
      <w:r>
        <w:t xml:space="preserve"> </w:t>
      </w:r>
      <w:r>
        <w:t xml:space="preserve">spread → profit → entrants → competition → smaller spread. Every arbitrage contains this loop.</w:t>
      </w:r>
    </w:p>
    <w:p>
      <w:pPr>
        <w:pStyle w:val="Compact"/>
        <w:numPr>
          <w:ilvl w:val="0"/>
          <w:numId w:val="1007"/>
        </w:numPr>
      </w:pPr>
      <w:r>
        <w:rPr>
          <w:b/>
          <w:bCs/>
        </w:rPr>
        <w:t xml:space="preserve">R1, the moat loop (Schumpeter):</w:t>
      </w:r>
      <w:r>
        <w:t xml:space="preserve"> </w:t>
      </w:r>
      <w:r>
        <w:t xml:space="preserve">profit → investment in trust, data and ownership → moat → retained margin → more investment. This is the only loop that outlives the spread.</w:t>
      </w:r>
    </w:p>
    <w:p>
      <w:pPr>
        <w:pStyle w:val="Compact"/>
        <w:numPr>
          <w:ilvl w:val="0"/>
          <w:numId w:val="1007"/>
        </w:numPr>
      </w:pPr>
      <w:r>
        <w:rPr>
          <w:b/>
          <w:bCs/>
        </w:rPr>
        <w:t xml:space="preserve">The bottleneck pathway (Jevons and Goldratt):</w:t>
      </w:r>
      <w:r>
        <w:t xml:space="preserve"> </w:t>
      </w:r>
      <w:r>
        <w:t xml:space="preserve">falling AI cost → more usage → more demand at the new bottlenecks → new spreads. This is not a closed loop but a steady external push: new spreads keep appearing, in different places.</w:t>
      </w:r>
    </w:p>
    <w:p>
      <w:pPr>
        <w:pStyle w:val="Compact"/>
        <w:numPr>
          <w:ilvl w:val="0"/>
          <w:numId w:val="1007"/>
        </w:numPr>
      </w:pPr>
      <w:r>
        <w:rPr>
          <w:b/>
          <w:bCs/>
        </w:rPr>
        <w:t xml:space="preserve">B2, the backlash loop (Baumol and Polanyi):</w:t>
      </w:r>
      <w:r>
        <w:t xml:space="preserve"> </w:t>
      </w:r>
      <w:r>
        <w:t xml:space="preserve">profit tempts extractive shortcuts → harm → regulation → the spread is closed by force, often for everyone.</w:t>
      </w:r>
    </w:p>
    <w:p>
      <w:pPr>
        <w:pStyle w:val="FirstParagraph"/>
      </w:pPr>
      <w:r>
        <w:rPr>
          <w:b/>
          <w:bCs/>
        </w:rPr>
        <w:t xml:space="preserve">Strategic implication:</w:t>
      </w:r>
      <w:r>
        <w:t xml:space="preserve"> </w:t>
      </w:r>
      <w:r>
        <w:t xml:space="preserve">the race in AI arbitrage is between B1 and R1. A venture must build its moat faster than competition closes its spread, and must never feed B2.</w:t>
      </w:r>
    </w:p>
    <w:bookmarkEnd w:id="35"/>
    <w:bookmarkStart w:id="36" w:name="Xcb999854fa461c701180a16e46bba6180a0bdba"/>
    <w:p>
      <w:pPr>
        <w:pStyle w:val="Heading2"/>
      </w:pPr>
      <w:r>
        <w:t xml:space="preserve">2.6 The ethics of arbitrage: from Aristotle to Ubuntu</w:t>
      </w:r>
    </w:p>
    <w:p>
      <w:pPr>
        <w:pStyle w:val="FirstParagraph"/>
      </w:pPr>
      <w:r>
        <w:t xml:space="preserve">Arbitrage has always attracted moral suspicion. Aristotle distinguished</w:t>
      </w:r>
      <w:r>
        <w:t xml:space="preserve"> </w:t>
      </w:r>
      <w:r>
        <w:rPr>
          <w:i/>
          <w:iCs/>
        </w:rPr>
        <w:t xml:space="preserve">oikonomia</w:t>
      </w:r>
      <w:r>
        <w:t xml:space="preserve">, household management aimed at a good life, from</w:t>
      </w:r>
      <w:r>
        <w:t xml:space="preserve"> </w:t>
      </w:r>
      <w:r>
        <w:rPr>
          <w:i/>
          <w:iCs/>
        </w:rPr>
        <w:t xml:space="preserve">chrematistike</w:t>
      </w:r>
      <w:r>
        <w:t xml:space="preserve">, money-making pursued for its own sake, and was wary of the latter. Medieval thinkers debated the</w:t>
      </w:r>
      <w:r>
        <w:t xml:space="preserve"> </w:t>
      </w:r>
      <w:r>
        <w:t xml:space="preserve">“</w:t>
      </w:r>
      <w:r>
        <w:t xml:space="preserve">just price</w:t>
      </w:r>
      <w:r>
        <w:t xml:space="preserve">”</w:t>
      </w:r>
      <w:r>
        <w:t xml:space="preserve">. Modern critics see arbitrage as parasitic: profiting from gaps without making anything.</w:t>
      </w:r>
    </w:p>
    <w:p>
      <w:pPr>
        <w:pStyle w:val="BodyText"/>
      </w:pPr>
      <w:r>
        <w:t xml:space="preserve">Yet arbitrage can be a service. Moving food from where it rots to where people are hungry is arbitrage, and so is bringing a specialist’s judgement to a village that has none. The moral question is not</w:t>
      </w:r>
      <w:r>
        <w:t xml:space="preserve"> </w:t>
      </w:r>
      <w:r>
        <w:rPr>
          <w:i/>
          <w:iCs/>
        </w:rPr>
        <w:t xml:space="preserve">whether</w:t>
      </w:r>
      <w:r>
        <w:t xml:space="preserve"> </w:t>
      </w:r>
      <w:r>
        <w:t xml:space="preserve">one profits from a gap, but</w:t>
      </w:r>
      <w:r>
        <w:t xml:space="preserve"> </w:t>
      </w:r>
      <w:r>
        <w:rPr>
          <w:b/>
          <w:bCs/>
        </w:rPr>
        <w:t xml:space="preserve">how</w:t>
      </w:r>
      <w:r>
        <w:t xml:space="preserve">:</w:t>
      </w:r>
    </w:p>
    <w:p>
      <w:pPr>
        <w:pStyle w:val="Compact"/>
        <w:numPr>
          <w:ilvl w:val="0"/>
          <w:numId w:val="1008"/>
        </w:numPr>
      </w:pPr>
      <w:r>
        <w:rPr>
          <w:b/>
          <w:bCs/>
        </w:rPr>
        <w:t xml:space="preserve">Does it close the gap or farm it?</w:t>
      </w:r>
      <w:r>
        <w:t xml:space="preserve"> </w:t>
      </w:r>
      <w:r>
        <w:t xml:space="preserve">Productive arbitrage makes the gap smaller over time. Extractive arbitrage keeps the gap open, because the gap is the business.</w:t>
      </w:r>
    </w:p>
    <w:p>
      <w:pPr>
        <w:pStyle w:val="Compact"/>
        <w:numPr>
          <w:ilvl w:val="0"/>
          <w:numId w:val="1008"/>
        </w:numPr>
      </w:pPr>
      <w:r>
        <w:rPr>
          <w:b/>
          <w:bCs/>
        </w:rPr>
        <w:t xml:space="preserve">Who receives the spread?</w:t>
      </w:r>
      <w:r>
        <w:t xml:space="preserve"> </w:t>
      </w:r>
      <w:r>
        <w:t xml:space="preserve">If the cheap side (workers, communities, data contributors) receives nothing, the arbitrage is extraction dressed as efficiency.</w:t>
      </w:r>
    </w:p>
    <w:p>
      <w:pPr>
        <w:pStyle w:val="Compact"/>
        <w:numPr>
          <w:ilvl w:val="0"/>
          <w:numId w:val="1008"/>
        </w:numPr>
      </w:pPr>
      <w:r>
        <w:rPr>
          <w:b/>
          <w:bCs/>
        </w:rPr>
        <w:t xml:space="preserve">Is anyone deceived?</w:t>
      </w:r>
      <w:r>
        <w:t xml:space="preserve"> </w:t>
      </w:r>
      <w:r>
        <w:t xml:space="preserve">Arbitrage that depends on customers not knowing what they are buying fails the test of honest exchange.</w:t>
      </w:r>
    </w:p>
    <w:p>
      <w:pPr>
        <w:pStyle w:val="FirstParagraph"/>
      </w:pPr>
      <w:r>
        <w:t xml:space="preserve">The African ethic of</w:t>
      </w:r>
      <w:r>
        <w:t xml:space="preserve"> </w:t>
      </w:r>
      <w:r>
        <w:rPr>
          <w:b/>
          <w:bCs/>
        </w:rPr>
        <w:t xml:space="preserve">Ubuntu</w:t>
      </w:r>
      <w:r>
        <w:t xml:space="preserve">,</w:t>
      </w:r>
      <w:r>
        <w:t xml:space="preserve"> </w:t>
      </w:r>
      <w:r>
        <w:t xml:space="preserve">“</w:t>
      </w:r>
      <w:r>
        <w:t xml:space="preserve">a person is a person through other persons</w:t>
      </w:r>
      <w:r>
        <w:t xml:space="preserve">”</w:t>
      </w:r>
      <w:r>
        <w:t xml:space="preserve">, sharpens the point. An arbitrage is legitimate when it strengthens the web of relationships it passes through.</w:t>
      </w:r>
      <w:r>
        <w:t xml:space="preserve"> </w:t>
      </w:r>
      <w:r>
        <w:rPr>
          <w:b/>
          <w:bCs/>
        </w:rPr>
        <w:t xml:space="preserve">Close the gap; don’t farm it.</w:t>
      </w:r>
    </w:p>
    <w:bookmarkEnd w:id="36"/>
    <w:bookmarkEnd w:id="37"/>
    <w:bookmarkStart w:id="52" w:name="X9aed35d51a0021b00be6c36a23cf66bfd1d0677"/>
    <w:p>
      <w:pPr>
        <w:pStyle w:val="Heading1"/>
      </w:pPr>
      <w:r>
        <w:t xml:space="preserve">Part 3: The Framework: The Arbitrage Decagon</w:t>
      </w:r>
    </w:p>
    <w:bookmarkStart w:id="41" w:name="the-spread-map-ten-ai-spreads"/>
    <w:p>
      <w:pPr>
        <w:pStyle w:val="Heading2"/>
      </w:pPr>
      <w:r>
        <w:t xml:space="preserve">3.1 The Spread Map: ten AI spreads</w:t>
      </w:r>
    </w:p>
    <w:p>
      <w:pPr>
        <w:pStyle w:val="CaptionedFigure"/>
      </w:pPr>
      <w:r>
        <w:drawing>
          <wp:inline>
            <wp:extent cx="5303520" cy="5197449"/>
            <wp:effectExtent b="0" l="0" r="0" t="0"/>
            <wp:docPr descr="Figure 1. The Arbitrage Decagon. Ten kinds of AI spread, each marked by its expected half-life, around the Spread-to-Moat Ladder that turns a temporary spread into a durable venture." title="" id="39" name="Picture"/>
            <a:graphic>
              <a:graphicData uri="http://schemas.openxmlformats.org/drawingml/2006/picture">
                <pic:pic>
                  <pic:nvPicPr>
                    <pic:cNvPr descr="/tmp/claude-0/-home-user-Adekunle-Adeniji/db1110ee-95e2-549a-bb3a-dcca8fdc5e35/scratchpad/docx_build/img3/arbitrage-decagon.png" id="40" name="Picture"/>
                    <pic:cNvPicPr>
                      <a:picLocks noChangeArrowheads="1" noChangeAspect="1"/>
                    </pic:cNvPicPr>
                  </pic:nvPicPr>
                  <pic:blipFill>
                    <a:blip r:embed="rId38"/>
                    <a:stretch>
                      <a:fillRect/>
                    </a:stretch>
                  </pic:blipFill>
                  <pic:spPr bwMode="auto">
                    <a:xfrm>
                      <a:off x="0" y="0"/>
                      <a:ext cx="5303520" cy="5197449"/>
                    </a:xfrm>
                    <a:prstGeom prst="rect">
                      <a:avLst/>
                    </a:prstGeom>
                    <a:noFill/>
                    <a:ln w="9525">
                      <a:noFill/>
                      <a:headEnd/>
                      <a:tailEnd/>
                    </a:ln>
                  </pic:spPr>
                </pic:pic>
              </a:graphicData>
            </a:graphic>
          </wp:inline>
        </w:drawing>
      </w:r>
    </w:p>
    <w:p>
      <w:pPr>
        <w:pStyle w:val="ImageCaption"/>
      </w:pPr>
      <w:r>
        <w:t xml:space="preserve">Figure 1. The Arbitrage Decagon. Ten kinds of AI spread, each marked by its expected half-life, around the Spread-to-Moat Ladder that turns a temporary spread into a durable venture.</w:t>
      </w:r>
    </w:p>
    <w:tbl>
      <w:tblPr>
        <w:tblStyle w:val="Table"/>
        <w:tblW w:w="9360" w:type="dxa"/>
        <w:jc w:val="left"/>
        <w:tblLayout w:type="fixed"/>
        <w:tblLook w:firstRow="1" w:lastRow="0" w:firstColumn="0" w:lastColumn="0" w:noHBand="0" w:noVBand="0" w:val="0020"/>
      </w:tblPr>
      <w:tblGrid>
        <w:gridCol w:w="561"/>
        <w:gridCol w:w="1591"/>
        <w:gridCol w:w="1591"/>
        <w:gridCol w:w="1497"/>
        <w:gridCol w:w="1404"/>
        <w:gridCol w:w="1216"/>
        <w:gridCol w:w="1500"/>
      </w:tblGrid>
      <w:tr>
        <w:trPr>
          <w:cantSplit/>
          <w:tblHeader w:val="true"/>
        </w:trPr>
        <w:tc>
          <w:tcPr>
            <w:tcW w:w="561" w:type="dxa"/>
          </w:tcPr>
          <w:p>
            <w:pPr>
              <w:pStyle w:val="TableText"/>
              <w:jc w:val="left"/>
            </w:pPr>
            <w:r>
              <w:t xml:space="preserve">#</w:t>
            </w:r>
          </w:p>
        </w:tc>
        <w:tc>
          <w:tcPr>
            <w:tcW w:w="1591" w:type="dxa"/>
          </w:tcPr>
          <w:p>
            <w:pPr>
              <w:pStyle w:val="TableText"/>
              <w:jc w:val="left"/>
            </w:pPr>
            <w:r>
              <w:t xml:space="preserve">Spread</w:t>
            </w:r>
          </w:p>
        </w:tc>
        <w:tc>
          <w:tcPr>
            <w:tcW w:w="1591" w:type="dxa"/>
          </w:tcPr>
          <w:p>
            <w:pPr>
              <w:pStyle w:val="TableText"/>
              <w:jc w:val="left"/>
            </w:pPr>
            <w:r>
              <w:t xml:space="preserve">The gap</w:t>
            </w:r>
          </w:p>
        </w:tc>
        <w:tc>
          <w:tcPr>
            <w:tcW w:w="1497" w:type="dxa"/>
          </w:tcPr>
          <w:p>
            <w:pPr>
              <w:pStyle w:val="TableText"/>
              <w:jc w:val="left"/>
            </w:pPr>
            <w:r>
              <w:t xml:space="preserve">Evidence</w:t>
            </w:r>
          </w:p>
        </w:tc>
        <w:tc>
          <w:tcPr>
            <w:tcW w:w="1404" w:type="dxa"/>
          </w:tcPr>
          <w:p>
            <w:pPr>
              <w:pStyle w:val="TableText"/>
              <w:jc w:val="left"/>
            </w:pPr>
            <w:r>
              <w:t xml:space="preserve">Who loses today</w:t>
            </w:r>
          </w:p>
        </w:tc>
        <w:tc>
          <w:tcPr>
            <w:tcW w:w="1216" w:type="dxa"/>
          </w:tcPr>
          <w:p>
            <w:pPr>
              <w:pStyle w:val="TableText"/>
              <w:jc w:val="left"/>
            </w:pPr>
            <w:r>
              <w:t xml:space="preserve">Expected half-life</w:t>
            </w:r>
          </w:p>
        </w:tc>
        <w:tc>
          <w:tcPr>
            <w:tcW w:w="1500" w:type="dxa"/>
          </w:tcPr>
          <w:p>
            <w:pPr>
              <w:pStyle w:val="TableText"/>
              <w:jc w:val="left"/>
            </w:pPr>
            <w:r>
              <w:t xml:space="preserve">Venture</w:t>
            </w:r>
          </w:p>
        </w:tc>
      </w:tr>
      <w:tr>
        <w:trPr>
          <w:cantSplit/>
        </w:trPr>
        <w:tc>
          <w:tcPr>
            <w:tcW w:w="561" w:type="dxa"/>
          </w:tcPr>
          <w:p>
            <w:pPr>
              <w:pStyle w:val="TableText"/>
              <w:jc w:val="left"/>
            </w:pPr>
            <w:r>
              <w:rPr>
                <w:b/>
                <w:bCs/>
              </w:rPr>
              <w:t xml:space="preserve">S1</w:t>
            </w:r>
          </w:p>
        </w:tc>
        <w:tc>
          <w:tcPr>
            <w:tcW w:w="1591" w:type="dxa"/>
          </w:tcPr>
          <w:p>
            <w:pPr>
              <w:pStyle w:val="TableText"/>
              <w:jc w:val="left"/>
            </w:pPr>
            <w:r>
              <w:rPr>
                <w:b/>
                <w:bCs/>
              </w:rPr>
              <w:t xml:space="preserve">Energy–compute</w:t>
            </w:r>
          </w:p>
        </w:tc>
        <w:tc>
          <w:tcPr>
            <w:tcW w:w="1591" w:type="dxa"/>
          </w:tcPr>
          <w:p>
            <w:pPr>
              <w:pStyle w:val="TableText"/>
              <w:jc w:val="left"/>
            </w:pPr>
            <w:r>
              <w:t xml:space="preserve">Energy that is wasted or stranded, against compute that sells out</w:t>
            </w:r>
          </w:p>
        </w:tc>
        <w:tc>
          <w:tcPr>
            <w:tcW w:w="1497" w:type="dxa"/>
          </w:tcPr>
          <w:p>
            <w:pPr>
              <w:pStyle w:val="TableText"/>
              <w:jc w:val="left"/>
            </w:pPr>
            <w:r>
              <w:t xml:space="preserve">Record gas flaring (2024); compute rental prices rising again in 2026</w:t>
            </w:r>
          </w:p>
        </w:tc>
        <w:tc>
          <w:tcPr>
            <w:tcW w:w="1404" w:type="dxa"/>
          </w:tcPr>
          <w:p>
            <w:pPr>
              <w:pStyle w:val="TableText"/>
              <w:jc w:val="left"/>
            </w:pPr>
            <w:r>
              <w:t xml:space="preserve">Communities near flare sites; AI builders priced out</w:t>
            </w:r>
          </w:p>
        </w:tc>
        <w:tc>
          <w:tcPr>
            <w:tcW w:w="1216" w:type="dxa"/>
          </w:tcPr>
          <w:p>
            <w:pPr>
              <w:pStyle w:val="TableText"/>
              <w:jc w:val="left"/>
            </w:pPr>
            <w:r>
              <w:t xml:space="preserve">Long</w:t>
            </w:r>
          </w:p>
        </w:tc>
        <w:tc>
          <w:tcPr>
            <w:tcW w:w="1500" w:type="dxa"/>
          </w:tcPr>
          <w:p>
            <w:pPr>
              <w:pStyle w:val="TableText"/>
              <w:jc w:val="left"/>
            </w:pPr>
            <w:r>
              <w:t xml:space="preserve">StrandedWatts</w:t>
            </w:r>
          </w:p>
        </w:tc>
      </w:tr>
      <w:tr>
        <w:trPr>
          <w:cantSplit/>
        </w:trPr>
        <w:tc>
          <w:tcPr>
            <w:tcW w:w="561" w:type="dxa"/>
          </w:tcPr>
          <w:p>
            <w:pPr>
              <w:pStyle w:val="TableText"/>
              <w:jc w:val="left"/>
            </w:pPr>
            <w:r>
              <w:rPr>
                <w:b/>
                <w:bCs/>
              </w:rPr>
              <w:t xml:space="preserve">S2</w:t>
            </w:r>
          </w:p>
        </w:tc>
        <w:tc>
          <w:tcPr>
            <w:tcW w:w="1591" w:type="dxa"/>
          </w:tcPr>
          <w:p>
            <w:pPr>
              <w:pStyle w:val="TableText"/>
              <w:jc w:val="left"/>
            </w:pPr>
            <w:r>
              <w:rPr>
                <w:b/>
                <w:bCs/>
              </w:rPr>
              <w:t xml:space="preserve">Model price</w:t>
            </w:r>
          </w:p>
        </w:tc>
        <w:tc>
          <w:tcPr>
            <w:tcW w:w="1591" w:type="dxa"/>
          </w:tcPr>
          <w:p>
            <w:pPr>
              <w:pStyle w:val="TableText"/>
              <w:jc w:val="left"/>
            </w:pPr>
            <w:r>
              <w:t xml:space="preserve">The same task costs 10–1,000× more on one model or provider than another</w:t>
            </w:r>
          </w:p>
        </w:tc>
        <w:tc>
          <w:tcPr>
            <w:tcW w:w="1497" w:type="dxa"/>
          </w:tcPr>
          <w:p>
            <w:pPr>
              <w:pStyle w:val="TableText"/>
              <w:jc w:val="left"/>
            </w:pPr>
            <w:r>
              <w:t xml:space="preserve">Price declines of 9–900× a year depending on task</w:t>
            </w:r>
          </w:p>
        </w:tc>
        <w:tc>
          <w:tcPr>
            <w:tcW w:w="1404" w:type="dxa"/>
          </w:tcPr>
          <w:p>
            <w:pPr>
              <w:pStyle w:val="TableText"/>
              <w:jc w:val="left"/>
            </w:pPr>
            <w:r>
              <w:t xml:space="preserve">Builders who can’t shop around or pay in dollars</w:t>
            </w:r>
          </w:p>
        </w:tc>
        <w:tc>
          <w:tcPr>
            <w:tcW w:w="1216" w:type="dxa"/>
          </w:tcPr>
          <w:p>
            <w:pPr>
              <w:pStyle w:val="TableText"/>
              <w:jc w:val="left"/>
            </w:pPr>
            <w:r>
              <w:t xml:space="preserve">Short</w:t>
            </w:r>
          </w:p>
        </w:tc>
        <w:tc>
          <w:tcPr>
            <w:tcW w:w="1500" w:type="dxa"/>
          </w:tcPr>
          <w:p>
            <w:pPr>
              <w:pStyle w:val="TableText"/>
              <w:jc w:val="left"/>
            </w:pPr>
            <w:r>
              <w:t xml:space="preserve">ComputeCoop</w:t>
            </w:r>
          </w:p>
        </w:tc>
      </w:tr>
      <w:tr>
        <w:trPr>
          <w:cantSplit/>
        </w:trPr>
        <w:tc>
          <w:tcPr>
            <w:tcW w:w="561" w:type="dxa"/>
          </w:tcPr>
          <w:p>
            <w:pPr>
              <w:pStyle w:val="TableText"/>
              <w:jc w:val="left"/>
            </w:pPr>
            <w:r>
              <w:rPr>
                <w:b/>
                <w:bCs/>
              </w:rPr>
              <w:t xml:space="preserve">S3</w:t>
            </w:r>
          </w:p>
        </w:tc>
        <w:tc>
          <w:tcPr>
            <w:tcW w:w="1591" w:type="dxa"/>
          </w:tcPr>
          <w:p>
            <w:pPr>
              <w:pStyle w:val="TableText"/>
              <w:jc w:val="left"/>
            </w:pPr>
            <w:r>
              <w:rPr>
                <w:b/>
                <w:bCs/>
              </w:rPr>
              <w:t xml:space="preserve">Adoption</w:t>
            </w:r>
          </w:p>
        </w:tc>
        <w:tc>
          <w:tcPr>
            <w:tcW w:w="1591" w:type="dxa"/>
          </w:tcPr>
          <w:p>
            <w:pPr>
              <w:pStyle w:val="TableText"/>
              <w:jc w:val="left"/>
            </w:pPr>
            <w:r>
              <w:t xml:space="preserve">AI can do a task, but most firms don’t use it</w:t>
            </w:r>
          </w:p>
        </w:tc>
        <w:tc>
          <w:tcPr>
            <w:tcW w:w="1497" w:type="dxa"/>
          </w:tcPr>
          <w:p>
            <w:pPr>
              <w:pStyle w:val="TableText"/>
              <w:jc w:val="left"/>
            </w:pPr>
            <w:r>
              <w:t xml:space="preserve">About 18% of US firms use AI; small firms less</w:t>
            </w:r>
          </w:p>
        </w:tc>
        <w:tc>
          <w:tcPr>
            <w:tcW w:w="1404" w:type="dxa"/>
          </w:tcPr>
          <w:p>
            <w:pPr>
              <w:pStyle w:val="TableText"/>
              <w:jc w:val="left"/>
            </w:pPr>
            <w:r>
              <w:t xml:space="preserve">Small and informal businesses</w:t>
            </w:r>
          </w:p>
        </w:tc>
        <w:tc>
          <w:tcPr>
            <w:tcW w:w="1216" w:type="dxa"/>
          </w:tcPr>
          <w:p>
            <w:pPr>
              <w:pStyle w:val="TableText"/>
              <w:jc w:val="left"/>
            </w:pPr>
            <w:r>
              <w:t xml:space="preserve">Medium</w:t>
            </w:r>
          </w:p>
        </w:tc>
        <w:tc>
          <w:tcPr>
            <w:tcW w:w="1500" w:type="dxa"/>
          </w:tcPr>
          <w:p>
            <w:pPr>
              <w:pStyle w:val="TableText"/>
              <w:jc w:val="left"/>
            </w:pPr>
            <w:r>
              <w:t xml:space="preserve">OfficePilot</w:t>
            </w:r>
          </w:p>
        </w:tc>
      </w:tr>
      <w:tr>
        <w:trPr>
          <w:cantSplit/>
        </w:trPr>
        <w:tc>
          <w:tcPr>
            <w:tcW w:w="561" w:type="dxa"/>
          </w:tcPr>
          <w:p>
            <w:pPr>
              <w:pStyle w:val="TableText"/>
              <w:jc w:val="left"/>
            </w:pPr>
            <w:r>
              <w:rPr>
                <w:b/>
                <w:bCs/>
              </w:rPr>
              <w:t xml:space="preserve">S4</w:t>
            </w:r>
          </w:p>
        </w:tc>
        <w:tc>
          <w:tcPr>
            <w:tcW w:w="1591" w:type="dxa"/>
          </w:tcPr>
          <w:p>
            <w:pPr>
              <w:pStyle w:val="TableText"/>
              <w:jc w:val="left"/>
            </w:pPr>
            <w:r>
              <w:rPr>
                <w:b/>
                <w:bCs/>
              </w:rPr>
              <w:t xml:space="preserve">Language</w:t>
            </w:r>
          </w:p>
        </w:tc>
        <w:tc>
          <w:tcPr>
            <w:tcW w:w="1591" w:type="dxa"/>
          </w:tcPr>
          <w:p>
            <w:pPr>
              <w:pStyle w:val="TableText"/>
              <w:jc w:val="left"/>
            </w:pPr>
            <w:r>
              <w:t xml:space="preserve">Value trapped in one language</w:t>
            </w:r>
          </w:p>
        </w:tc>
        <w:tc>
          <w:tcPr>
            <w:tcW w:w="1497" w:type="dxa"/>
          </w:tcPr>
          <w:p>
            <w:pPr>
              <w:pStyle w:val="TableText"/>
              <w:jc w:val="left"/>
            </w:pPr>
            <w:r>
              <w:t xml:space="preserve">Over 2,000 African languages; dubbing costs collapsing</w:t>
            </w:r>
          </w:p>
        </w:tc>
        <w:tc>
          <w:tcPr>
            <w:tcW w:w="1404" w:type="dxa"/>
          </w:tcPr>
          <w:p>
            <w:pPr>
              <w:pStyle w:val="TableText"/>
              <w:jc w:val="left"/>
            </w:pPr>
            <w:r>
              <w:t xml:space="preserve">Creators, sellers and learners outside major languages</w:t>
            </w:r>
          </w:p>
        </w:tc>
        <w:tc>
          <w:tcPr>
            <w:tcW w:w="1216" w:type="dxa"/>
          </w:tcPr>
          <w:p>
            <w:pPr>
              <w:pStyle w:val="TableText"/>
              <w:jc w:val="left"/>
            </w:pPr>
            <w:r>
              <w:t xml:space="preserve">Medium</w:t>
            </w:r>
          </w:p>
        </w:tc>
        <w:tc>
          <w:tcPr>
            <w:tcW w:w="1500" w:type="dxa"/>
          </w:tcPr>
          <w:p>
            <w:pPr>
              <w:pStyle w:val="TableText"/>
              <w:jc w:val="left"/>
            </w:pPr>
            <w:r>
              <w:t xml:space="preserve">TongueBridge</w:t>
            </w:r>
          </w:p>
        </w:tc>
      </w:tr>
      <w:tr>
        <w:trPr>
          <w:cantSplit/>
        </w:trPr>
        <w:tc>
          <w:tcPr>
            <w:tcW w:w="561" w:type="dxa"/>
          </w:tcPr>
          <w:p>
            <w:pPr>
              <w:pStyle w:val="TableText"/>
              <w:jc w:val="left"/>
            </w:pPr>
            <w:r>
              <w:rPr>
                <w:b/>
                <w:bCs/>
              </w:rPr>
              <w:t xml:space="preserve">S5</w:t>
            </w:r>
          </w:p>
        </w:tc>
        <w:tc>
          <w:tcPr>
            <w:tcW w:w="1591" w:type="dxa"/>
          </w:tcPr>
          <w:p>
            <w:pPr>
              <w:pStyle w:val="TableText"/>
              <w:jc w:val="left"/>
            </w:pPr>
            <w:r>
              <w:rPr>
                <w:b/>
                <w:bCs/>
              </w:rPr>
              <w:t xml:space="preserve">Labour and skill</w:t>
            </w:r>
          </w:p>
        </w:tc>
        <w:tc>
          <w:tcPr>
            <w:tcW w:w="1591" w:type="dxa"/>
          </w:tcPr>
          <w:p>
            <w:pPr>
              <w:pStyle w:val="TableText"/>
              <w:jc w:val="left"/>
            </w:pPr>
            <w:r>
              <w:t xml:space="preserve">AI-augmented workers in lower-cost regions can deliver global-quality outcomes</w:t>
            </w:r>
          </w:p>
        </w:tc>
        <w:tc>
          <w:tcPr>
            <w:tcW w:w="1497" w:type="dxa"/>
          </w:tcPr>
          <w:p>
            <w:pPr>
              <w:pStyle w:val="TableText"/>
              <w:jc w:val="left"/>
            </w:pPr>
            <w:r>
              <w:t xml:space="preserve">Global service exports of tens of billions of dollars, now being reshaped by AI</w:t>
            </w:r>
          </w:p>
        </w:tc>
        <w:tc>
          <w:tcPr>
            <w:tcW w:w="1404" w:type="dxa"/>
          </w:tcPr>
          <w:p>
            <w:pPr>
              <w:pStyle w:val="TableText"/>
              <w:jc w:val="left"/>
            </w:pPr>
            <w:r>
              <w:t xml:space="preserve">Young workers without access to global demand</w:t>
            </w:r>
          </w:p>
        </w:tc>
        <w:tc>
          <w:tcPr>
            <w:tcW w:w="1216" w:type="dxa"/>
          </w:tcPr>
          <w:p>
            <w:pPr>
              <w:pStyle w:val="TableText"/>
              <w:jc w:val="left"/>
            </w:pPr>
            <w:r>
              <w:t xml:space="preserve">Short to medium</w:t>
            </w:r>
          </w:p>
        </w:tc>
        <w:tc>
          <w:tcPr>
            <w:tcW w:w="1500" w:type="dxa"/>
          </w:tcPr>
          <w:p>
            <w:pPr>
              <w:pStyle w:val="TableText"/>
              <w:jc w:val="left"/>
            </w:pPr>
            <w:r>
              <w:t xml:space="preserve">OutcomeWorks</w:t>
            </w:r>
          </w:p>
        </w:tc>
      </w:tr>
      <w:tr>
        <w:trPr>
          <w:cantSplit/>
        </w:trPr>
        <w:tc>
          <w:tcPr>
            <w:tcW w:w="561" w:type="dxa"/>
          </w:tcPr>
          <w:p>
            <w:pPr>
              <w:pStyle w:val="TableText"/>
              <w:jc w:val="left"/>
            </w:pPr>
            <w:r>
              <w:rPr>
                <w:b/>
                <w:bCs/>
              </w:rPr>
              <w:t xml:space="preserve">S6</w:t>
            </w:r>
          </w:p>
        </w:tc>
        <w:tc>
          <w:tcPr>
            <w:tcW w:w="1591" w:type="dxa"/>
          </w:tcPr>
          <w:p>
            <w:pPr>
              <w:pStyle w:val="TableText"/>
              <w:jc w:val="left"/>
            </w:pPr>
            <w:r>
              <w:rPr>
                <w:b/>
                <w:bCs/>
              </w:rPr>
              <w:t xml:space="preserve">Expertise</w:t>
            </w:r>
          </w:p>
        </w:tc>
        <w:tc>
          <w:tcPr>
            <w:tcW w:w="1591" w:type="dxa"/>
          </w:tcPr>
          <w:p>
            <w:pPr>
              <w:pStyle w:val="TableText"/>
              <w:jc w:val="left"/>
            </w:pPr>
            <w:r>
              <w:t xml:space="preserve">Specialists are scarce; AI can pre-read and triage</w:t>
            </w:r>
          </w:p>
        </w:tc>
        <w:tc>
          <w:tcPr>
            <w:tcW w:w="1497" w:type="dxa"/>
          </w:tcPr>
          <w:p>
            <w:pPr>
              <w:pStyle w:val="TableText"/>
              <w:jc w:val="left"/>
            </w:pPr>
            <w:r>
              <w:t xml:space="preserve">~2 radiologists per million in sub-Saharan Africa versus ~93 in rich countries</w:t>
            </w:r>
          </w:p>
        </w:tc>
        <w:tc>
          <w:tcPr>
            <w:tcW w:w="1404" w:type="dxa"/>
          </w:tcPr>
          <w:p>
            <w:pPr>
              <w:pStyle w:val="TableText"/>
              <w:jc w:val="left"/>
            </w:pPr>
            <w:r>
              <w:t xml:space="preserve">Patients without diagnosis</w:t>
            </w:r>
          </w:p>
        </w:tc>
        <w:tc>
          <w:tcPr>
            <w:tcW w:w="1216" w:type="dxa"/>
          </w:tcPr>
          <w:p>
            <w:pPr>
              <w:pStyle w:val="TableText"/>
              <w:jc w:val="left"/>
            </w:pPr>
            <w:r>
              <w:t xml:space="preserve">Long</w:t>
            </w:r>
          </w:p>
        </w:tc>
        <w:tc>
          <w:tcPr>
            <w:tcW w:w="1500" w:type="dxa"/>
          </w:tcPr>
          <w:p>
            <w:pPr>
              <w:pStyle w:val="TableText"/>
              <w:jc w:val="left"/>
            </w:pPr>
            <w:r>
              <w:t xml:space="preserve">ScanBridge</w:t>
            </w:r>
          </w:p>
        </w:tc>
      </w:tr>
      <w:tr>
        <w:trPr>
          <w:cantSplit/>
        </w:trPr>
        <w:tc>
          <w:tcPr>
            <w:tcW w:w="561" w:type="dxa"/>
          </w:tcPr>
          <w:p>
            <w:pPr>
              <w:pStyle w:val="TableText"/>
              <w:jc w:val="left"/>
            </w:pPr>
            <w:r>
              <w:rPr>
                <w:b/>
                <w:bCs/>
              </w:rPr>
              <w:t xml:space="preserve">S7</w:t>
            </w:r>
          </w:p>
        </w:tc>
        <w:tc>
          <w:tcPr>
            <w:tcW w:w="1591" w:type="dxa"/>
          </w:tcPr>
          <w:p>
            <w:pPr>
              <w:pStyle w:val="TableText"/>
              <w:jc w:val="left"/>
            </w:pPr>
            <w:r>
              <w:rPr>
                <w:b/>
                <w:bCs/>
              </w:rPr>
              <w:t xml:space="preserve">Learning</w:t>
            </w:r>
          </w:p>
        </w:tc>
        <w:tc>
          <w:tcPr>
            <w:tcW w:w="1591" w:type="dxa"/>
          </w:tcPr>
          <w:p>
            <w:pPr>
              <w:pStyle w:val="TableText"/>
              <w:jc w:val="left"/>
            </w:pPr>
            <w:r>
              <w:t xml:space="preserve">One-to-one tutoring is transformative but unaffordable</w:t>
            </w:r>
          </w:p>
        </w:tc>
        <w:tc>
          <w:tcPr>
            <w:tcW w:w="1497" w:type="dxa"/>
          </w:tcPr>
          <w:p>
            <w:pPr>
              <w:pStyle w:val="TableText"/>
              <w:jc w:val="left"/>
            </w:pPr>
            <w:r>
              <w:t xml:space="preserve">~0.3 standard deviations in six weeks in a Nigerian trial</w:t>
            </w:r>
          </w:p>
        </w:tc>
        <w:tc>
          <w:tcPr>
            <w:tcW w:w="1404" w:type="dxa"/>
          </w:tcPr>
          <w:p>
            <w:pPr>
              <w:pStyle w:val="TableText"/>
              <w:jc w:val="left"/>
            </w:pPr>
            <w:r>
              <w:t xml:space="preserve">Students in crowded classrooms</w:t>
            </w:r>
          </w:p>
        </w:tc>
        <w:tc>
          <w:tcPr>
            <w:tcW w:w="1216" w:type="dxa"/>
          </w:tcPr>
          <w:p>
            <w:pPr>
              <w:pStyle w:val="TableText"/>
              <w:jc w:val="left"/>
            </w:pPr>
            <w:r>
              <w:t xml:space="preserve">Long</w:t>
            </w:r>
          </w:p>
        </w:tc>
        <w:tc>
          <w:tcPr>
            <w:tcW w:w="1500" w:type="dxa"/>
          </w:tcPr>
          <w:p>
            <w:pPr>
              <w:pStyle w:val="TableText"/>
              <w:jc w:val="left"/>
            </w:pPr>
            <w:r>
              <w:t xml:space="preserve">TutorGrid</w:t>
            </w:r>
          </w:p>
        </w:tc>
      </w:tr>
      <w:tr>
        <w:trPr>
          <w:cantSplit/>
        </w:trPr>
        <w:tc>
          <w:tcPr>
            <w:tcW w:w="561" w:type="dxa"/>
          </w:tcPr>
          <w:p>
            <w:pPr>
              <w:pStyle w:val="TableText"/>
              <w:jc w:val="left"/>
            </w:pPr>
            <w:r>
              <w:rPr>
                <w:b/>
                <w:bCs/>
              </w:rPr>
              <w:t xml:space="preserve">S8</w:t>
            </w:r>
          </w:p>
        </w:tc>
        <w:tc>
          <w:tcPr>
            <w:tcW w:w="1591" w:type="dxa"/>
          </w:tcPr>
          <w:p>
            <w:pPr>
              <w:pStyle w:val="TableText"/>
              <w:jc w:val="left"/>
            </w:pPr>
            <w:r>
              <w:rPr>
                <w:b/>
                <w:bCs/>
              </w:rPr>
              <w:t xml:space="preserve">Risk pricing</w:t>
            </w:r>
          </w:p>
        </w:tc>
        <w:tc>
          <w:tcPr>
            <w:tcW w:w="1591" w:type="dxa"/>
          </w:tcPr>
          <w:p>
            <w:pPr>
              <w:pStyle w:val="TableText"/>
              <w:jc w:val="left"/>
            </w:pPr>
            <w:r>
              <w:t xml:space="preserve">Creditworthy people without credit files are mispriced or excluded</w:t>
            </w:r>
          </w:p>
        </w:tc>
        <w:tc>
          <w:tcPr>
            <w:tcW w:w="1497" w:type="dxa"/>
          </w:tcPr>
          <w:p>
            <w:pPr>
              <w:pStyle w:val="TableText"/>
              <w:jc w:val="left"/>
            </w:pPr>
            <w:r>
              <w:t xml:space="preserve">Abusive loan apps prompted strict new rules in Nigeria (2025)</w:t>
            </w:r>
          </w:p>
        </w:tc>
        <w:tc>
          <w:tcPr>
            <w:tcW w:w="1404" w:type="dxa"/>
          </w:tcPr>
          <w:p>
            <w:pPr>
              <w:pStyle w:val="TableText"/>
              <w:jc w:val="left"/>
            </w:pPr>
            <w:r>
              <w:t xml:space="preserve">Small firms, farmers, informal workers</w:t>
            </w:r>
          </w:p>
        </w:tc>
        <w:tc>
          <w:tcPr>
            <w:tcW w:w="1216" w:type="dxa"/>
          </w:tcPr>
          <w:p>
            <w:pPr>
              <w:pStyle w:val="TableText"/>
              <w:jc w:val="left"/>
            </w:pPr>
            <w:r>
              <w:t xml:space="preserve">Medium</w:t>
            </w:r>
          </w:p>
        </w:tc>
        <w:tc>
          <w:tcPr>
            <w:tcW w:w="1500" w:type="dxa"/>
          </w:tcPr>
          <w:p>
            <w:pPr>
              <w:pStyle w:val="TableText"/>
              <w:jc w:val="left"/>
            </w:pPr>
            <w:r>
              <w:t xml:space="preserve">FairScore</w:t>
            </w:r>
          </w:p>
        </w:tc>
      </w:tr>
      <w:tr>
        <w:trPr>
          <w:cantSplit/>
        </w:trPr>
        <w:tc>
          <w:tcPr>
            <w:tcW w:w="561" w:type="dxa"/>
          </w:tcPr>
          <w:p>
            <w:pPr>
              <w:pStyle w:val="TableText"/>
              <w:jc w:val="left"/>
            </w:pPr>
            <w:r>
              <w:rPr>
                <w:b/>
                <w:bCs/>
              </w:rPr>
              <w:t xml:space="preserve">S9</w:t>
            </w:r>
          </w:p>
        </w:tc>
        <w:tc>
          <w:tcPr>
            <w:tcW w:w="1591" w:type="dxa"/>
          </w:tcPr>
          <w:p>
            <w:pPr>
              <w:pStyle w:val="TableText"/>
              <w:jc w:val="left"/>
            </w:pPr>
            <w:r>
              <w:rPr>
                <w:b/>
                <w:bCs/>
              </w:rPr>
              <w:t xml:space="preserve">Backlog</w:t>
            </w:r>
          </w:p>
        </w:tc>
        <w:tc>
          <w:tcPr>
            <w:tcW w:w="1591" w:type="dxa"/>
          </w:tcPr>
          <w:p>
            <w:pPr>
              <w:pStyle w:val="TableText"/>
              <w:jc w:val="left"/>
            </w:pPr>
            <w:r>
              <w:t xml:space="preserve">Citizens wait months or years for public decisions that are mostly paperwork</w:t>
            </w:r>
          </w:p>
        </w:tc>
        <w:tc>
          <w:tcPr>
            <w:tcW w:w="1497" w:type="dxa"/>
          </w:tcPr>
          <w:p>
            <w:pPr>
              <w:pStyle w:val="TableText"/>
              <w:jc w:val="left"/>
            </w:pPr>
            <w:r>
              <w:t xml:space="preserve">Large registry, permit and court backlogs are common</w:t>
            </w:r>
          </w:p>
        </w:tc>
        <w:tc>
          <w:tcPr>
            <w:tcW w:w="1404" w:type="dxa"/>
          </w:tcPr>
          <w:p>
            <w:pPr>
              <w:pStyle w:val="TableText"/>
              <w:jc w:val="left"/>
            </w:pPr>
            <w:r>
              <w:t xml:space="preserve">Citizens, small firms, investors</w:t>
            </w:r>
          </w:p>
        </w:tc>
        <w:tc>
          <w:tcPr>
            <w:tcW w:w="1216" w:type="dxa"/>
          </w:tcPr>
          <w:p>
            <w:pPr>
              <w:pStyle w:val="TableText"/>
              <w:jc w:val="left"/>
            </w:pPr>
            <w:r>
              <w:t xml:space="preserve">Long</w:t>
            </w:r>
          </w:p>
        </w:tc>
        <w:tc>
          <w:tcPr>
            <w:tcW w:w="1500" w:type="dxa"/>
          </w:tcPr>
          <w:p>
            <w:pPr>
              <w:pStyle w:val="TableText"/>
              <w:jc w:val="left"/>
            </w:pPr>
            <w:r>
              <w:t xml:space="preserve">BacklogZero</w:t>
            </w:r>
          </w:p>
        </w:tc>
      </w:tr>
      <w:tr>
        <w:trPr>
          <w:cantSplit/>
        </w:trPr>
        <w:tc>
          <w:tcPr>
            <w:tcW w:w="561" w:type="dxa"/>
          </w:tcPr>
          <w:p>
            <w:pPr>
              <w:pStyle w:val="TableText"/>
              <w:jc w:val="left"/>
            </w:pPr>
            <w:r>
              <w:rPr>
                <w:b/>
                <w:bCs/>
              </w:rPr>
              <w:t xml:space="preserve">S10</w:t>
            </w:r>
          </w:p>
        </w:tc>
        <w:tc>
          <w:tcPr>
            <w:tcW w:w="1591" w:type="dxa"/>
          </w:tcPr>
          <w:p>
            <w:pPr>
              <w:pStyle w:val="TableText"/>
              <w:jc w:val="left"/>
            </w:pPr>
            <w:r>
              <w:rPr>
                <w:b/>
                <w:bCs/>
              </w:rPr>
              <w:t xml:space="preserve">Compliance</w:t>
            </w:r>
          </w:p>
        </w:tc>
        <w:tc>
          <w:tcPr>
            <w:tcW w:w="1591" w:type="dxa"/>
          </w:tcPr>
          <w:p>
            <w:pPr>
              <w:pStyle w:val="TableText"/>
              <w:jc w:val="left"/>
            </w:pPr>
            <w:r>
              <w:t xml:space="preserve">New standards are expensive to prove for small producers</w:t>
            </w:r>
          </w:p>
        </w:tc>
        <w:tc>
          <w:tcPr>
            <w:tcW w:w="1497" w:type="dxa"/>
          </w:tcPr>
          <w:p>
            <w:pPr>
              <w:pStyle w:val="TableText"/>
              <w:jc w:val="left"/>
            </w:pPr>
            <w:r>
              <w:t xml:space="preserve">EU deforestation rules apply from December 2026</w:t>
            </w:r>
          </w:p>
        </w:tc>
        <w:tc>
          <w:tcPr>
            <w:tcW w:w="1404" w:type="dxa"/>
          </w:tcPr>
          <w:p>
            <w:pPr>
              <w:pStyle w:val="TableText"/>
              <w:jc w:val="left"/>
            </w:pPr>
            <w:r>
              <w:t xml:space="preserve">Smallholders and small exporters</w:t>
            </w:r>
          </w:p>
        </w:tc>
        <w:tc>
          <w:tcPr>
            <w:tcW w:w="1216" w:type="dxa"/>
          </w:tcPr>
          <w:p>
            <w:pPr>
              <w:pStyle w:val="TableText"/>
              <w:jc w:val="left"/>
            </w:pPr>
            <w:r>
              <w:t xml:space="preserve">Medium to long</w:t>
            </w:r>
          </w:p>
        </w:tc>
        <w:tc>
          <w:tcPr>
            <w:tcW w:w="1500" w:type="dxa"/>
          </w:tcPr>
          <w:p>
            <w:pPr>
              <w:pStyle w:val="TableText"/>
              <w:jc w:val="left"/>
            </w:pPr>
            <w:r>
              <w:t xml:space="preserve">ExportReady</w:t>
            </w:r>
          </w:p>
        </w:tc>
      </w:tr>
    </w:tbl>
    <w:bookmarkEnd w:id="41"/>
    <w:bookmarkStart w:id="45" w:name="the-spread-to-moat-ladder"/>
    <w:p>
      <w:pPr>
        <w:pStyle w:val="Heading2"/>
      </w:pPr>
      <w:r>
        <w:t xml:space="preserve">3.2 The Spread-to-Moat Ladder</w:t>
      </w:r>
    </w:p>
    <w:p>
      <w:pPr>
        <w:pStyle w:val="FirstParagraph"/>
      </w:pPr>
      <w:r>
        <w:t xml:space="preserve">Every AI arbitrage venture should climb five rungs. The first two capture the spread; the last three turn it into something that lasts.</w:t>
      </w:r>
    </w:p>
    <w:p>
      <w:pPr>
        <w:pStyle w:val="CaptionedFigure"/>
      </w:pPr>
      <w:r>
        <w:drawing>
          <wp:inline>
            <wp:extent cx="2377440" cy="3592872"/>
            <wp:effectExtent b="0" l="0" r="0" t="0"/>
            <wp:docPr descr="Figure 3. The Spread-to-Moat Ladder." title="" id="43" name="Picture"/>
            <a:graphic>
              <a:graphicData uri="http://schemas.openxmlformats.org/drawingml/2006/picture">
                <pic:pic>
                  <pic:nvPicPr>
                    <pic:cNvPr descr="/tmp/claude-0/-home-user-Adekunle-Adeniji/db1110ee-95e2-549a-bb3a-dcca8fdc5e35/scratchpad/docx_build/img3_tb/diagram_1.png" id="44" name="Picture"/>
                    <pic:cNvPicPr>
                      <a:picLocks noChangeArrowheads="1" noChangeAspect="1"/>
                    </pic:cNvPicPr>
                  </pic:nvPicPr>
                  <pic:blipFill>
                    <a:blip r:embed="rId42"/>
                    <a:stretch>
                      <a:fillRect/>
                    </a:stretch>
                  </pic:blipFill>
                  <pic:spPr bwMode="auto">
                    <a:xfrm>
                      <a:off x="0" y="0"/>
                      <a:ext cx="2377440" cy="3592872"/>
                    </a:xfrm>
                    <a:prstGeom prst="rect">
                      <a:avLst/>
                    </a:prstGeom>
                    <a:noFill/>
                    <a:ln w="9525">
                      <a:noFill/>
                      <a:headEnd/>
                      <a:tailEnd/>
                    </a:ln>
                  </pic:spPr>
                </pic:pic>
              </a:graphicData>
            </a:graphic>
          </wp:inline>
        </w:drawing>
      </w:r>
    </w:p>
    <w:p>
      <w:pPr>
        <w:pStyle w:val="ImageCaption"/>
      </w:pPr>
      <w:r>
        <w:t xml:space="preserve">Figure 3. The Spread-to-Moat Ladder.</w:t>
      </w:r>
    </w:p>
    <w:tbl>
      <w:tblPr>
        <w:tblStyle w:val="Table"/>
        <w:tblW w:w="9360" w:type="dxa"/>
        <w:jc w:val="left"/>
        <w:tblLayout w:type="fixed"/>
        <w:tblLook w:firstRow="1" w:lastRow="0" w:firstColumn="0" w:lastColumn="0" w:noHBand="0" w:noVBand="0" w:val="0020"/>
      </w:tblPr>
      <w:tblGrid>
        <w:gridCol w:w="883"/>
        <w:gridCol w:w="2560"/>
        <w:gridCol w:w="1677"/>
        <w:gridCol w:w="2031"/>
        <w:gridCol w:w="2209"/>
      </w:tblGrid>
      <w:tr>
        <w:trPr>
          <w:cantSplit/>
          <w:tblHeader w:val="true"/>
        </w:trPr>
        <w:tc>
          <w:tcPr>
            <w:tcW w:w="883" w:type="dxa"/>
          </w:tcPr>
          <w:p>
            <w:pPr>
              <w:pStyle w:val="TableText"/>
              <w:jc w:val="left"/>
            </w:pPr>
            <w:r>
              <w:t xml:space="preserve">Rung</w:t>
            </w:r>
          </w:p>
        </w:tc>
        <w:tc>
          <w:tcPr>
            <w:tcW w:w="2560" w:type="dxa"/>
          </w:tcPr>
          <w:p>
            <w:pPr>
              <w:pStyle w:val="TableText"/>
              <w:jc w:val="left"/>
            </w:pPr>
            <w:r>
              <w:t xml:space="preserve">Question</w:t>
            </w:r>
          </w:p>
        </w:tc>
        <w:tc>
          <w:tcPr>
            <w:tcW w:w="1677" w:type="dxa"/>
          </w:tcPr>
          <w:p>
            <w:pPr>
              <w:pStyle w:val="TableText"/>
              <w:jc w:val="left"/>
            </w:pPr>
            <w:r>
              <w:t xml:space="preserve">Uber</w:t>
            </w:r>
          </w:p>
        </w:tc>
        <w:tc>
          <w:tcPr>
            <w:tcW w:w="2031" w:type="dxa"/>
          </w:tcPr>
          <w:p>
            <w:pPr>
              <w:pStyle w:val="TableText"/>
              <w:jc w:val="left"/>
            </w:pPr>
            <w:r>
              <w:t xml:space="preserve">Airbnb</w:t>
            </w:r>
          </w:p>
        </w:tc>
        <w:tc>
          <w:tcPr>
            <w:tcW w:w="2209" w:type="dxa"/>
          </w:tcPr>
          <w:p>
            <w:pPr>
              <w:pStyle w:val="TableText"/>
              <w:jc w:val="left"/>
            </w:pPr>
            <w:r>
              <w:t xml:space="preserve">Common failure</w:t>
            </w:r>
          </w:p>
        </w:tc>
      </w:tr>
      <w:tr>
        <w:trPr>
          <w:cantSplit/>
        </w:trPr>
        <w:tc>
          <w:tcPr>
            <w:tcW w:w="883" w:type="dxa"/>
          </w:tcPr>
          <w:p>
            <w:pPr>
              <w:pStyle w:val="TableText"/>
              <w:jc w:val="left"/>
            </w:pPr>
            <w:r>
              <w:rPr>
                <w:b/>
                <w:bCs/>
              </w:rPr>
              <w:t xml:space="preserve">1. Spot</w:t>
            </w:r>
          </w:p>
        </w:tc>
        <w:tc>
          <w:tcPr>
            <w:tcW w:w="2560" w:type="dxa"/>
          </w:tcPr>
          <w:p>
            <w:pPr>
              <w:pStyle w:val="TableText"/>
              <w:jc w:val="left"/>
            </w:pPr>
            <w:r>
              <w:t xml:space="preserve">How big is the spread, and how long will it last?</w:t>
            </w:r>
          </w:p>
        </w:tc>
        <w:tc>
          <w:tcPr>
            <w:tcW w:w="1677" w:type="dxa"/>
          </w:tcPr>
          <w:p>
            <w:pPr>
              <w:pStyle w:val="TableText"/>
              <w:jc w:val="left"/>
            </w:pPr>
            <w:r>
              <w:t xml:space="preserve">Taxi prices versus idle cars</w:t>
            </w:r>
          </w:p>
        </w:tc>
        <w:tc>
          <w:tcPr>
            <w:tcW w:w="2031" w:type="dxa"/>
          </w:tcPr>
          <w:p>
            <w:pPr>
              <w:pStyle w:val="TableText"/>
              <w:jc w:val="left"/>
            </w:pPr>
            <w:r>
              <w:t xml:space="preserve">Hotel rates versus spare rooms</w:t>
            </w:r>
          </w:p>
        </w:tc>
        <w:tc>
          <w:tcPr>
            <w:tcW w:w="2209" w:type="dxa"/>
          </w:tcPr>
          <w:p>
            <w:pPr>
              <w:pStyle w:val="TableText"/>
              <w:jc w:val="left"/>
            </w:pPr>
            <w:r>
              <w:t xml:space="preserve">Mistaking a fad for a spread</w:t>
            </w:r>
          </w:p>
        </w:tc>
      </w:tr>
      <w:tr>
        <w:trPr>
          <w:cantSplit/>
        </w:trPr>
        <w:tc>
          <w:tcPr>
            <w:tcW w:w="883" w:type="dxa"/>
          </w:tcPr>
          <w:p>
            <w:pPr>
              <w:pStyle w:val="TableText"/>
              <w:jc w:val="left"/>
            </w:pPr>
            <w:r>
              <w:rPr>
                <w:b/>
                <w:bCs/>
              </w:rPr>
              <w:t xml:space="preserve">2. Exploit</w:t>
            </w:r>
          </w:p>
        </w:tc>
        <w:tc>
          <w:tcPr>
            <w:tcW w:w="2560" w:type="dxa"/>
          </w:tcPr>
          <w:p>
            <w:pPr>
              <w:pStyle w:val="TableText"/>
              <w:jc w:val="left"/>
            </w:pPr>
            <w:r>
              <w:t xml:space="preserve">Can we deliver the outcome reliably and profitably?</w:t>
            </w:r>
          </w:p>
        </w:tc>
        <w:tc>
          <w:tcPr>
            <w:tcW w:w="1677" w:type="dxa"/>
          </w:tcPr>
          <w:p>
            <w:pPr>
              <w:pStyle w:val="TableText"/>
              <w:jc w:val="left"/>
            </w:pPr>
            <w:r>
              <w:t xml:space="preserve">Black cars, then UberX</w:t>
            </w:r>
          </w:p>
        </w:tc>
        <w:tc>
          <w:tcPr>
            <w:tcW w:w="2031" w:type="dxa"/>
          </w:tcPr>
          <w:p>
            <w:pPr>
              <w:pStyle w:val="TableText"/>
              <w:jc w:val="left"/>
            </w:pPr>
            <w:r>
              <w:t xml:space="preserve">Air mattresses, then whole homes</w:t>
            </w:r>
          </w:p>
        </w:tc>
        <w:tc>
          <w:tcPr>
            <w:tcW w:w="2209" w:type="dxa"/>
          </w:tcPr>
          <w:p>
            <w:pPr>
              <w:pStyle w:val="TableText"/>
              <w:jc w:val="left"/>
            </w:pPr>
            <w:r>
              <w:t xml:space="preserve">Spread too thin to cover friction (Washio)</w:t>
            </w:r>
          </w:p>
        </w:tc>
      </w:tr>
      <w:tr>
        <w:trPr>
          <w:cantSplit/>
        </w:trPr>
        <w:tc>
          <w:tcPr>
            <w:tcW w:w="883" w:type="dxa"/>
          </w:tcPr>
          <w:p>
            <w:pPr>
              <w:pStyle w:val="TableText"/>
              <w:jc w:val="left"/>
            </w:pPr>
            <w:r>
              <w:rPr>
                <w:b/>
                <w:bCs/>
              </w:rPr>
              <w:t xml:space="preserve">3. Bridge</w:t>
            </w:r>
          </w:p>
        </w:tc>
        <w:tc>
          <w:tcPr>
            <w:tcW w:w="2560" w:type="dxa"/>
          </w:tcPr>
          <w:p>
            <w:pPr>
              <w:pStyle w:val="TableText"/>
              <w:jc w:val="left"/>
            </w:pPr>
            <w:r>
              <w:t xml:space="preserve">Do customers trust us as</w:t>
            </w:r>
            <w:r>
              <w:t xml:space="preserve"> </w:t>
            </w:r>
            <w:r>
              <w:rPr>
                <w:i/>
                <w:iCs/>
              </w:rPr>
              <w:t xml:space="preserve">the</w:t>
            </w:r>
            <w:r>
              <w:t xml:space="preserve"> </w:t>
            </w:r>
            <w:r>
              <w:t xml:space="preserve">way across?</w:t>
            </w:r>
          </w:p>
        </w:tc>
        <w:tc>
          <w:tcPr>
            <w:tcW w:w="1677" w:type="dxa"/>
          </w:tcPr>
          <w:p>
            <w:pPr>
              <w:pStyle w:val="TableText"/>
              <w:jc w:val="left"/>
            </w:pPr>
            <w:r>
              <w:t xml:space="preserve">Ratings, tracking, payments</w:t>
            </w:r>
          </w:p>
        </w:tc>
        <w:tc>
          <w:tcPr>
            <w:tcW w:w="2031" w:type="dxa"/>
          </w:tcPr>
          <w:p>
            <w:pPr>
              <w:pStyle w:val="TableText"/>
              <w:jc w:val="left"/>
            </w:pPr>
            <w:r>
              <w:t xml:space="preserve">Reviews, verification, AirCover</w:t>
            </w:r>
          </w:p>
        </w:tc>
        <w:tc>
          <w:tcPr>
            <w:tcW w:w="2209" w:type="dxa"/>
          </w:tcPr>
          <w:p>
            <w:pPr>
              <w:pStyle w:val="TableText"/>
              <w:jc w:val="left"/>
            </w:pPr>
            <w:r>
              <w:t xml:space="preserve">Customers go direct (Homejoy)</w:t>
            </w:r>
          </w:p>
        </w:tc>
      </w:tr>
      <w:tr>
        <w:trPr>
          <w:cantSplit/>
        </w:trPr>
        <w:tc>
          <w:tcPr>
            <w:tcW w:w="883" w:type="dxa"/>
          </w:tcPr>
          <w:p>
            <w:pPr>
              <w:pStyle w:val="TableText"/>
              <w:jc w:val="left"/>
            </w:pPr>
            <w:r>
              <w:rPr>
                <w:b/>
                <w:bCs/>
              </w:rPr>
              <w:t xml:space="preserve">4. Own</w:t>
            </w:r>
          </w:p>
        </w:tc>
        <w:tc>
          <w:tcPr>
            <w:tcW w:w="2560" w:type="dxa"/>
          </w:tcPr>
          <w:p>
            <w:pPr>
              <w:pStyle w:val="TableText"/>
              <w:jc w:val="left"/>
            </w:pPr>
            <w:r>
              <w:t xml:space="preserve">What remains when the spread closes?</w:t>
            </w:r>
          </w:p>
        </w:tc>
        <w:tc>
          <w:tcPr>
            <w:tcW w:w="1677" w:type="dxa"/>
          </w:tcPr>
          <w:p>
            <w:pPr>
              <w:pStyle w:val="TableText"/>
              <w:jc w:val="left"/>
            </w:pPr>
            <w:r>
              <w:t xml:space="preserve">Network, data, brand</w:t>
            </w:r>
          </w:p>
        </w:tc>
        <w:tc>
          <w:tcPr>
            <w:tcW w:w="2031" w:type="dxa"/>
          </w:tcPr>
          <w:p>
            <w:pPr>
              <w:pStyle w:val="TableText"/>
              <w:jc w:val="left"/>
            </w:pPr>
            <w:r>
              <w:t xml:space="preserve">Trust system, unique supply</w:t>
            </w:r>
          </w:p>
        </w:tc>
        <w:tc>
          <w:tcPr>
            <w:tcW w:w="2209" w:type="dxa"/>
          </w:tcPr>
          <w:p>
            <w:pPr>
              <w:pStyle w:val="TableText"/>
              <w:jc w:val="left"/>
            </w:pPr>
            <w:r>
              <w:t xml:space="preserve">Software-only</w:t>
            </w:r>
            <w:r>
              <w:t xml:space="preserve"> </w:t>
            </w:r>
            <w:r>
              <w:t xml:space="preserve">“</w:t>
            </w:r>
            <w:r>
              <w:t xml:space="preserve">moats</w:t>
            </w:r>
            <w:r>
              <w:t xml:space="preserve">”</w:t>
            </w:r>
            <w:r>
              <w:t xml:space="preserve"> </w:t>
            </w:r>
            <w:r>
              <w:t xml:space="preserve">copied overnight</w:t>
            </w:r>
          </w:p>
        </w:tc>
      </w:tr>
      <w:tr>
        <w:trPr>
          <w:cantSplit/>
        </w:trPr>
        <w:tc>
          <w:tcPr>
            <w:tcW w:w="883" w:type="dxa"/>
          </w:tcPr>
          <w:p>
            <w:pPr>
              <w:pStyle w:val="TableText"/>
              <w:jc w:val="left"/>
            </w:pPr>
            <w:r>
              <w:rPr>
                <w:b/>
                <w:bCs/>
              </w:rPr>
              <w:t xml:space="preserve">5. Steward</w:t>
            </w:r>
          </w:p>
        </w:tc>
        <w:tc>
          <w:tcPr>
            <w:tcW w:w="2560" w:type="dxa"/>
          </w:tcPr>
          <w:p>
            <w:pPr>
              <w:pStyle w:val="TableText"/>
              <w:jc w:val="left"/>
            </w:pPr>
            <w:r>
              <w:t xml:space="preserve">Is the spread shared with the people on the cheap side?</w:t>
            </w:r>
          </w:p>
        </w:tc>
        <w:tc>
          <w:tcPr>
            <w:tcW w:w="1677" w:type="dxa"/>
          </w:tcPr>
          <w:p>
            <w:pPr>
              <w:pStyle w:val="TableText"/>
              <w:jc w:val="left"/>
            </w:pPr>
            <w:r>
              <w:t xml:space="preserve">Weak, so regulation followed</w:t>
            </w:r>
          </w:p>
        </w:tc>
        <w:tc>
          <w:tcPr>
            <w:tcW w:w="2031" w:type="dxa"/>
          </w:tcPr>
          <w:p>
            <w:pPr>
              <w:pStyle w:val="TableText"/>
              <w:jc w:val="left"/>
            </w:pPr>
            <w:r>
              <w:t xml:space="preserve">Partial; housing backlash followed</w:t>
            </w:r>
          </w:p>
        </w:tc>
        <w:tc>
          <w:tcPr>
            <w:tcW w:w="2209" w:type="dxa"/>
          </w:tcPr>
          <w:p>
            <w:pPr>
              <w:pStyle w:val="TableText"/>
              <w:jc w:val="left"/>
            </w:pPr>
            <w:r>
              <w:t xml:space="preserve">Double movement</w:t>
            </w:r>
          </w:p>
        </w:tc>
      </w:tr>
    </w:tbl>
    <w:bookmarkEnd w:id="45"/>
    <w:bookmarkStart w:id="46" w:name="Xeb48579fa6a1208bb07433dfef621153ffa7ce2"/>
    <w:p>
      <w:pPr>
        <w:pStyle w:val="Heading2"/>
      </w:pPr>
      <w:r>
        <w:t xml:space="preserve">3.3 Seven moats that survive the spread closing</w:t>
      </w:r>
    </w:p>
    <w:p>
      <w:pPr>
        <w:pStyle w:val="FirstParagraph"/>
      </w:pPr>
      <w:r>
        <w:t xml:space="preserve">AI is making software cheap to copy, so a clever app is no longer a moat. Seven kinds of advantage survive:</w:t>
      </w:r>
    </w:p>
    <w:p>
      <w:pPr>
        <w:pStyle w:val="Compact"/>
        <w:numPr>
          <w:ilvl w:val="0"/>
          <w:numId w:val="1009"/>
        </w:numPr>
      </w:pPr>
      <w:r>
        <w:rPr>
          <w:b/>
          <w:bCs/>
        </w:rPr>
        <w:t xml:space="preserve">Verified trust:</w:t>
      </w:r>
      <w:r>
        <w:t xml:space="preserve"> </w:t>
      </w:r>
      <w:r>
        <w:t xml:space="preserve">reputations, guarantees and verification records accumulated over time (Volume I’s trust law).</w:t>
      </w:r>
    </w:p>
    <w:p>
      <w:pPr>
        <w:pStyle w:val="Compact"/>
        <w:numPr>
          <w:ilvl w:val="0"/>
          <w:numId w:val="1009"/>
        </w:numPr>
      </w:pPr>
      <w:r>
        <w:rPr>
          <w:b/>
          <w:bCs/>
        </w:rPr>
        <w:t xml:space="preserve">Consented data rights:</w:t>
      </w:r>
      <w:r>
        <w:t xml:space="preserve"> </w:t>
      </w:r>
      <w:r>
        <w:t xml:space="preserve">data contributed under fair terms, which competitors cannot legally scrape.</w:t>
      </w:r>
    </w:p>
    <w:p>
      <w:pPr>
        <w:pStyle w:val="Compact"/>
        <w:numPr>
          <w:ilvl w:val="0"/>
          <w:numId w:val="1009"/>
        </w:numPr>
      </w:pPr>
      <w:r>
        <w:rPr>
          <w:b/>
          <w:bCs/>
        </w:rPr>
        <w:t xml:space="preserve">Distribution and relationships:</w:t>
      </w:r>
      <w:r>
        <w:t xml:space="preserve"> </w:t>
      </w:r>
      <w:r>
        <w:t xml:space="preserve">agent networks, associations, schools and governments that already rely on you.</w:t>
      </w:r>
    </w:p>
    <w:p>
      <w:pPr>
        <w:pStyle w:val="Compact"/>
        <w:numPr>
          <w:ilvl w:val="0"/>
          <w:numId w:val="1009"/>
        </w:numPr>
      </w:pPr>
      <w:r>
        <w:rPr>
          <w:b/>
          <w:bCs/>
        </w:rPr>
        <w:t xml:space="preserve">Physical infrastructure:</w:t>
      </w:r>
      <w:r>
        <w:t xml:space="preserve"> </w:t>
      </w:r>
      <w:r>
        <w:t xml:space="preserve">sites, power contracts, connectivity, devices.</w:t>
      </w:r>
    </w:p>
    <w:p>
      <w:pPr>
        <w:pStyle w:val="Compact"/>
        <w:numPr>
          <w:ilvl w:val="0"/>
          <w:numId w:val="1009"/>
        </w:numPr>
      </w:pPr>
      <w:r>
        <w:rPr>
          <w:b/>
          <w:bCs/>
        </w:rPr>
        <w:t xml:space="preserve">Ownership alignment:</w:t>
      </w:r>
      <w:r>
        <w:t xml:space="preserve"> </w:t>
      </w:r>
      <w:r>
        <w:t xml:space="preserve">cooperatives and shared equity that give providers and users a reason to stay.</w:t>
      </w:r>
    </w:p>
    <w:p>
      <w:pPr>
        <w:pStyle w:val="Compact"/>
        <w:numPr>
          <w:ilvl w:val="0"/>
          <w:numId w:val="1009"/>
        </w:numPr>
      </w:pPr>
      <w:r>
        <w:rPr>
          <w:b/>
          <w:bCs/>
        </w:rPr>
        <w:t xml:space="preserve">Regulatory standing:</w:t>
      </w:r>
      <w:r>
        <w:t xml:space="preserve"> </w:t>
      </w:r>
      <w:r>
        <w:t xml:space="preserve">licences, approvals, certifications and a record with regulators.</w:t>
      </w:r>
    </w:p>
    <w:p>
      <w:pPr>
        <w:pStyle w:val="Compact"/>
        <w:numPr>
          <w:ilvl w:val="0"/>
          <w:numId w:val="1009"/>
        </w:numPr>
      </w:pPr>
      <w:r>
        <w:rPr>
          <w:b/>
          <w:bCs/>
        </w:rPr>
        <w:t xml:space="preserve">Community legitimacy:</w:t>
      </w:r>
      <w:r>
        <w:t xml:space="preserve"> </w:t>
      </w:r>
      <w:r>
        <w:t xml:space="preserve">the trust of the communities whose resources or labour the venture uses.</w:t>
      </w:r>
    </w:p>
    <w:bookmarkEnd w:id="46"/>
    <w:bookmarkStart w:id="47" w:name="the-spread-quality-score"/>
    <w:p>
      <w:pPr>
        <w:pStyle w:val="Heading2"/>
      </w:pPr>
      <w:r>
        <w:t xml:space="preserve">3.4 The Spread Quality Score</w:t>
      </w:r>
    </w:p>
    <w:p>
      <w:pPr>
        <w:pStyle w:val="FirstParagraph"/>
      </w:pPr>
      <w:r>
        <w:t xml:space="preserve">Each potential arbitrage is scored on five dimensions, 0–5 each (rubric in Appendix B), for a maximum of 25.</w:t>
      </w:r>
    </w:p>
    <w:tbl>
      <w:tblPr>
        <w:tblStyle w:val="Table"/>
        <w:tblW w:w="9360" w:type="dxa"/>
        <w:jc w:val="left"/>
        <w:tblLayout w:type="fixed"/>
        <w:tblLook w:firstRow="1" w:lastRow="0" w:firstColumn="0" w:lastColumn="0" w:noHBand="0" w:noVBand="0" w:val="0020"/>
      </w:tblPr>
      <w:tblGrid>
        <w:gridCol w:w="1787"/>
        <w:gridCol w:w="7573"/>
      </w:tblGrid>
      <w:tr>
        <w:trPr>
          <w:cantSplit/>
          <w:tblHeader w:val="true"/>
        </w:trPr>
        <w:tc>
          <w:tcPr>
            <w:tcW w:w="1787" w:type="dxa"/>
          </w:tcPr>
          <w:p>
            <w:pPr>
              <w:pStyle w:val="TableText"/>
              <w:jc w:val="left"/>
            </w:pPr>
            <w:r>
              <w:t xml:space="preserve">Dimension</w:t>
            </w:r>
          </w:p>
        </w:tc>
        <w:tc>
          <w:tcPr>
            <w:tcW w:w="7573" w:type="dxa"/>
          </w:tcPr>
          <w:p>
            <w:pPr>
              <w:pStyle w:val="TableText"/>
              <w:jc w:val="left"/>
            </w:pPr>
            <w:r>
              <w:t xml:space="preserve">Question</w:t>
            </w:r>
          </w:p>
        </w:tc>
      </w:tr>
      <w:tr>
        <w:trPr>
          <w:cantSplit/>
        </w:trPr>
        <w:tc>
          <w:tcPr>
            <w:tcW w:w="1787" w:type="dxa"/>
          </w:tcPr>
          <w:p>
            <w:pPr>
              <w:pStyle w:val="TableText"/>
              <w:jc w:val="left"/>
            </w:pPr>
            <w:r>
              <w:rPr>
                <w:b/>
                <w:bCs/>
              </w:rPr>
              <w:t xml:space="preserve">Size (S)</w:t>
            </w:r>
          </w:p>
        </w:tc>
        <w:tc>
          <w:tcPr>
            <w:tcW w:w="7573" w:type="dxa"/>
          </w:tcPr>
          <w:p>
            <w:pPr>
              <w:pStyle w:val="TableText"/>
              <w:jc w:val="left"/>
            </w:pPr>
            <w:r>
              <w:t xml:space="preserve">How large is the net spread, per transaction and in total?</w:t>
            </w:r>
          </w:p>
        </w:tc>
      </w:tr>
      <w:tr>
        <w:trPr>
          <w:cantSplit/>
        </w:trPr>
        <w:tc>
          <w:tcPr>
            <w:tcW w:w="1787" w:type="dxa"/>
          </w:tcPr>
          <w:p>
            <w:pPr>
              <w:pStyle w:val="TableText"/>
              <w:jc w:val="left"/>
            </w:pPr>
            <w:r>
              <w:rPr>
                <w:b/>
                <w:bCs/>
              </w:rPr>
              <w:t xml:space="preserve">Half-life (H)</w:t>
            </w:r>
          </w:p>
        </w:tc>
        <w:tc>
          <w:tcPr>
            <w:tcW w:w="7573" w:type="dxa"/>
          </w:tcPr>
          <w:p>
            <w:pPr>
              <w:pStyle w:val="TableText"/>
              <w:jc w:val="left"/>
            </w:pPr>
            <w:r>
              <w:t xml:space="preserve">How long will the spread last before competition or regulation halves it?</w:t>
            </w:r>
          </w:p>
        </w:tc>
      </w:tr>
      <w:tr>
        <w:trPr>
          <w:cantSplit/>
        </w:trPr>
        <w:tc>
          <w:tcPr>
            <w:tcW w:w="1787" w:type="dxa"/>
          </w:tcPr>
          <w:p>
            <w:pPr>
              <w:pStyle w:val="TableText"/>
              <w:jc w:val="left"/>
            </w:pPr>
            <w:r>
              <w:rPr>
                <w:b/>
                <w:bCs/>
              </w:rPr>
              <w:t xml:space="preserve">Productivity (P)</w:t>
            </w:r>
          </w:p>
        </w:tc>
        <w:tc>
          <w:tcPr>
            <w:tcW w:w="7573" w:type="dxa"/>
          </w:tcPr>
          <w:p>
            <w:pPr>
              <w:pStyle w:val="TableText"/>
              <w:jc w:val="left"/>
            </w:pPr>
            <w:r>
              <w:t xml:space="preserve">Does it close a real gap and create capability (Baumol)?</w:t>
            </w:r>
          </w:p>
        </w:tc>
      </w:tr>
      <w:tr>
        <w:trPr>
          <w:cantSplit/>
        </w:trPr>
        <w:tc>
          <w:tcPr>
            <w:tcW w:w="1787" w:type="dxa"/>
          </w:tcPr>
          <w:p>
            <w:pPr>
              <w:pStyle w:val="TableText"/>
              <w:jc w:val="left"/>
            </w:pPr>
            <w:r>
              <w:rPr>
                <w:b/>
                <w:bCs/>
              </w:rPr>
              <w:t xml:space="preserve">Moat conversion (M)</w:t>
            </w:r>
          </w:p>
        </w:tc>
        <w:tc>
          <w:tcPr>
            <w:tcW w:w="7573" w:type="dxa"/>
          </w:tcPr>
          <w:p>
            <w:pPr>
              <w:pStyle w:val="TableText"/>
              <w:jc w:val="left"/>
            </w:pPr>
            <w:r>
              <w:t xml:space="preserve">How much of the spread can be turned into the seven durable moats?</w:t>
            </w:r>
          </w:p>
        </w:tc>
      </w:tr>
      <w:tr>
        <w:trPr>
          <w:cantSplit/>
        </w:trPr>
        <w:tc>
          <w:tcPr>
            <w:tcW w:w="1787" w:type="dxa"/>
          </w:tcPr>
          <w:p>
            <w:pPr>
              <w:pStyle w:val="TableText"/>
              <w:jc w:val="left"/>
            </w:pPr>
            <w:r>
              <w:rPr>
                <w:b/>
                <w:bCs/>
              </w:rPr>
              <w:t xml:space="preserve">Fair sharing (F)</w:t>
            </w:r>
          </w:p>
        </w:tc>
        <w:tc>
          <w:tcPr>
            <w:tcW w:w="7573" w:type="dxa"/>
          </w:tcPr>
          <w:p>
            <w:pPr>
              <w:pStyle w:val="TableText"/>
              <w:jc w:val="left"/>
            </w:pPr>
            <w:r>
              <w:t xml:space="preserve">How much of the spread reaches the cheap side (workers, communities, users)?</w:t>
            </w:r>
          </w:p>
        </w:tc>
      </w:tr>
    </w:tbl>
    <w:p>
      <w:pPr>
        <w:pStyle w:val="BodyText"/>
        <w:spacing w:before="160"/>
      </w:pPr>
      <w:r>
        <w:rPr>
          <w:b/>
          <w:bCs/>
        </w:rPr>
        <w:t xml:space="preserve">Calibration against benchmarks and common AI hustles:</w:t>
      </w:r>
    </w:p>
    <w:tbl>
      <w:tblPr>
        <w:tblStyle w:val="Table"/>
        <w:tblW w:w="9360" w:type="dxa"/>
        <w:jc w:val="left"/>
        <w:tblLayout w:type="fixed"/>
        <w:tblLook w:firstRow="1" w:lastRow="0" w:firstColumn="0" w:lastColumn="0" w:noHBand="0" w:noVBand="0" w:val="0020"/>
      </w:tblPr>
      <w:tblGrid>
        <w:gridCol w:w="2647"/>
        <w:gridCol w:w="378"/>
        <w:gridCol w:w="378"/>
        <w:gridCol w:w="378"/>
        <w:gridCol w:w="378"/>
        <w:gridCol w:w="378"/>
        <w:gridCol w:w="850"/>
        <w:gridCol w:w="3973"/>
      </w:tblGrid>
      <w:tr>
        <w:trPr>
          <w:cantSplit/>
          <w:tblHeader w:val="true"/>
        </w:trPr>
        <w:tc>
          <w:tcPr>
            <w:tcW w:w="2647" w:type="dxa"/>
          </w:tcPr>
          <w:p>
            <w:pPr>
              <w:pStyle w:val="TableText"/>
              <w:jc w:val="left"/>
            </w:pPr>
            <w:r>
              <w:t xml:space="preserve">Case</w:t>
            </w:r>
          </w:p>
        </w:tc>
        <w:tc>
          <w:tcPr>
            <w:tcW w:w="378" w:type="dxa"/>
          </w:tcPr>
          <w:p>
            <w:pPr>
              <w:pStyle w:val="TableText"/>
              <w:jc w:val="left"/>
            </w:pPr>
            <w:r>
              <w:t xml:space="preserve">S</w:t>
            </w:r>
          </w:p>
        </w:tc>
        <w:tc>
          <w:tcPr>
            <w:tcW w:w="378" w:type="dxa"/>
          </w:tcPr>
          <w:p>
            <w:pPr>
              <w:pStyle w:val="TableText"/>
              <w:jc w:val="left"/>
            </w:pPr>
            <w:r>
              <w:t xml:space="preserve">H</w:t>
            </w:r>
          </w:p>
        </w:tc>
        <w:tc>
          <w:tcPr>
            <w:tcW w:w="378" w:type="dxa"/>
          </w:tcPr>
          <w:p>
            <w:pPr>
              <w:pStyle w:val="TableText"/>
              <w:jc w:val="left"/>
            </w:pPr>
            <w:r>
              <w:t xml:space="preserve">P</w:t>
            </w:r>
          </w:p>
        </w:tc>
        <w:tc>
          <w:tcPr>
            <w:tcW w:w="378" w:type="dxa"/>
          </w:tcPr>
          <w:p>
            <w:pPr>
              <w:pStyle w:val="TableText"/>
              <w:jc w:val="left"/>
            </w:pPr>
            <w:r>
              <w:t xml:space="preserve">M</w:t>
            </w:r>
          </w:p>
        </w:tc>
        <w:tc>
          <w:tcPr>
            <w:tcW w:w="378" w:type="dxa"/>
          </w:tcPr>
          <w:p>
            <w:pPr>
              <w:pStyle w:val="TableText"/>
              <w:jc w:val="left"/>
            </w:pPr>
            <w:r>
              <w:t xml:space="preserve">F</w:t>
            </w:r>
          </w:p>
        </w:tc>
        <w:tc>
          <w:tcPr>
            <w:tcW w:w="850" w:type="dxa"/>
          </w:tcPr>
          <w:p>
            <w:pPr>
              <w:pStyle w:val="TableText"/>
              <w:jc w:val="left"/>
            </w:pPr>
            <w:r>
              <w:rPr>
                <w:b/>
                <w:bCs/>
              </w:rPr>
              <w:t xml:space="preserve">Total</w:t>
            </w:r>
          </w:p>
        </w:tc>
        <w:tc>
          <w:tcPr>
            <w:tcW w:w="3973" w:type="dxa"/>
          </w:tcPr>
          <w:p>
            <w:pPr>
              <w:pStyle w:val="TableText"/>
              <w:jc w:val="left"/>
            </w:pPr>
            <w:r>
              <w:t xml:space="preserve">Reading</w:t>
            </w:r>
          </w:p>
        </w:tc>
      </w:tr>
      <w:tr>
        <w:trPr>
          <w:cantSplit/>
        </w:trPr>
        <w:tc>
          <w:tcPr>
            <w:tcW w:w="2647" w:type="dxa"/>
          </w:tcPr>
          <w:p>
            <w:pPr>
              <w:pStyle w:val="TableText"/>
              <w:jc w:val="left"/>
            </w:pPr>
            <w:r>
              <w:t xml:space="preserve">Uber (c.2012)</w:t>
            </w:r>
          </w:p>
        </w:tc>
        <w:tc>
          <w:tcPr>
            <w:tcW w:w="378" w:type="dxa"/>
          </w:tcPr>
          <w:p>
            <w:pPr>
              <w:pStyle w:val="TableText"/>
              <w:jc w:val="left"/>
            </w:pPr>
            <w:r>
              <w:t xml:space="preserve">5</w:t>
            </w:r>
          </w:p>
        </w:tc>
        <w:tc>
          <w:tcPr>
            <w:tcW w:w="378" w:type="dxa"/>
          </w:tcPr>
          <w:p>
            <w:pPr>
              <w:pStyle w:val="TableText"/>
              <w:jc w:val="left"/>
            </w:pPr>
            <w:r>
              <w:t xml:space="preserve">3</w:t>
            </w:r>
          </w:p>
        </w:tc>
        <w:tc>
          <w:tcPr>
            <w:tcW w:w="378" w:type="dxa"/>
          </w:tcPr>
          <w:p>
            <w:pPr>
              <w:pStyle w:val="TableText"/>
              <w:jc w:val="left"/>
            </w:pPr>
            <w:r>
              <w:t xml:space="preserve">3</w:t>
            </w:r>
          </w:p>
        </w:tc>
        <w:tc>
          <w:tcPr>
            <w:tcW w:w="378" w:type="dxa"/>
          </w:tcPr>
          <w:p>
            <w:pPr>
              <w:pStyle w:val="TableText"/>
              <w:jc w:val="left"/>
            </w:pPr>
            <w:r>
              <w:t xml:space="preserve">5</w:t>
            </w:r>
          </w:p>
        </w:tc>
        <w:tc>
          <w:tcPr>
            <w:tcW w:w="378" w:type="dxa"/>
          </w:tcPr>
          <w:p>
            <w:pPr>
              <w:pStyle w:val="TableText"/>
              <w:jc w:val="left"/>
            </w:pPr>
            <w:r>
              <w:t xml:space="preserve">1</w:t>
            </w:r>
          </w:p>
        </w:tc>
        <w:tc>
          <w:tcPr>
            <w:tcW w:w="850" w:type="dxa"/>
          </w:tcPr>
          <w:p>
            <w:pPr>
              <w:pStyle w:val="TableText"/>
              <w:jc w:val="left"/>
            </w:pPr>
            <w:r>
              <w:rPr>
                <w:b/>
                <w:bCs/>
              </w:rPr>
              <w:t xml:space="preserve">17</w:t>
            </w:r>
          </w:p>
        </w:tc>
        <w:tc>
          <w:tcPr>
            <w:tcW w:w="3973" w:type="dxa"/>
          </w:tcPr>
          <w:p>
            <w:pPr>
              <w:pStyle w:val="TableText"/>
              <w:jc w:val="left"/>
            </w:pPr>
            <w:r>
              <w:t xml:space="preserve">Large spread, strong moat, poor sharing; regulation followed</w:t>
            </w:r>
          </w:p>
        </w:tc>
      </w:tr>
      <w:tr>
        <w:trPr>
          <w:cantSplit/>
        </w:trPr>
        <w:tc>
          <w:tcPr>
            <w:tcW w:w="2647" w:type="dxa"/>
          </w:tcPr>
          <w:p>
            <w:pPr>
              <w:pStyle w:val="TableText"/>
              <w:jc w:val="left"/>
            </w:pPr>
            <w:r>
              <w:t xml:space="preserve">Airbnb (c.2009)</w:t>
            </w:r>
          </w:p>
        </w:tc>
        <w:tc>
          <w:tcPr>
            <w:tcW w:w="378" w:type="dxa"/>
          </w:tcPr>
          <w:p>
            <w:pPr>
              <w:pStyle w:val="TableText"/>
              <w:jc w:val="left"/>
            </w:pPr>
            <w:r>
              <w:t xml:space="preserve">4</w:t>
            </w:r>
          </w:p>
        </w:tc>
        <w:tc>
          <w:tcPr>
            <w:tcW w:w="378" w:type="dxa"/>
          </w:tcPr>
          <w:p>
            <w:pPr>
              <w:pStyle w:val="TableText"/>
              <w:jc w:val="left"/>
            </w:pPr>
            <w:r>
              <w:t xml:space="preserve">4</w:t>
            </w:r>
          </w:p>
        </w:tc>
        <w:tc>
          <w:tcPr>
            <w:tcW w:w="378" w:type="dxa"/>
          </w:tcPr>
          <w:p>
            <w:pPr>
              <w:pStyle w:val="TableText"/>
              <w:jc w:val="left"/>
            </w:pPr>
            <w:r>
              <w:t xml:space="preserve">4</w:t>
            </w:r>
          </w:p>
        </w:tc>
        <w:tc>
          <w:tcPr>
            <w:tcW w:w="378" w:type="dxa"/>
          </w:tcPr>
          <w:p>
            <w:pPr>
              <w:pStyle w:val="TableText"/>
              <w:jc w:val="left"/>
            </w:pPr>
            <w:r>
              <w:t xml:space="preserve">5</w:t>
            </w:r>
          </w:p>
        </w:tc>
        <w:tc>
          <w:tcPr>
            <w:tcW w:w="378" w:type="dxa"/>
          </w:tcPr>
          <w:p>
            <w:pPr>
              <w:pStyle w:val="TableText"/>
              <w:jc w:val="left"/>
            </w:pPr>
            <w:r>
              <w:t xml:space="preserve">2</w:t>
            </w:r>
          </w:p>
        </w:tc>
        <w:tc>
          <w:tcPr>
            <w:tcW w:w="850" w:type="dxa"/>
          </w:tcPr>
          <w:p>
            <w:pPr>
              <w:pStyle w:val="TableText"/>
              <w:jc w:val="left"/>
            </w:pPr>
            <w:r>
              <w:rPr>
                <w:b/>
                <w:bCs/>
              </w:rPr>
              <w:t xml:space="preserve">19</w:t>
            </w:r>
          </w:p>
        </w:tc>
        <w:tc>
          <w:tcPr>
            <w:tcW w:w="3973" w:type="dxa"/>
          </w:tcPr>
          <w:p>
            <w:pPr>
              <w:pStyle w:val="TableText"/>
              <w:jc w:val="left"/>
            </w:pPr>
            <w:r>
              <w:t xml:space="preserve">Good spread and moat; housing externalities</w:t>
            </w:r>
          </w:p>
        </w:tc>
      </w:tr>
      <w:tr>
        <w:trPr>
          <w:cantSplit/>
        </w:trPr>
        <w:tc>
          <w:tcPr>
            <w:tcW w:w="2647" w:type="dxa"/>
          </w:tcPr>
          <w:p>
            <w:pPr>
              <w:pStyle w:val="TableText"/>
              <w:jc w:val="left"/>
            </w:pPr>
            <w:r>
              <w:t xml:space="preserve">Rebranded chatbot resold to small firms</w:t>
            </w:r>
          </w:p>
        </w:tc>
        <w:tc>
          <w:tcPr>
            <w:tcW w:w="378" w:type="dxa"/>
          </w:tcPr>
          <w:p>
            <w:pPr>
              <w:pStyle w:val="TableText"/>
              <w:jc w:val="left"/>
            </w:pPr>
            <w:r>
              <w:t xml:space="preserve">3</w:t>
            </w:r>
          </w:p>
        </w:tc>
        <w:tc>
          <w:tcPr>
            <w:tcW w:w="378" w:type="dxa"/>
          </w:tcPr>
          <w:p>
            <w:pPr>
              <w:pStyle w:val="TableText"/>
              <w:jc w:val="left"/>
            </w:pPr>
            <w:r>
              <w:t xml:space="preserve">1</w:t>
            </w:r>
          </w:p>
        </w:tc>
        <w:tc>
          <w:tcPr>
            <w:tcW w:w="378" w:type="dxa"/>
          </w:tcPr>
          <w:p>
            <w:pPr>
              <w:pStyle w:val="TableText"/>
              <w:jc w:val="left"/>
            </w:pPr>
            <w:r>
              <w:t xml:space="preserve">2</w:t>
            </w:r>
          </w:p>
        </w:tc>
        <w:tc>
          <w:tcPr>
            <w:tcW w:w="378" w:type="dxa"/>
          </w:tcPr>
          <w:p>
            <w:pPr>
              <w:pStyle w:val="TableText"/>
              <w:jc w:val="left"/>
            </w:pPr>
            <w:r>
              <w:t xml:space="preserve">1</w:t>
            </w:r>
          </w:p>
        </w:tc>
        <w:tc>
          <w:tcPr>
            <w:tcW w:w="378" w:type="dxa"/>
          </w:tcPr>
          <w:p>
            <w:pPr>
              <w:pStyle w:val="TableText"/>
              <w:jc w:val="left"/>
            </w:pPr>
            <w:r>
              <w:t xml:space="preserve">2</w:t>
            </w:r>
          </w:p>
        </w:tc>
        <w:tc>
          <w:tcPr>
            <w:tcW w:w="850" w:type="dxa"/>
          </w:tcPr>
          <w:p>
            <w:pPr>
              <w:pStyle w:val="TableText"/>
              <w:jc w:val="left"/>
            </w:pPr>
            <w:r>
              <w:rPr>
                <w:b/>
                <w:bCs/>
              </w:rPr>
              <w:t xml:space="preserve">9</w:t>
            </w:r>
          </w:p>
        </w:tc>
        <w:tc>
          <w:tcPr>
            <w:tcW w:w="3973" w:type="dxa"/>
          </w:tcPr>
          <w:p>
            <w:pPr>
              <w:pStyle w:val="TableText"/>
              <w:jc w:val="left"/>
            </w:pPr>
            <w:r>
              <w:t xml:space="preserve">Closes as soon as buyers learn</w:t>
            </w:r>
          </w:p>
        </w:tc>
      </w:tr>
      <w:tr>
        <w:trPr>
          <w:cantSplit/>
        </w:trPr>
        <w:tc>
          <w:tcPr>
            <w:tcW w:w="2647" w:type="dxa"/>
          </w:tcPr>
          <w:p>
            <w:pPr>
              <w:pStyle w:val="TableText"/>
              <w:jc w:val="left"/>
            </w:pPr>
            <w:r>
              <w:t xml:space="preserve">Predatory AI-scored loan app</w:t>
            </w:r>
          </w:p>
        </w:tc>
        <w:tc>
          <w:tcPr>
            <w:tcW w:w="378" w:type="dxa"/>
          </w:tcPr>
          <w:p>
            <w:pPr>
              <w:pStyle w:val="TableText"/>
              <w:jc w:val="left"/>
            </w:pPr>
            <w:r>
              <w:t xml:space="preserve">4</w:t>
            </w:r>
          </w:p>
        </w:tc>
        <w:tc>
          <w:tcPr>
            <w:tcW w:w="378" w:type="dxa"/>
          </w:tcPr>
          <w:p>
            <w:pPr>
              <w:pStyle w:val="TableText"/>
              <w:jc w:val="left"/>
            </w:pPr>
            <w:r>
              <w:t xml:space="preserve">2</w:t>
            </w:r>
          </w:p>
        </w:tc>
        <w:tc>
          <w:tcPr>
            <w:tcW w:w="378" w:type="dxa"/>
          </w:tcPr>
          <w:p>
            <w:pPr>
              <w:pStyle w:val="TableText"/>
              <w:jc w:val="left"/>
            </w:pPr>
            <w:r>
              <w:t xml:space="preserve">0</w:t>
            </w:r>
          </w:p>
        </w:tc>
        <w:tc>
          <w:tcPr>
            <w:tcW w:w="378" w:type="dxa"/>
          </w:tcPr>
          <w:p>
            <w:pPr>
              <w:pStyle w:val="TableText"/>
              <w:jc w:val="left"/>
            </w:pPr>
            <w:r>
              <w:t xml:space="preserve">1</w:t>
            </w:r>
          </w:p>
        </w:tc>
        <w:tc>
          <w:tcPr>
            <w:tcW w:w="378" w:type="dxa"/>
          </w:tcPr>
          <w:p>
            <w:pPr>
              <w:pStyle w:val="TableText"/>
              <w:jc w:val="left"/>
            </w:pPr>
            <w:r>
              <w:t xml:space="preserve">0</w:t>
            </w:r>
          </w:p>
        </w:tc>
        <w:tc>
          <w:tcPr>
            <w:tcW w:w="850" w:type="dxa"/>
          </w:tcPr>
          <w:p>
            <w:pPr>
              <w:pStyle w:val="TableText"/>
              <w:jc w:val="left"/>
            </w:pPr>
            <w:r>
              <w:rPr>
                <w:b/>
                <w:bCs/>
              </w:rPr>
              <w:t xml:space="preserve">7</w:t>
            </w:r>
          </w:p>
        </w:tc>
        <w:tc>
          <w:tcPr>
            <w:tcW w:w="3973" w:type="dxa"/>
          </w:tcPr>
          <w:p>
            <w:pPr>
              <w:pStyle w:val="TableText"/>
              <w:jc w:val="left"/>
            </w:pPr>
            <w:r>
              <w:t xml:space="preserve">Profitable until regulation; destructive</w:t>
            </w:r>
          </w:p>
        </w:tc>
      </w:tr>
      <w:tr>
        <w:trPr>
          <w:cantSplit/>
        </w:trPr>
        <w:tc>
          <w:tcPr>
            <w:tcW w:w="2647" w:type="dxa"/>
          </w:tcPr>
          <w:p>
            <w:pPr>
              <w:pStyle w:val="TableText"/>
              <w:jc w:val="left"/>
            </w:pPr>
            <w:r>
              <w:t xml:space="preserve">AI content farm for advertising</w:t>
            </w:r>
          </w:p>
        </w:tc>
        <w:tc>
          <w:tcPr>
            <w:tcW w:w="378" w:type="dxa"/>
          </w:tcPr>
          <w:p>
            <w:pPr>
              <w:pStyle w:val="TableText"/>
              <w:jc w:val="left"/>
            </w:pPr>
            <w:r>
              <w:t xml:space="preserve">3</w:t>
            </w:r>
          </w:p>
        </w:tc>
        <w:tc>
          <w:tcPr>
            <w:tcW w:w="378" w:type="dxa"/>
          </w:tcPr>
          <w:p>
            <w:pPr>
              <w:pStyle w:val="TableText"/>
              <w:jc w:val="left"/>
            </w:pPr>
            <w:r>
              <w:t xml:space="preserve">1</w:t>
            </w:r>
          </w:p>
        </w:tc>
        <w:tc>
          <w:tcPr>
            <w:tcW w:w="378" w:type="dxa"/>
          </w:tcPr>
          <w:p>
            <w:pPr>
              <w:pStyle w:val="TableText"/>
              <w:jc w:val="left"/>
            </w:pPr>
            <w:r>
              <w:t xml:space="preserve">0</w:t>
            </w:r>
          </w:p>
        </w:tc>
        <w:tc>
          <w:tcPr>
            <w:tcW w:w="378" w:type="dxa"/>
          </w:tcPr>
          <w:p>
            <w:pPr>
              <w:pStyle w:val="TableText"/>
              <w:jc w:val="left"/>
            </w:pPr>
            <w:r>
              <w:t xml:space="preserve">0</w:t>
            </w:r>
          </w:p>
        </w:tc>
        <w:tc>
          <w:tcPr>
            <w:tcW w:w="378" w:type="dxa"/>
          </w:tcPr>
          <w:p>
            <w:pPr>
              <w:pStyle w:val="TableText"/>
              <w:jc w:val="left"/>
            </w:pPr>
            <w:r>
              <w:t xml:space="preserve">0</w:t>
            </w:r>
          </w:p>
        </w:tc>
        <w:tc>
          <w:tcPr>
            <w:tcW w:w="850" w:type="dxa"/>
          </w:tcPr>
          <w:p>
            <w:pPr>
              <w:pStyle w:val="TableText"/>
              <w:jc w:val="left"/>
            </w:pPr>
            <w:r>
              <w:rPr>
                <w:b/>
                <w:bCs/>
              </w:rPr>
              <w:t xml:space="preserve">4</w:t>
            </w:r>
          </w:p>
        </w:tc>
        <w:tc>
          <w:tcPr>
            <w:tcW w:w="3973" w:type="dxa"/>
          </w:tcPr>
          <w:p>
            <w:pPr>
              <w:pStyle w:val="TableText"/>
              <w:jc w:val="left"/>
            </w:pPr>
            <w:r>
              <w:t xml:space="preserve">Pollutes the commons; search engines fight back</w:t>
            </w:r>
          </w:p>
        </w:tc>
      </w:tr>
      <w:tr>
        <w:trPr>
          <w:cantSplit/>
        </w:trPr>
        <w:tc>
          <w:tcPr>
            <w:tcW w:w="2647" w:type="dxa"/>
          </w:tcPr>
          <w:p>
            <w:pPr>
              <w:pStyle w:val="TableText"/>
              <w:jc w:val="left"/>
            </w:pPr>
            <w:r>
              <w:rPr>
                <w:b/>
                <w:bCs/>
              </w:rPr>
              <w:t xml:space="preserve">The ten ventures in Part 4 (average)</w:t>
            </w:r>
          </w:p>
        </w:tc>
        <w:tc>
          <w:tcPr>
            <w:tcW w:w="378" w:type="dxa"/>
          </w:tcPr>
          <w:p>
            <w:pPr>
              <w:pStyle w:val="TableText"/>
            </w:pPr>
          </w:p>
        </w:tc>
        <w:tc>
          <w:tcPr>
            <w:tcW w:w="378" w:type="dxa"/>
          </w:tcPr>
          <w:p>
            <w:pPr>
              <w:pStyle w:val="TableText"/>
            </w:pPr>
          </w:p>
        </w:tc>
        <w:tc>
          <w:tcPr>
            <w:tcW w:w="378" w:type="dxa"/>
          </w:tcPr>
          <w:p>
            <w:pPr>
              <w:pStyle w:val="TableText"/>
            </w:pPr>
          </w:p>
        </w:tc>
        <w:tc>
          <w:tcPr>
            <w:tcW w:w="378" w:type="dxa"/>
          </w:tcPr>
          <w:p>
            <w:pPr>
              <w:pStyle w:val="TableText"/>
            </w:pPr>
          </w:p>
        </w:tc>
        <w:tc>
          <w:tcPr>
            <w:tcW w:w="378" w:type="dxa"/>
          </w:tcPr>
          <w:p>
            <w:pPr>
              <w:pStyle w:val="TableText"/>
            </w:pPr>
          </w:p>
        </w:tc>
        <w:tc>
          <w:tcPr>
            <w:tcW w:w="850" w:type="dxa"/>
          </w:tcPr>
          <w:p>
            <w:pPr>
              <w:pStyle w:val="TableText"/>
              <w:jc w:val="left"/>
            </w:pPr>
            <w:r>
              <w:rPr>
                <w:b/>
                <w:bCs/>
              </w:rPr>
              <w:t xml:space="preserve">20.5</w:t>
            </w:r>
          </w:p>
        </w:tc>
        <w:tc>
          <w:tcPr>
            <w:tcW w:w="3973" w:type="dxa"/>
          </w:tcPr>
          <w:p>
            <w:pPr>
              <w:pStyle w:val="TableText"/>
              <w:jc w:val="left"/>
            </w:pPr>
            <w:r>
              <w:t xml:space="preserve">Productive, moat-building, shared</w:t>
            </w:r>
          </w:p>
        </w:tc>
      </w:tr>
    </w:tbl>
    <w:p>
      <w:pPr>
        <w:pStyle w:val="BodyText"/>
        <w:spacing w:before="160"/>
      </w:pPr>
      <w:r>
        <w:rPr>
          <w:b/>
          <w:bCs/>
        </w:rPr>
        <w:t xml:space="preserve">Interpretation bands:</w:t>
      </w:r>
      <w:r>
        <w:t xml:space="preserve"> </w:t>
      </w:r>
      <w:r>
        <w:t xml:space="preserve">20–25</w:t>
      </w:r>
      <w:r>
        <w:t xml:space="preserve"> </w:t>
      </w:r>
      <w:r>
        <w:rPr>
          <w:i/>
          <w:iCs/>
        </w:rPr>
        <w:t xml:space="preserve">build it</w:t>
      </w:r>
      <w:r>
        <w:t xml:space="preserve">; 15–19</w:t>
      </w:r>
      <w:r>
        <w:t xml:space="preserve"> </w:t>
      </w:r>
      <w:r>
        <w:rPr>
          <w:i/>
          <w:iCs/>
        </w:rPr>
        <w:t xml:space="preserve">build only with a clear moat plan</w:t>
      </w:r>
      <w:r>
        <w:t xml:space="preserve">; 10–14</w:t>
      </w:r>
      <w:r>
        <w:t xml:space="preserve"> </w:t>
      </w:r>
      <w:r>
        <w:rPr>
          <w:i/>
          <w:iCs/>
        </w:rPr>
        <w:t xml:space="preserve">harvest briefly or avoid</w:t>
      </w:r>
      <w:r>
        <w:t xml:space="preserve">; below 10</w:t>
      </w:r>
      <w:r>
        <w:t xml:space="preserve"> </w:t>
      </w:r>
      <w:r>
        <w:rPr>
          <w:i/>
          <w:iCs/>
        </w:rPr>
        <w:t xml:space="preserve">avoid</w:t>
      </w:r>
      <w:r>
        <w:t xml:space="preserve">.</w:t>
      </w:r>
    </w:p>
    <w:bookmarkEnd w:id="47"/>
    <w:bookmarkStart w:id="48" w:name="the-productive-arbitrage-test"/>
    <w:p>
      <w:pPr>
        <w:pStyle w:val="Heading2"/>
      </w:pPr>
      <w:r>
        <w:t xml:space="preserve">3.5 The Productive Arbitrage Test</w:t>
      </w:r>
    </w:p>
    <w:p>
      <w:pPr>
        <w:pStyle w:val="FirstParagraph"/>
      </w:pPr>
      <w:r>
        <w:t xml:space="preserve">Before any scoring, an AI arbitrage must pass four</w:t>
      </w:r>
      <w:r>
        <w:t xml:space="preserve"> </w:t>
      </w:r>
      <w:r>
        <w:rPr>
          <w:b/>
          <w:bCs/>
        </w:rPr>
        <w:t xml:space="preserve">red lines</w:t>
      </w:r>
      <w:r>
        <w:t xml:space="preserve">. Failing any one disqualifies it, whatever its profits.</w:t>
      </w:r>
    </w:p>
    <w:tbl>
      <w:tblPr>
        <w:tblStyle w:val="Table"/>
        <w:tblW w:w="9360" w:type="dxa"/>
        <w:jc w:val="left"/>
        <w:tblLayout w:type="fixed"/>
        <w:tblLook w:firstRow="1" w:lastRow="0" w:firstColumn="0" w:lastColumn="0" w:noHBand="0" w:noVBand="0" w:val="0020"/>
      </w:tblPr>
      <w:tblGrid>
        <w:gridCol w:w="1432"/>
        <w:gridCol w:w="7928"/>
      </w:tblGrid>
      <w:tr>
        <w:trPr>
          <w:cantSplit/>
          <w:tblHeader w:val="true"/>
        </w:trPr>
        <w:tc>
          <w:tcPr>
            <w:tcW w:w="1432" w:type="dxa"/>
          </w:tcPr>
          <w:p>
            <w:pPr>
              <w:pStyle w:val="TableText"/>
              <w:jc w:val="left"/>
            </w:pPr>
            <w:r>
              <w:t xml:space="preserve">Red line</w:t>
            </w:r>
          </w:p>
        </w:tc>
        <w:tc>
          <w:tcPr>
            <w:tcW w:w="7928" w:type="dxa"/>
          </w:tcPr>
          <w:p>
            <w:pPr>
              <w:pStyle w:val="TableText"/>
              <w:jc w:val="left"/>
            </w:pPr>
            <w:r>
              <w:t xml:space="preserve">The question</w:t>
            </w:r>
          </w:p>
        </w:tc>
      </w:tr>
      <w:tr>
        <w:trPr>
          <w:cantSplit/>
        </w:trPr>
        <w:tc>
          <w:tcPr>
            <w:tcW w:w="1432" w:type="dxa"/>
          </w:tcPr>
          <w:p>
            <w:pPr>
              <w:pStyle w:val="TableText"/>
              <w:jc w:val="left"/>
            </w:pPr>
            <w:r>
              <w:rPr>
                <w:b/>
                <w:bCs/>
              </w:rPr>
              <w:t xml:space="preserve">No deception</w:t>
            </w:r>
          </w:p>
        </w:tc>
        <w:tc>
          <w:tcPr>
            <w:tcW w:w="7928" w:type="dxa"/>
          </w:tcPr>
          <w:p>
            <w:pPr>
              <w:pStyle w:val="TableText"/>
              <w:jc w:val="left"/>
            </w:pPr>
            <w:r>
              <w:t xml:space="preserve">Does the venture depend on customers not knowing what they are buying, or on impersonating anyone?</w:t>
            </w:r>
          </w:p>
        </w:tc>
      </w:tr>
      <w:tr>
        <w:trPr>
          <w:cantSplit/>
        </w:trPr>
        <w:tc>
          <w:tcPr>
            <w:tcW w:w="1432" w:type="dxa"/>
          </w:tcPr>
          <w:p>
            <w:pPr>
              <w:pStyle w:val="TableText"/>
              <w:jc w:val="left"/>
            </w:pPr>
            <w:r>
              <w:rPr>
                <w:b/>
                <w:bCs/>
              </w:rPr>
              <w:t xml:space="preserve">No consent violation</w:t>
            </w:r>
          </w:p>
        </w:tc>
        <w:tc>
          <w:tcPr>
            <w:tcW w:w="7928" w:type="dxa"/>
          </w:tcPr>
          <w:p>
            <w:pPr>
              <w:pStyle w:val="TableText"/>
              <w:jc w:val="left"/>
            </w:pPr>
            <w:r>
              <w:t xml:space="preserve">Does it use data, voices, likenesses or creative work without consent and fair terms?</w:t>
            </w:r>
          </w:p>
        </w:tc>
      </w:tr>
      <w:tr>
        <w:trPr>
          <w:cantSplit/>
        </w:trPr>
        <w:tc>
          <w:tcPr>
            <w:tcW w:w="1432" w:type="dxa"/>
          </w:tcPr>
          <w:p>
            <w:pPr>
              <w:pStyle w:val="TableText"/>
              <w:jc w:val="left"/>
            </w:pPr>
            <w:r>
              <w:rPr>
                <w:b/>
                <w:bCs/>
              </w:rPr>
              <w:t xml:space="preserve">No harmful evasion</w:t>
            </w:r>
          </w:p>
        </w:tc>
        <w:tc>
          <w:tcPr>
            <w:tcW w:w="7928" w:type="dxa"/>
          </w:tcPr>
          <w:p>
            <w:pPr>
              <w:pStyle w:val="TableText"/>
              <w:jc w:val="left"/>
            </w:pPr>
            <w:r>
              <w:t xml:space="preserve">Does it profit by evading rules that protect people (e.g., practising medicine, lending or advising without the safeguards the law requires)?</w:t>
            </w:r>
          </w:p>
        </w:tc>
      </w:tr>
      <w:tr>
        <w:trPr>
          <w:cantSplit/>
        </w:trPr>
        <w:tc>
          <w:tcPr>
            <w:tcW w:w="1432" w:type="dxa"/>
          </w:tcPr>
          <w:p>
            <w:pPr>
              <w:pStyle w:val="TableText"/>
              <w:jc w:val="left"/>
            </w:pPr>
            <w:r>
              <w:rPr>
                <w:b/>
                <w:bCs/>
              </w:rPr>
              <w:t xml:space="preserve">No exploitation</w:t>
            </w:r>
          </w:p>
        </w:tc>
        <w:tc>
          <w:tcPr>
            <w:tcW w:w="7928" w:type="dxa"/>
          </w:tcPr>
          <w:p>
            <w:pPr>
              <w:pStyle w:val="TableText"/>
              <w:jc w:val="left"/>
            </w:pPr>
            <w:r>
              <w:t xml:space="preserve">Does it depend on paying the cheap side less than a fair wage or price, or on unsafe conditions?</w:t>
            </w:r>
          </w:p>
        </w:tc>
      </w:tr>
    </w:tbl>
    <w:p>
      <w:pPr>
        <w:pStyle w:val="BodyText"/>
        <w:spacing w:before="160"/>
      </w:pPr>
      <w:r>
        <w:t xml:space="preserve">It should then answer</w:t>
      </w:r>
      <w:r>
        <w:t xml:space="preserve"> </w:t>
      </w:r>
      <w:r>
        <w:t xml:space="preserve">“</w:t>
      </w:r>
      <w:r>
        <w:t xml:space="preserve">yes</w:t>
      </w:r>
      <w:r>
        <w:t xml:space="preserve">”</w:t>
      </w:r>
      <w:r>
        <w:t xml:space="preserve"> </w:t>
      </w:r>
      <w:r>
        <w:t xml:space="preserve">to most of five</w:t>
      </w:r>
      <w:r>
        <w:t xml:space="preserve"> </w:t>
      </w:r>
      <w:r>
        <w:rPr>
          <w:b/>
          <w:bCs/>
        </w:rPr>
        <w:t xml:space="preserve">productivity questions</w:t>
      </w:r>
      <w:r>
        <w:t xml:space="preserve">:</w:t>
      </w:r>
    </w:p>
    <w:p>
      <w:pPr>
        <w:pStyle w:val="Compact"/>
        <w:numPr>
          <w:ilvl w:val="0"/>
          <w:numId w:val="1010"/>
        </w:numPr>
      </w:pPr>
      <w:r>
        <w:t xml:space="preserve">Does it close a real gap for people who are under-served today?</w:t>
      </w:r>
    </w:p>
    <w:p>
      <w:pPr>
        <w:pStyle w:val="Compact"/>
        <w:numPr>
          <w:ilvl w:val="0"/>
          <w:numId w:val="1010"/>
        </w:numPr>
      </w:pPr>
      <w:r>
        <w:t xml:space="preserve">Does it create new capability (skills, data, infrastructure, trust), not just move money?</w:t>
      </w:r>
    </w:p>
    <w:p>
      <w:pPr>
        <w:pStyle w:val="Compact"/>
        <w:numPr>
          <w:ilvl w:val="0"/>
          <w:numId w:val="1010"/>
        </w:numPr>
      </w:pPr>
      <w:r>
        <w:t xml:space="preserve">Would the venture survive, in some form, if the spread halved tomorrow?</w:t>
      </w:r>
    </w:p>
    <w:p>
      <w:pPr>
        <w:pStyle w:val="Compact"/>
        <w:numPr>
          <w:ilvl w:val="0"/>
          <w:numId w:val="1010"/>
        </w:numPr>
      </w:pPr>
      <w:r>
        <w:t xml:space="preserve">Does it share the spread with the people on the cheap side?</w:t>
      </w:r>
    </w:p>
    <w:p>
      <w:pPr>
        <w:pStyle w:val="Compact"/>
        <w:numPr>
          <w:ilvl w:val="0"/>
          <w:numId w:val="1010"/>
        </w:numPr>
      </w:pPr>
      <w:r>
        <w:t xml:space="preserve">Will the gap be</w:t>
      </w:r>
      <w:r>
        <w:t xml:space="preserve"> </w:t>
      </w:r>
      <w:r>
        <w:rPr>
          <w:i/>
          <w:iCs/>
        </w:rPr>
        <w:t xml:space="preserve">smaller</w:t>
      </w:r>
      <w:r>
        <w:t xml:space="preserve"> </w:t>
      </w:r>
      <w:r>
        <w:t xml:space="preserve">in five years because the venture exists?</w:t>
      </w:r>
    </w:p>
    <w:bookmarkEnd w:id="48"/>
    <w:bookmarkStart w:id="49" w:name="X80180a83dbc08adeb86a4ae6865e06b160d8253"/>
    <w:p>
      <w:pPr>
        <w:pStyle w:val="Heading2"/>
      </w:pPr>
      <w:r>
        <w:t xml:space="preserve">3.6 The Dark Decagon: ten AI arbitrages to avoid</w:t>
      </w:r>
    </w:p>
    <w:p>
      <w:pPr>
        <w:pStyle w:val="FirstParagraph"/>
      </w:pPr>
      <w:r>
        <w:t xml:space="preserve">Each of these is tempting because it is profitable today. Each fails the Productive Arbitrage Test, scores close to zero on productivity and fair sharing, and invites the backlash loop (B2).</w:t>
      </w:r>
    </w:p>
    <w:tbl>
      <w:tblPr>
        <w:tblStyle w:val="Table"/>
        <w:tblW w:w="9360" w:type="dxa"/>
        <w:jc w:val="left"/>
        <w:tblLayout w:type="fixed"/>
        <w:tblLook w:firstRow="1" w:lastRow="0" w:firstColumn="0" w:lastColumn="0" w:noHBand="0" w:noVBand="0" w:val="0020"/>
      </w:tblPr>
      <w:tblGrid>
        <w:gridCol w:w="437"/>
        <w:gridCol w:w="2886"/>
        <w:gridCol w:w="2011"/>
        <w:gridCol w:w="4026"/>
      </w:tblGrid>
      <w:tr>
        <w:trPr>
          <w:cantSplit/>
          <w:tblHeader w:val="true"/>
        </w:trPr>
        <w:tc>
          <w:tcPr>
            <w:tcW w:w="437" w:type="dxa"/>
          </w:tcPr>
          <w:p>
            <w:pPr>
              <w:pStyle w:val="TableText"/>
              <w:jc w:val="left"/>
            </w:pPr>
            <w:r>
              <w:t xml:space="preserve">#</w:t>
            </w:r>
          </w:p>
        </w:tc>
        <w:tc>
          <w:tcPr>
            <w:tcW w:w="2886" w:type="dxa"/>
          </w:tcPr>
          <w:p>
            <w:pPr>
              <w:pStyle w:val="TableText"/>
              <w:jc w:val="left"/>
            </w:pPr>
            <w:r>
              <w:t xml:space="preserve">Dark arbitrage</w:t>
            </w:r>
          </w:p>
        </w:tc>
        <w:tc>
          <w:tcPr>
            <w:tcW w:w="2011" w:type="dxa"/>
          </w:tcPr>
          <w:p>
            <w:pPr>
              <w:pStyle w:val="TableText"/>
              <w:jc w:val="left"/>
            </w:pPr>
            <w:r>
              <w:t xml:space="preserve">Why it tempts</w:t>
            </w:r>
          </w:p>
        </w:tc>
        <w:tc>
          <w:tcPr>
            <w:tcW w:w="4026" w:type="dxa"/>
          </w:tcPr>
          <w:p>
            <w:pPr>
              <w:pStyle w:val="TableText"/>
              <w:jc w:val="left"/>
            </w:pPr>
            <w:r>
              <w:t xml:space="preserve">Why it fails</w:t>
            </w:r>
          </w:p>
        </w:tc>
      </w:tr>
      <w:tr>
        <w:trPr>
          <w:cantSplit/>
        </w:trPr>
        <w:tc>
          <w:tcPr>
            <w:tcW w:w="437" w:type="dxa"/>
          </w:tcPr>
          <w:p>
            <w:pPr>
              <w:pStyle w:val="TableText"/>
              <w:jc w:val="left"/>
            </w:pPr>
            <w:r>
              <w:t xml:space="preserve">1</w:t>
            </w:r>
          </w:p>
        </w:tc>
        <w:tc>
          <w:tcPr>
            <w:tcW w:w="2886" w:type="dxa"/>
          </w:tcPr>
          <w:p>
            <w:pPr>
              <w:pStyle w:val="TableText"/>
              <w:jc w:val="left"/>
            </w:pPr>
            <w:r>
              <w:rPr>
                <w:b/>
                <w:bCs/>
              </w:rPr>
              <w:t xml:space="preserve">AI content farms</w:t>
            </w:r>
            <w:r>
              <w:t xml:space="preserve"> </w:t>
            </w:r>
            <w:r>
              <w:t xml:space="preserve">for advertising and search traffic</w:t>
            </w:r>
          </w:p>
        </w:tc>
        <w:tc>
          <w:tcPr>
            <w:tcW w:w="2011" w:type="dxa"/>
          </w:tcPr>
          <w:p>
            <w:pPr>
              <w:pStyle w:val="TableText"/>
              <w:jc w:val="left"/>
            </w:pPr>
            <w:r>
              <w:t xml:space="preserve">Near-zero production cost</w:t>
            </w:r>
          </w:p>
        </w:tc>
        <w:tc>
          <w:tcPr>
            <w:tcW w:w="4026" w:type="dxa"/>
          </w:tcPr>
          <w:p>
            <w:pPr>
              <w:pStyle w:val="TableText"/>
              <w:jc w:val="left"/>
            </w:pPr>
            <w:r>
              <w:t xml:space="preserve">Pollutes shared information; platforms and search engines demote it</w:t>
            </w:r>
          </w:p>
        </w:tc>
      </w:tr>
      <w:tr>
        <w:trPr>
          <w:cantSplit/>
        </w:trPr>
        <w:tc>
          <w:tcPr>
            <w:tcW w:w="437" w:type="dxa"/>
          </w:tcPr>
          <w:p>
            <w:pPr>
              <w:pStyle w:val="TableText"/>
              <w:jc w:val="left"/>
            </w:pPr>
            <w:r>
              <w:t xml:space="preserve">2</w:t>
            </w:r>
          </w:p>
        </w:tc>
        <w:tc>
          <w:tcPr>
            <w:tcW w:w="2886" w:type="dxa"/>
          </w:tcPr>
          <w:p>
            <w:pPr>
              <w:pStyle w:val="TableText"/>
              <w:jc w:val="left"/>
            </w:pPr>
            <w:r>
              <w:rPr>
                <w:b/>
                <w:bCs/>
              </w:rPr>
              <w:t xml:space="preserve">Fake reviews and synthetic social proof</w:t>
            </w:r>
          </w:p>
        </w:tc>
        <w:tc>
          <w:tcPr>
            <w:tcW w:w="2011" w:type="dxa"/>
          </w:tcPr>
          <w:p>
            <w:pPr>
              <w:pStyle w:val="TableText"/>
              <w:jc w:val="left"/>
            </w:pPr>
            <w:r>
              <w:t xml:space="preserve">Cheap to generate</w:t>
            </w:r>
          </w:p>
        </w:tc>
        <w:tc>
          <w:tcPr>
            <w:tcW w:w="4026" w:type="dxa"/>
          </w:tcPr>
          <w:p>
            <w:pPr>
              <w:pStyle w:val="TableText"/>
              <w:jc w:val="left"/>
            </w:pPr>
            <w:r>
              <w:t xml:space="preserve">Deception; illegal in many jurisdictions; destroys the trust law it relies on</w:t>
            </w:r>
          </w:p>
        </w:tc>
      </w:tr>
      <w:tr>
        <w:trPr>
          <w:cantSplit/>
        </w:trPr>
        <w:tc>
          <w:tcPr>
            <w:tcW w:w="437" w:type="dxa"/>
          </w:tcPr>
          <w:p>
            <w:pPr>
              <w:pStyle w:val="TableText"/>
              <w:jc w:val="left"/>
            </w:pPr>
            <w:r>
              <w:t xml:space="preserve">3</w:t>
            </w:r>
          </w:p>
        </w:tc>
        <w:tc>
          <w:tcPr>
            <w:tcW w:w="2886" w:type="dxa"/>
          </w:tcPr>
          <w:p>
            <w:pPr>
              <w:pStyle w:val="TableText"/>
              <w:jc w:val="left"/>
            </w:pPr>
            <w:r>
              <w:rPr>
                <w:b/>
                <w:bCs/>
              </w:rPr>
              <w:t xml:space="preserve">Deepfake and impersonation scams</w:t>
            </w:r>
          </w:p>
        </w:tc>
        <w:tc>
          <w:tcPr>
            <w:tcW w:w="2011" w:type="dxa"/>
          </w:tcPr>
          <w:p>
            <w:pPr>
              <w:pStyle w:val="TableText"/>
              <w:jc w:val="left"/>
            </w:pPr>
            <w:r>
              <w:t xml:space="preserve">Large payoffs</w:t>
            </w:r>
          </w:p>
        </w:tc>
        <w:tc>
          <w:tcPr>
            <w:tcW w:w="4026" w:type="dxa"/>
          </w:tcPr>
          <w:p>
            <w:pPr>
              <w:pStyle w:val="TableText"/>
              <w:jc w:val="left"/>
            </w:pPr>
            <w:r>
              <w:t xml:space="preserve">Criminal; destructive; drives the synthetic-reality crisis (Volume II)</w:t>
            </w:r>
          </w:p>
        </w:tc>
      </w:tr>
      <w:tr>
        <w:trPr>
          <w:cantSplit/>
        </w:trPr>
        <w:tc>
          <w:tcPr>
            <w:tcW w:w="437" w:type="dxa"/>
          </w:tcPr>
          <w:p>
            <w:pPr>
              <w:pStyle w:val="TableText"/>
              <w:jc w:val="left"/>
            </w:pPr>
            <w:r>
              <w:t xml:space="preserve">4</w:t>
            </w:r>
          </w:p>
        </w:tc>
        <w:tc>
          <w:tcPr>
            <w:tcW w:w="2886" w:type="dxa"/>
          </w:tcPr>
          <w:p>
            <w:pPr>
              <w:pStyle w:val="TableText"/>
              <w:jc w:val="left"/>
            </w:pPr>
            <w:r>
              <w:rPr>
                <w:b/>
                <w:bCs/>
              </w:rPr>
              <w:t xml:space="preserve">Assignment and exam cheating mills</w:t>
            </w:r>
          </w:p>
        </w:tc>
        <w:tc>
          <w:tcPr>
            <w:tcW w:w="2011" w:type="dxa"/>
          </w:tcPr>
          <w:p>
            <w:pPr>
              <w:pStyle w:val="TableText"/>
              <w:jc w:val="left"/>
            </w:pPr>
            <w:r>
              <w:t xml:space="preserve">Steady demand</w:t>
            </w:r>
          </w:p>
        </w:tc>
        <w:tc>
          <w:tcPr>
            <w:tcW w:w="4026" w:type="dxa"/>
          </w:tcPr>
          <w:p>
            <w:pPr>
              <w:pStyle w:val="TableText"/>
              <w:jc w:val="left"/>
            </w:pPr>
            <w:r>
              <w:t xml:space="preserve">Destroys the value of credentials; harms the learners who pay</w:t>
            </w:r>
          </w:p>
        </w:tc>
      </w:tr>
      <w:tr>
        <w:trPr>
          <w:cantSplit/>
        </w:trPr>
        <w:tc>
          <w:tcPr>
            <w:tcW w:w="437" w:type="dxa"/>
          </w:tcPr>
          <w:p>
            <w:pPr>
              <w:pStyle w:val="TableText"/>
              <w:jc w:val="left"/>
            </w:pPr>
            <w:r>
              <w:t xml:space="preserve">5</w:t>
            </w:r>
          </w:p>
        </w:tc>
        <w:tc>
          <w:tcPr>
            <w:tcW w:w="2886" w:type="dxa"/>
          </w:tcPr>
          <w:p>
            <w:pPr>
              <w:pStyle w:val="TableText"/>
              <w:jc w:val="left"/>
            </w:pPr>
            <w:r>
              <w:rPr>
                <w:b/>
                <w:bCs/>
              </w:rPr>
              <w:t xml:space="preserve">Predatory AI-scored lending</w:t>
            </w:r>
          </w:p>
        </w:tc>
        <w:tc>
          <w:tcPr>
            <w:tcW w:w="2011" w:type="dxa"/>
          </w:tcPr>
          <w:p>
            <w:pPr>
              <w:pStyle w:val="TableText"/>
              <w:jc w:val="left"/>
            </w:pPr>
            <w:r>
              <w:t xml:space="preserve">High interest margins</w:t>
            </w:r>
          </w:p>
        </w:tc>
        <w:tc>
          <w:tcPr>
            <w:tcW w:w="4026" w:type="dxa"/>
          </w:tcPr>
          <w:p>
            <w:pPr>
              <w:pStyle w:val="TableText"/>
              <w:jc w:val="left"/>
            </w:pPr>
            <w:r>
              <w:t xml:space="preserve">Exploitative; prompted strict regulation in Nigeria and elsewhere</w:t>
            </w:r>
          </w:p>
        </w:tc>
      </w:tr>
      <w:tr>
        <w:trPr>
          <w:cantSplit/>
        </w:trPr>
        <w:tc>
          <w:tcPr>
            <w:tcW w:w="437" w:type="dxa"/>
          </w:tcPr>
          <w:p>
            <w:pPr>
              <w:pStyle w:val="TableText"/>
              <w:jc w:val="left"/>
            </w:pPr>
            <w:r>
              <w:t xml:space="preserve">6</w:t>
            </w:r>
          </w:p>
        </w:tc>
        <w:tc>
          <w:tcPr>
            <w:tcW w:w="2886" w:type="dxa"/>
          </w:tcPr>
          <w:p>
            <w:pPr>
              <w:pStyle w:val="TableText"/>
              <w:jc w:val="left"/>
            </w:pPr>
            <w:r>
              <w:rPr>
                <w:b/>
                <w:bCs/>
              </w:rPr>
              <w:t xml:space="preserve">Scraping and reselling data without consent</w:t>
            </w:r>
          </w:p>
        </w:tc>
        <w:tc>
          <w:tcPr>
            <w:tcW w:w="2011" w:type="dxa"/>
          </w:tcPr>
          <w:p>
            <w:pPr>
              <w:pStyle w:val="TableText"/>
              <w:jc w:val="left"/>
            </w:pPr>
            <w:r>
              <w:t xml:space="preserve">Free inputs</w:t>
            </w:r>
          </w:p>
        </w:tc>
        <w:tc>
          <w:tcPr>
            <w:tcW w:w="4026" w:type="dxa"/>
          </w:tcPr>
          <w:p>
            <w:pPr>
              <w:pStyle w:val="TableText"/>
              <w:jc w:val="left"/>
            </w:pPr>
            <w:r>
              <w:t xml:space="preserve">Consent violation; lawsuits; poisoned supply</w:t>
            </w:r>
          </w:p>
        </w:tc>
      </w:tr>
      <w:tr>
        <w:trPr>
          <w:cantSplit/>
        </w:trPr>
        <w:tc>
          <w:tcPr>
            <w:tcW w:w="437" w:type="dxa"/>
          </w:tcPr>
          <w:p>
            <w:pPr>
              <w:pStyle w:val="TableText"/>
              <w:jc w:val="left"/>
            </w:pPr>
            <w:r>
              <w:t xml:space="preserve">7</w:t>
            </w:r>
          </w:p>
        </w:tc>
        <w:tc>
          <w:tcPr>
            <w:tcW w:w="2886" w:type="dxa"/>
          </w:tcPr>
          <w:p>
            <w:pPr>
              <w:pStyle w:val="TableText"/>
              <w:jc w:val="left"/>
            </w:pPr>
            <w:r>
              <w:rPr>
                <w:b/>
                <w:bCs/>
              </w:rPr>
              <w:t xml:space="preserve">Unlicensed AI medical, legal or financial advice</w:t>
            </w:r>
          </w:p>
        </w:tc>
        <w:tc>
          <w:tcPr>
            <w:tcW w:w="2011" w:type="dxa"/>
          </w:tcPr>
          <w:p>
            <w:pPr>
              <w:pStyle w:val="TableText"/>
              <w:jc w:val="left"/>
            </w:pPr>
            <w:r>
              <w:t xml:space="preserve">Large, under-served demand</w:t>
            </w:r>
          </w:p>
        </w:tc>
        <w:tc>
          <w:tcPr>
            <w:tcW w:w="4026" w:type="dxa"/>
          </w:tcPr>
          <w:p>
            <w:pPr>
              <w:pStyle w:val="TableText"/>
              <w:jc w:val="left"/>
            </w:pPr>
            <w:r>
              <w:t xml:space="preserve">Harmful evasion; liability; regulatory shutdown</w:t>
            </w:r>
          </w:p>
        </w:tc>
      </w:tr>
      <w:tr>
        <w:trPr>
          <w:cantSplit/>
        </w:trPr>
        <w:tc>
          <w:tcPr>
            <w:tcW w:w="437" w:type="dxa"/>
          </w:tcPr>
          <w:p>
            <w:pPr>
              <w:pStyle w:val="TableText"/>
              <w:jc w:val="left"/>
            </w:pPr>
            <w:r>
              <w:t xml:space="preserve">8</w:t>
            </w:r>
          </w:p>
        </w:tc>
        <w:tc>
          <w:tcPr>
            <w:tcW w:w="2886" w:type="dxa"/>
          </w:tcPr>
          <w:p>
            <w:pPr>
              <w:pStyle w:val="TableText"/>
              <w:jc w:val="left"/>
            </w:pPr>
            <w:r>
              <w:rPr>
                <w:b/>
                <w:bCs/>
              </w:rPr>
              <w:t xml:space="preserve">Ghost-work wage dumping</w:t>
            </w:r>
          </w:p>
        </w:tc>
        <w:tc>
          <w:tcPr>
            <w:tcW w:w="2011" w:type="dxa"/>
          </w:tcPr>
          <w:p>
            <w:pPr>
              <w:pStyle w:val="TableText"/>
              <w:jc w:val="left"/>
            </w:pPr>
            <w:r>
              <w:t xml:space="preserve">Cheap annotation and moderation labour</w:t>
            </w:r>
          </w:p>
        </w:tc>
        <w:tc>
          <w:tcPr>
            <w:tcW w:w="4026" w:type="dxa"/>
          </w:tcPr>
          <w:p>
            <w:pPr>
              <w:pStyle w:val="TableText"/>
              <w:jc w:val="left"/>
            </w:pPr>
            <w:r>
              <w:t xml:space="preserve">Exploitation; reputational and regulatory risk</w:t>
            </w:r>
          </w:p>
        </w:tc>
      </w:tr>
      <w:tr>
        <w:trPr>
          <w:cantSplit/>
        </w:trPr>
        <w:tc>
          <w:tcPr>
            <w:tcW w:w="437" w:type="dxa"/>
          </w:tcPr>
          <w:p>
            <w:pPr>
              <w:pStyle w:val="TableText"/>
              <w:jc w:val="left"/>
            </w:pPr>
            <w:r>
              <w:t xml:space="preserve">9</w:t>
            </w:r>
          </w:p>
        </w:tc>
        <w:tc>
          <w:tcPr>
            <w:tcW w:w="2886" w:type="dxa"/>
          </w:tcPr>
          <w:p>
            <w:pPr>
              <w:pStyle w:val="TableText"/>
              <w:jc w:val="left"/>
            </w:pPr>
            <w:r>
              <w:rPr>
                <w:b/>
                <w:bCs/>
              </w:rPr>
              <w:t xml:space="preserve">“</w:t>
            </w:r>
            <w:r>
              <w:rPr>
                <w:b/>
                <w:bCs/>
              </w:rPr>
              <w:t xml:space="preserve">AI-washing</w:t>
            </w:r>
            <w:r>
              <w:rPr>
                <w:b/>
                <w:bCs/>
              </w:rPr>
              <w:t xml:space="preserve">”</w:t>
            </w:r>
            <w:r>
              <w:t xml:space="preserve">: exaggerated AI claims on ordinary products</w:t>
            </w:r>
          </w:p>
        </w:tc>
        <w:tc>
          <w:tcPr>
            <w:tcW w:w="2011" w:type="dxa"/>
          </w:tcPr>
          <w:p>
            <w:pPr>
              <w:pStyle w:val="TableText"/>
              <w:jc w:val="left"/>
            </w:pPr>
            <w:r>
              <w:t xml:space="preserve">Easy marketing premium</w:t>
            </w:r>
          </w:p>
        </w:tc>
        <w:tc>
          <w:tcPr>
            <w:tcW w:w="4026" w:type="dxa"/>
          </w:tcPr>
          <w:p>
            <w:pPr>
              <w:pStyle w:val="TableText"/>
              <w:jc w:val="left"/>
            </w:pPr>
            <w:r>
              <w:t xml:space="preserve">Deception; regulators now pursue misleading AI claims</w:t>
            </w:r>
          </w:p>
        </w:tc>
      </w:tr>
      <w:tr>
        <w:trPr>
          <w:cantSplit/>
        </w:trPr>
        <w:tc>
          <w:tcPr>
            <w:tcW w:w="437" w:type="dxa"/>
          </w:tcPr>
          <w:p>
            <w:pPr>
              <w:pStyle w:val="TableText"/>
              <w:jc w:val="left"/>
            </w:pPr>
            <w:r>
              <w:t xml:space="preserve">10</w:t>
            </w:r>
          </w:p>
        </w:tc>
        <w:tc>
          <w:tcPr>
            <w:tcW w:w="2886" w:type="dxa"/>
          </w:tcPr>
          <w:p>
            <w:pPr>
              <w:pStyle w:val="TableText"/>
              <w:jc w:val="left"/>
            </w:pPr>
            <w:r>
              <w:rPr>
                <w:b/>
                <w:bCs/>
              </w:rPr>
              <w:t xml:space="preserve">Algorithmic collusion and manipulative pricing</w:t>
            </w:r>
          </w:p>
        </w:tc>
        <w:tc>
          <w:tcPr>
            <w:tcW w:w="2011" w:type="dxa"/>
          </w:tcPr>
          <w:p>
            <w:pPr>
              <w:pStyle w:val="TableText"/>
              <w:jc w:val="left"/>
            </w:pPr>
            <w:r>
              <w:t xml:space="preserve">Higher margins</w:t>
            </w:r>
          </w:p>
        </w:tc>
        <w:tc>
          <w:tcPr>
            <w:tcW w:w="4026" w:type="dxa"/>
          </w:tcPr>
          <w:p>
            <w:pPr>
              <w:pStyle w:val="TableText"/>
              <w:jc w:val="left"/>
            </w:pPr>
            <w:r>
              <w:t xml:space="preserve">Anti-competitive; prosecuted (as in the RealPage case)</w:t>
            </w:r>
          </w:p>
        </w:tc>
      </w:tr>
    </w:tbl>
    <w:p>
      <w:pPr>
        <w:pStyle w:val="BodyText"/>
        <w:spacing w:before="160"/>
      </w:pPr>
      <w:r>
        <w:rPr>
          <w:b/>
          <w:bCs/>
        </w:rPr>
        <w:t xml:space="preserve">Note the pattern:</w:t>
      </w:r>
      <w:r>
        <w:t xml:space="preserve"> </w:t>
      </w:r>
      <w:r>
        <w:t xml:space="preserve">several dark arbitrages are distorted versions of productive ones. Predatory lending is the dark twin of FairScore; cheating mills are the dark twin of TutorGrid; unlicensed medical advice is the dark twin of ScanBridge.</w:t>
      </w:r>
      <w:r>
        <w:t xml:space="preserve"> </w:t>
      </w:r>
      <w:r>
        <w:rPr>
          <w:b/>
          <w:bCs/>
        </w:rPr>
        <w:t xml:space="preserve">The same spread can be served productively or destructively. The design decides.</w:t>
      </w:r>
    </w:p>
    <w:bookmarkEnd w:id="49"/>
    <w:bookmarkStart w:id="50" w:name="integration-with-volumes-i-and-ii"/>
    <w:p>
      <w:pPr>
        <w:pStyle w:val="Heading2"/>
      </w:pPr>
      <w:r>
        <w:t xml:space="preserve">3.7 Integration with Volumes I and II</w:t>
      </w:r>
    </w:p>
    <w:p>
      <w:pPr>
        <w:pStyle w:val="FirstParagraph"/>
      </w:pPr>
      <w:r>
        <w:t xml:space="preserve">Every AI arbitrage venture in this volume is assessed four ways:</w:t>
      </w:r>
    </w:p>
    <w:tbl>
      <w:tblPr>
        <w:tblStyle w:val="Table"/>
        <w:tblW w:w="9360" w:type="dxa"/>
        <w:jc w:val="left"/>
        <w:tblLayout w:type="fixed"/>
        <w:tblLook w:firstRow="1" w:lastRow="0" w:firstColumn="0" w:lastColumn="0" w:noHBand="0" w:noVBand="0" w:val="0020"/>
      </w:tblPr>
      <w:tblGrid>
        <w:gridCol w:w="3510"/>
        <w:gridCol w:w="1300"/>
        <w:gridCol w:w="4550"/>
      </w:tblGrid>
      <w:tr>
        <w:trPr>
          <w:cantSplit/>
          <w:tblHeader w:val="true"/>
        </w:trPr>
        <w:tc>
          <w:tcPr>
            <w:tcW w:w="3510" w:type="dxa"/>
          </w:tcPr>
          <w:p>
            <w:pPr>
              <w:pStyle w:val="TableText"/>
              <w:jc w:val="left"/>
            </w:pPr>
            <w:r>
              <w:t xml:space="preserve">Instrument</w:t>
            </w:r>
          </w:p>
        </w:tc>
        <w:tc>
          <w:tcPr>
            <w:tcW w:w="1300" w:type="dxa"/>
          </w:tcPr>
          <w:p>
            <w:pPr>
              <w:pStyle w:val="TableText"/>
              <w:jc w:val="left"/>
            </w:pPr>
            <w:r>
              <w:t xml:space="preserve">Source</w:t>
            </w:r>
          </w:p>
        </w:tc>
        <w:tc>
          <w:tcPr>
            <w:tcW w:w="4550" w:type="dxa"/>
          </w:tcPr>
          <w:p>
            <w:pPr>
              <w:pStyle w:val="TableText"/>
              <w:jc w:val="left"/>
            </w:pPr>
            <w:r>
              <w:t xml:space="preserve">What it checks</w:t>
            </w:r>
          </w:p>
        </w:tc>
      </w:tr>
      <w:tr>
        <w:trPr>
          <w:cantSplit/>
        </w:trPr>
        <w:tc>
          <w:tcPr>
            <w:tcW w:w="3510" w:type="dxa"/>
          </w:tcPr>
          <w:p>
            <w:pPr>
              <w:pStyle w:val="TableText"/>
              <w:jc w:val="left"/>
            </w:pPr>
            <w:r>
              <w:rPr>
                <w:b/>
                <w:bCs/>
              </w:rPr>
              <w:t xml:space="preserve">Productive Arbitrage Test</w:t>
            </w:r>
          </w:p>
        </w:tc>
        <w:tc>
          <w:tcPr>
            <w:tcW w:w="1300" w:type="dxa"/>
          </w:tcPr>
          <w:p>
            <w:pPr>
              <w:pStyle w:val="TableText"/>
              <w:jc w:val="left"/>
            </w:pPr>
            <w:r>
              <w:t xml:space="preserve">This volume</w:t>
            </w:r>
          </w:p>
        </w:tc>
        <w:tc>
          <w:tcPr>
            <w:tcW w:w="4550" w:type="dxa"/>
          </w:tcPr>
          <w:p>
            <w:pPr>
              <w:pStyle w:val="TableText"/>
              <w:jc w:val="left"/>
            </w:pPr>
            <w:r>
              <w:t xml:space="preserve">Red lines and productivity</w:t>
            </w:r>
          </w:p>
        </w:tc>
      </w:tr>
      <w:tr>
        <w:trPr>
          <w:cantSplit/>
        </w:trPr>
        <w:tc>
          <w:tcPr>
            <w:tcW w:w="3510" w:type="dxa"/>
          </w:tcPr>
          <w:p>
            <w:pPr>
              <w:pStyle w:val="TableText"/>
              <w:jc w:val="left"/>
            </w:pPr>
            <w:r>
              <w:rPr>
                <w:b/>
                <w:bCs/>
              </w:rPr>
              <w:t xml:space="preserve">Spread Quality Score</w:t>
            </w:r>
            <w:r>
              <w:t xml:space="preserve"> </w:t>
            </w:r>
            <w:r>
              <w:t xml:space="preserve">(/25)</w:t>
            </w:r>
          </w:p>
        </w:tc>
        <w:tc>
          <w:tcPr>
            <w:tcW w:w="1300" w:type="dxa"/>
          </w:tcPr>
          <w:p>
            <w:pPr>
              <w:pStyle w:val="TableText"/>
              <w:jc w:val="left"/>
            </w:pPr>
            <w:r>
              <w:t xml:space="preserve">This volume</w:t>
            </w:r>
          </w:p>
        </w:tc>
        <w:tc>
          <w:tcPr>
            <w:tcW w:w="4550" w:type="dxa"/>
          </w:tcPr>
          <w:p>
            <w:pPr>
              <w:pStyle w:val="TableText"/>
              <w:jc w:val="left"/>
            </w:pPr>
            <w:r>
              <w:t xml:space="preserve">Whether the spread is worth pursuing</w:t>
            </w:r>
          </w:p>
        </w:tc>
      </w:tr>
      <w:tr>
        <w:trPr>
          <w:cantSplit/>
        </w:trPr>
        <w:tc>
          <w:tcPr>
            <w:tcW w:w="3510" w:type="dxa"/>
          </w:tcPr>
          <w:p>
            <w:pPr>
              <w:pStyle w:val="TableText"/>
              <w:jc w:val="left"/>
            </w:pPr>
            <w:r>
              <w:rPr>
                <w:b/>
                <w:bCs/>
              </w:rPr>
              <w:t xml:space="preserve">Inner Decagon</w:t>
            </w:r>
            <w:r>
              <w:t xml:space="preserve"> </w:t>
            </w:r>
            <w:r>
              <w:t xml:space="preserve">(/50)</w:t>
            </w:r>
          </w:p>
        </w:tc>
        <w:tc>
          <w:tcPr>
            <w:tcW w:w="1300" w:type="dxa"/>
          </w:tcPr>
          <w:p>
            <w:pPr>
              <w:pStyle w:val="TableText"/>
              <w:jc w:val="left"/>
            </w:pPr>
            <w:r>
              <w:t xml:space="preserve">Volume I</w:t>
            </w:r>
          </w:p>
        </w:tc>
        <w:tc>
          <w:tcPr>
            <w:tcW w:w="4550" w:type="dxa"/>
          </w:tcPr>
          <w:p>
            <w:pPr>
              <w:pStyle w:val="TableText"/>
              <w:jc w:val="left"/>
            </w:pPr>
            <w:r>
              <w:t xml:space="preserve">Whether the venture is well designed</w:t>
            </w:r>
          </w:p>
        </w:tc>
      </w:tr>
      <w:tr>
        <w:trPr>
          <w:cantSplit/>
        </w:trPr>
        <w:tc>
          <w:tcPr>
            <w:tcW w:w="3510" w:type="dxa"/>
          </w:tcPr>
          <w:p>
            <w:pPr>
              <w:pStyle w:val="TableText"/>
              <w:jc w:val="left"/>
            </w:pPr>
            <w:r>
              <w:rPr>
                <w:b/>
                <w:bCs/>
              </w:rPr>
              <w:t xml:space="preserve">Future-Fitness Decagon</w:t>
            </w:r>
            <w:r>
              <w:t xml:space="preserve"> </w:t>
            </w:r>
            <w:r>
              <w:t xml:space="preserve">(/50)</w:t>
            </w:r>
          </w:p>
        </w:tc>
        <w:tc>
          <w:tcPr>
            <w:tcW w:w="1300" w:type="dxa"/>
          </w:tcPr>
          <w:p>
            <w:pPr>
              <w:pStyle w:val="TableText"/>
              <w:jc w:val="left"/>
            </w:pPr>
            <w:r>
              <w:t xml:space="preserve">Volume II</w:t>
            </w:r>
          </w:p>
        </w:tc>
        <w:tc>
          <w:tcPr>
            <w:tcW w:w="4550" w:type="dxa"/>
          </w:tcPr>
          <w:p>
            <w:pPr>
              <w:pStyle w:val="TableText"/>
              <w:jc w:val="left"/>
            </w:pPr>
            <w:r>
              <w:t xml:space="preserve">Whether it will thrive in 2030–2050</w:t>
            </w:r>
          </w:p>
        </w:tc>
      </w:tr>
    </w:tbl>
    <w:p>
      <w:pPr>
        <w:pStyle w:val="BodyText"/>
        <w:spacing w:before="160"/>
      </w:pPr>
      <w:r>
        <w:t xml:space="preserve">The</w:t>
      </w:r>
      <w:r>
        <w:t xml:space="preserve"> </w:t>
      </w:r>
      <w:r>
        <w:rPr>
          <w:b/>
          <w:bCs/>
        </w:rPr>
        <w:t xml:space="preserve">Double Decagon Index</w:t>
      </w:r>
      <w:r>
        <w:t xml:space="preserve"> </w:t>
      </w:r>
      <w:r>
        <w:t xml:space="preserve">(/100) remains the headline measure of venture quality. The Spread Quality Score is the headline measure of arbitrage quality. A venture should score at least</w:t>
      </w:r>
      <w:r>
        <w:t xml:space="preserve"> </w:t>
      </w:r>
      <w:r>
        <w:rPr>
          <w:b/>
          <w:bCs/>
        </w:rPr>
        <w:t xml:space="preserve">20/25</w:t>
      </w:r>
      <w:r>
        <w:t xml:space="preserve"> </w:t>
      </w:r>
      <w:r>
        <w:t xml:space="preserve">and at least</w:t>
      </w:r>
      <w:r>
        <w:t xml:space="preserve"> </w:t>
      </w:r>
      <w:r>
        <w:rPr>
          <w:b/>
          <w:bCs/>
        </w:rPr>
        <w:t xml:space="preserve">70/100</w:t>
      </w:r>
      <w:r>
        <w:t xml:space="preserve"> </w:t>
      </w:r>
      <w:r>
        <w:t xml:space="preserve">before significant investment.</w:t>
      </w:r>
    </w:p>
    <w:bookmarkEnd w:id="50"/>
    <w:bookmarkStart w:id="51" w:name="the-arbitrage-to-venture-process"/>
    <w:p>
      <w:pPr>
        <w:pStyle w:val="Heading2"/>
      </w:pPr>
      <w:r>
        <w:t xml:space="preserve">3.8 The Arbitrage-to-Venture process</w:t>
      </w:r>
    </w:p>
    <w:tbl>
      <w:tblPr>
        <w:tblStyle w:val="Table"/>
        <w:tblW w:w="9360" w:type="dxa"/>
        <w:jc w:val="left"/>
        <w:tblLayout w:type="fixed"/>
        <w:tblLook w:firstRow="1" w:lastRow="0" w:firstColumn="0" w:lastColumn="0" w:noHBand="0" w:noVBand="0" w:val="0020"/>
      </w:tblPr>
      <w:tblGrid>
        <w:gridCol w:w="1287"/>
        <w:gridCol w:w="5496"/>
        <w:gridCol w:w="2577"/>
      </w:tblGrid>
      <w:tr>
        <w:trPr>
          <w:cantSplit/>
          <w:tblHeader w:val="true"/>
        </w:trPr>
        <w:tc>
          <w:tcPr>
            <w:tcW w:w="1287" w:type="dxa"/>
          </w:tcPr>
          <w:p>
            <w:pPr>
              <w:pStyle w:val="TableText"/>
              <w:jc w:val="left"/>
            </w:pPr>
            <w:r>
              <w:t xml:space="preserve">Step</w:t>
            </w:r>
          </w:p>
        </w:tc>
        <w:tc>
          <w:tcPr>
            <w:tcW w:w="5496" w:type="dxa"/>
          </w:tcPr>
          <w:p>
            <w:pPr>
              <w:pStyle w:val="TableText"/>
              <w:jc w:val="left"/>
            </w:pPr>
            <w:r>
              <w:t xml:space="preserve">Activity</w:t>
            </w:r>
          </w:p>
        </w:tc>
        <w:tc>
          <w:tcPr>
            <w:tcW w:w="2577" w:type="dxa"/>
          </w:tcPr>
          <w:p>
            <w:pPr>
              <w:pStyle w:val="TableText"/>
              <w:jc w:val="left"/>
            </w:pPr>
            <w:r>
              <w:t xml:space="preserve">Output</w:t>
            </w:r>
          </w:p>
        </w:tc>
      </w:tr>
      <w:tr>
        <w:trPr>
          <w:cantSplit/>
        </w:trPr>
        <w:tc>
          <w:tcPr>
            <w:tcW w:w="1287" w:type="dxa"/>
          </w:tcPr>
          <w:p>
            <w:pPr>
              <w:pStyle w:val="TableText"/>
              <w:jc w:val="left"/>
            </w:pPr>
            <w:r>
              <w:t xml:space="preserve">1.</w:t>
            </w:r>
            <w:r>
              <w:t xml:space="preserve"> </w:t>
            </w:r>
            <w:r>
              <w:rPr>
                <w:b/>
                <w:bCs/>
              </w:rPr>
              <w:t xml:space="preserve">Map</w:t>
            </w:r>
          </w:p>
        </w:tc>
        <w:tc>
          <w:tcPr>
            <w:tcW w:w="5496" w:type="dxa"/>
          </w:tcPr>
          <w:p>
            <w:pPr>
              <w:pStyle w:val="TableText"/>
              <w:jc w:val="left"/>
            </w:pPr>
            <w:r>
              <w:t xml:space="preserve">Scan the ten spread types in a sector or country</w:t>
            </w:r>
          </w:p>
        </w:tc>
        <w:tc>
          <w:tcPr>
            <w:tcW w:w="2577" w:type="dxa"/>
          </w:tcPr>
          <w:p>
            <w:pPr>
              <w:pStyle w:val="TableText"/>
              <w:jc w:val="left"/>
            </w:pPr>
            <w:r>
              <w:t xml:space="preserve">A list of candidate spreads</w:t>
            </w:r>
          </w:p>
        </w:tc>
      </w:tr>
      <w:tr>
        <w:trPr>
          <w:cantSplit/>
        </w:trPr>
        <w:tc>
          <w:tcPr>
            <w:tcW w:w="1287" w:type="dxa"/>
          </w:tcPr>
          <w:p>
            <w:pPr>
              <w:pStyle w:val="TableText"/>
              <w:jc w:val="left"/>
            </w:pPr>
            <w:r>
              <w:t xml:space="preserve">2.</w:t>
            </w:r>
            <w:r>
              <w:t xml:space="preserve"> </w:t>
            </w:r>
            <w:r>
              <w:rPr>
                <w:b/>
                <w:bCs/>
              </w:rPr>
              <w:t xml:space="preserve">Measure</w:t>
            </w:r>
          </w:p>
        </w:tc>
        <w:tc>
          <w:tcPr>
            <w:tcW w:w="5496" w:type="dxa"/>
          </w:tcPr>
          <w:p>
            <w:pPr>
              <w:pStyle w:val="TableText"/>
              <w:jc w:val="left"/>
            </w:pPr>
            <w:r>
              <w:t xml:space="preserve">Apply the AI arbitrage equation; estimate half-life</w:t>
            </w:r>
          </w:p>
        </w:tc>
        <w:tc>
          <w:tcPr>
            <w:tcW w:w="2577" w:type="dxa"/>
          </w:tcPr>
          <w:p>
            <w:pPr>
              <w:pStyle w:val="TableText"/>
              <w:jc w:val="left"/>
            </w:pPr>
            <w:r>
              <w:t xml:space="preserve">Net spread and half-life per candidate</w:t>
            </w:r>
          </w:p>
        </w:tc>
      </w:tr>
      <w:tr>
        <w:trPr>
          <w:cantSplit/>
        </w:trPr>
        <w:tc>
          <w:tcPr>
            <w:tcW w:w="1287" w:type="dxa"/>
          </w:tcPr>
          <w:p>
            <w:pPr>
              <w:pStyle w:val="TableText"/>
              <w:jc w:val="left"/>
            </w:pPr>
            <w:r>
              <w:t xml:space="preserve">3.</w:t>
            </w:r>
            <w:r>
              <w:t xml:space="preserve"> </w:t>
            </w:r>
            <w:r>
              <w:rPr>
                <w:b/>
                <w:bCs/>
              </w:rPr>
              <w:t xml:space="preserve">Filter</w:t>
            </w:r>
          </w:p>
        </w:tc>
        <w:tc>
          <w:tcPr>
            <w:tcW w:w="5496" w:type="dxa"/>
          </w:tcPr>
          <w:p>
            <w:pPr>
              <w:pStyle w:val="TableText"/>
              <w:jc w:val="left"/>
            </w:pPr>
            <w:r>
              <w:t xml:space="preserve">Apply the Productive Arbitrage Test</w:t>
            </w:r>
          </w:p>
        </w:tc>
        <w:tc>
          <w:tcPr>
            <w:tcW w:w="2577" w:type="dxa"/>
          </w:tcPr>
          <w:p>
            <w:pPr>
              <w:pStyle w:val="TableText"/>
              <w:jc w:val="left"/>
            </w:pPr>
            <w:r>
              <w:t xml:space="preserve">Candidates that pass the red lines</w:t>
            </w:r>
          </w:p>
        </w:tc>
      </w:tr>
      <w:tr>
        <w:trPr>
          <w:cantSplit/>
        </w:trPr>
        <w:tc>
          <w:tcPr>
            <w:tcW w:w="1287" w:type="dxa"/>
          </w:tcPr>
          <w:p>
            <w:pPr>
              <w:pStyle w:val="TableText"/>
              <w:jc w:val="left"/>
            </w:pPr>
            <w:r>
              <w:t xml:space="preserve">4.</w:t>
            </w:r>
            <w:r>
              <w:t xml:space="preserve"> </w:t>
            </w:r>
            <w:r>
              <w:rPr>
                <w:b/>
                <w:bCs/>
              </w:rPr>
              <w:t xml:space="preserve">Design the bridge</w:t>
            </w:r>
          </w:p>
        </w:tc>
        <w:tc>
          <w:tcPr>
            <w:tcW w:w="5496" w:type="dxa"/>
          </w:tcPr>
          <w:p>
            <w:pPr>
              <w:pStyle w:val="TableText"/>
              <w:jc w:val="left"/>
            </w:pPr>
            <w:r>
              <w:t xml:space="preserve">Design the AI-plus-human service, the trust stack and the friction removal</w:t>
            </w:r>
          </w:p>
        </w:tc>
        <w:tc>
          <w:tcPr>
            <w:tcW w:w="2577" w:type="dxa"/>
          </w:tcPr>
          <w:p>
            <w:pPr>
              <w:pStyle w:val="TableText"/>
              <w:jc w:val="left"/>
            </w:pPr>
            <w:r>
              <w:t xml:space="preserve">A service blueprint</w:t>
            </w:r>
          </w:p>
        </w:tc>
      </w:tr>
      <w:tr>
        <w:trPr>
          <w:cantSplit/>
        </w:trPr>
        <w:tc>
          <w:tcPr>
            <w:tcW w:w="1287" w:type="dxa"/>
          </w:tcPr>
          <w:p>
            <w:pPr>
              <w:pStyle w:val="TableText"/>
              <w:jc w:val="left"/>
            </w:pPr>
            <w:r>
              <w:t xml:space="preserve">5.</w:t>
            </w:r>
            <w:r>
              <w:t xml:space="preserve"> </w:t>
            </w:r>
            <w:r>
              <w:rPr>
                <w:b/>
                <w:bCs/>
              </w:rPr>
              <w:t xml:space="preserve">Pilot</w:t>
            </w:r>
          </w:p>
        </w:tc>
        <w:tc>
          <w:tcPr>
            <w:tcW w:w="5496" w:type="dxa"/>
          </w:tcPr>
          <w:p>
            <w:pPr>
              <w:pStyle w:val="TableText"/>
              <w:jc w:val="left"/>
            </w:pPr>
            <w:r>
              <w:t xml:space="preserve">Deliver the outcome to one atomic network by hand</w:t>
            </w:r>
          </w:p>
        </w:tc>
        <w:tc>
          <w:tcPr>
            <w:tcW w:w="2577" w:type="dxa"/>
          </w:tcPr>
          <w:p>
            <w:pPr>
              <w:pStyle w:val="TableText"/>
              <w:jc w:val="left"/>
            </w:pPr>
            <w:r>
              <w:t xml:space="preserve">Evidence of real value and real cost</w:t>
            </w:r>
          </w:p>
        </w:tc>
      </w:tr>
      <w:tr>
        <w:trPr>
          <w:cantSplit/>
        </w:trPr>
        <w:tc>
          <w:tcPr>
            <w:tcW w:w="1287" w:type="dxa"/>
          </w:tcPr>
          <w:p>
            <w:pPr>
              <w:pStyle w:val="TableText"/>
              <w:jc w:val="left"/>
            </w:pPr>
            <w:r>
              <w:t xml:space="preserve">6.</w:t>
            </w:r>
            <w:r>
              <w:t xml:space="preserve"> </w:t>
            </w:r>
            <w:r>
              <w:rPr>
                <w:b/>
                <w:bCs/>
              </w:rPr>
              <w:t xml:space="preserve">Convert</w:t>
            </w:r>
          </w:p>
        </w:tc>
        <w:tc>
          <w:tcPr>
            <w:tcW w:w="5496" w:type="dxa"/>
          </w:tcPr>
          <w:p>
            <w:pPr>
              <w:pStyle w:val="TableText"/>
              <w:jc w:val="left"/>
            </w:pPr>
            <w:r>
              <w:t xml:space="preserve">Invest early profits in the seven moats</w:t>
            </w:r>
          </w:p>
        </w:tc>
        <w:tc>
          <w:tcPr>
            <w:tcW w:w="2577" w:type="dxa"/>
          </w:tcPr>
          <w:p>
            <w:pPr>
              <w:pStyle w:val="TableText"/>
              <w:jc w:val="left"/>
            </w:pPr>
            <w:r>
              <w:t xml:space="preserve">A moat plan with milestones</w:t>
            </w:r>
          </w:p>
        </w:tc>
      </w:tr>
      <w:tr>
        <w:trPr>
          <w:cantSplit/>
        </w:trPr>
        <w:tc>
          <w:tcPr>
            <w:tcW w:w="1287" w:type="dxa"/>
          </w:tcPr>
          <w:p>
            <w:pPr>
              <w:pStyle w:val="TableText"/>
              <w:jc w:val="left"/>
            </w:pPr>
            <w:r>
              <w:t xml:space="preserve">7.</w:t>
            </w:r>
            <w:r>
              <w:t xml:space="preserve"> </w:t>
            </w:r>
            <w:r>
              <w:rPr>
                <w:b/>
                <w:bCs/>
              </w:rPr>
              <w:t xml:space="preserve">Share</w:t>
            </w:r>
          </w:p>
        </w:tc>
        <w:tc>
          <w:tcPr>
            <w:tcW w:w="5496" w:type="dxa"/>
          </w:tcPr>
          <w:p>
            <w:pPr>
              <w:pStyle w:val="TableText"/>
              <w:jc w:val="left"/>
            </w:pPr>
            <w:r>
              <w:t xml:space="preserve">Design how the cheap side shares the spread (wages, royalties, equity, prices)</w:t>
            </w:r>
          </w:p>
        </w:tc>
        <w:tc>
          <w:tcPr>
            <w:tcW w:w="2577" w:type="dxa"/>
          </w:tcPr>
          <w:p>
            <w:pPr>
              <w:pStyle w:val="TableText"/>
              <w:jc w:val="left"/>
            </w:pPr>
            <w:r>
              <w:t xml:space="preserve">A sharing model</w:t>
            </w:r>
          </w:p>
        </w:tc>
      </w:tr>
      <w:tr>
        <w:trPr>
          <w:cantSplit/>
        </w:trPr>
        <w:tc>
          <w:tcPr>
            <w:tcW w:w="1287" w:type="dxa"/>
          </w:tcPr>
          <w:p>
            <w:pPr>
              <w:pStyle w:val="TableText"/>
              <w:jc w:val="left"/>
            </w:pPr>
            <w:r>
              <w:t xml:space="preserve">8.</w:t>
            </w:r>
            <w:r>
              <w:t xml:space="preserve"> </w:t>
            </w:r>
            <w:r>
              <w:rPr>
                <w:b/>
                <w:bCs/>
              </w:rPr>
              <w:t xml:space="preserve">Re-score</w:t>
            </w:r>
          </w:p>
        </w:tc>
        <w:tc>
          <w:tcPr>
            <w:tcW w:w="5496" w:type="dxa"/>
          </w:tcPr>
          <w:p>
            <w:pPr>
              <w:pStyle w:val="TableText"/>
              <w:jc w:val="left"/>
            </w:pPr>
            <w:r>
              <w:t xml:space="preserve">Re-score as the spread closes; move up the value chain or move to the next bottleneck</w:t>
            </w:r>
          </w:p>
        </w:tc>
        <w:tc>
          <w:tcPr>
            <w:tcW w:w="2577" w:type="dxa"/>
          </w:tcPr>
          <w:p>
            <w:pPr>
              <w:pStyle w:val="TableText"/>
              <w:jc w:val="left"/>
            </w:pPr>
            <w:r>
              <w:t xml:space="preserve">An updated plan each cycle</w:t>
            </w:r>
          </w:p>
        </w:tc>
      </w:tr>
    </w:tbl>
    <w:bookmarkEnd w:id="51"/>
    <w:bookmarkEnd w:id="52"/>
    <w:bookmarkStart w:id="63" w:name="part-4-ten-ai-arbitrage-ventures"/>
    <w:p>
      <w:pPr>
        <w:pStyle w:val="Heading1"/>
      </w:pPr>
      <w:r>
        <w:t xml:space="preserve">Part 4: Ten AI Arbitrage Ventures</w:t>
      </w:r>
    </w:p>
    <w:p>
      <w:pPr>
        <w:pStyle w:val="FirstParagraph"/>
      </w:pPr>
      <w:r>
        <w:t xml:space="preserve">Each venture captures one spread from the Spread Map and is designed to climb the full Spread-to-Moat Ladder. Each follows the same template:</w:t>
      </w:r>
    </w:p>
    <w:p>
      <w:pPr>
        <w:pStyle w:val="Compact"/>
        <w:numPr>
          <w:ilvl w:val="0"/>
          <w:numId w:val="1011"/>
        </w:numPr>
      </w:pPr>
      <w:r>
        <w:rPr>
          <w:b/>
          <w:bCs/>
        </w:rPr>
        <w:t xml:space="preserve">Spread code</w:t>
      </w:r>
      <w:r>
        <w:t xml:space="preserve">: the spread, its value and cost sides, its main friction, its half-life, the moats it converts into, and its archetype (from Volume II).</w:t>
      </w:r>
    </w:p>
    <w:p>
      <w:pPr>
        <w:pStyle w:val="Compact"/>
        <w:numPr>
          <w:ilvl w:val="0"/>
          <w:numId w:val="1011"/>
        </w:numPr>
      </w:pPr>
      <w:r>
        <w:rPr>
          <w:b/>
          <w:bCs/>
        </w:rPr>
        <w:t xml:space="preserve">The gap</w:t>
      </w:r>
      <w:r>
        <w:t xml:space="preserve">: the evidence.</w:t>
      </w:r>
    </w:p>
    <w:p>
      <w:pPr>
        <w:pStyle w:val="Compact"/>
        <w:numPr>
          <w:ilvl w:val="0"/>
          <w:numId w:val="1011"/>
        </w:numPr>
      </w:pPr>
      <w:r>
        <w:rPr>
          <w:b/>
          <w:bCs/>
        </w:rPr>
        <w:t xml:space="preserve">Benchmarks</w:t>
      </w:r>
      <w:r>
        <w:t xml:space="preserve">: what it borrows and inverts.</w:t>
      </w:r>
    </w:p>
    <w:p>
      <w:pPr>
        <w:pStyle w:val="Compact"/>
        <w:numPr>
          <w:ilvl w:val="0"/>
          <w:numId w:val="1011"/>
        </w:numPr>
      </w:pPr>
      <w:r>
        <w:rPr>
          <w:b/>
          <w:bCs/>
        </w:rPr>
        <w:t xml:space="preserve">How it works</w:t>
      </w:r>
      <w:r>
        <w:t xml:space="preserve">.</w:t>
      </w:r>
    </w:p>
    <w:p>
      <w:pPr>
        <w:pStyle w:val="Compact"/>
        <w:numPr>
          <w:ilvl w:val="0"/>
          <w:numId w:val="1011"/>
        </w:numPr>
      </w:pPr>
      <w:r>
        <w:rPr>
          <w:b/>
          <w:bCs/>
        </w:rPr>
        <w:t xml:space="preserve">From spread to moat</w:t>
      </w:r>
      <w:r>
        <w:t xml:space="preserve">: what remains when the spread closes, and who shares the spread.</w:t>
      </w:r>
    </w:p>
    <w:p>
      <w:pPr>
        <w:pStyle w:val="Compact"/>
        <w:numPr>
          <w:ilvl w:val="0"/>
          <w:numId w:val="1011"/>
        </w:numPr>
      </w:pPr>
      <w:r>
        <w:rPr>
          <w:b/>
          <w:bCs/>
        </w:rPr>
        <w:t xml:space="preserve">System dynamics</w:t>
      </w:r>
      <w:r>
        <w:t xml:space="preserve">.</w:t>
      </w:r>
    </w:p>
    <w:p>
      <w:pPr>
        <w:pStyle w:val="Compact"/>
        <w:numPr>
          <w:ilvl w:val="0"/>
          <w:numId w:val="1011"/>
        </w:numPr>
      </w:pPr>
      <w:r>
        <w:rPr>
          <w:b/>
          <w:bCs/>
        </w:rPr>
        <w:t xml:space="preserve">Design thinking</w:t>
      </w:r>
      <w:r>
        <w:t xml:space="preserve">.</w:t>
      </w:r>
    </w:p>
    <w:p>
      <w:pPr>
        <w:pStyle w:val="Compact"/>
        <w:numPr>
          <w:ilvl w:val="0"/>
          <w:numId w:val="1011"/>
        </w:numPr>
      </w:pPr>
      <w:r>
        <w:rPr>
          <w:b/>
          <w:bCs/>
        </w:rPr>
        <w:t xml:space="preserve">Business model</w:t>
      </w:r>
      <w:r>
        <w:t xml:space="preserve">.</w:t>
      </w:r>
    </w:p>
    <w:p>
      <w:pPr>
        <w:pStyle w:val="Compact"/>
        <w:numPr>
          <w:ilvl w:val="0"/>
          <w:numId w:val="1011"/>
        </w:numPr>
      </w:pPr>
      <w:r>
        <w:rPr>
          <w:b/>
          <w:bCs/>
        </w:rPr>
        <w:t xml:space="preserve">Risks and safeguards</w:t>
      </w:r>
      <w:r>
        <w:t xml:space="preserve">, including its</w:t>
      </w:r>
      <w:r>
        <w:t xml:space="preserve"> </w:t>
      </w:r>
      <w:r>
        <w:t xml:space="preserve">“</w:t>
      </w:r>
      <w:r>
        <w:t xml:space="preserve">dark twin</w:t>
      </w:r>
      <w:r>
        <w:t xml:space="preserve">”</w:t>
      </w:r>
      <w:r>
        <w:t xml:space="preserve">.</w:t>
      </w:r>
    </w:p>
    <w:p>
      <w:pPr>
        <w:pStyle w:val="Compact"/>
        <w:numPr>
          <w:ilvl w:val="0"/>
          <w:numId w:val="1011"/>
        </w:numPr>
      </w:pPr>
      <w:r>
        <w:rPr>
          <w:b/>
          <w:bCs/>
        </w:rPr>
        <w:t xml:space="preserve">First 100 days</w:t>
      </w:r>
      <w:r>
        <w:t xml:space="preserve">.</w:t>
      </w:r>
    </w:p>
    <w:p>
      <w:pPr>
        <w:pStyle w:val="Compact"/>
        <w:numPr>
          <w:ilvl w:val="0"/>
          <w:numId w:val="1011"/>
        </w:numPr>
      </w:pPr>
      <w:r>
        <w:rPr>
          <w:b/>
          <w:bCs/>
        </w:rPr>
        <w:t xml:space="preserve">Scores</w:t>
      </w:r>
      <w:r>
        <w:t xml:space="preserve">: Spread Quality Score (/25) and Double Decagon Index (/100).</w:t>
      </w:r>
    </w:p>
    <w:bookmarkStart w:id="53" w:name="X6f3e8aa094cdac6e92e646b106d07ee49fd5bb5"/>
    <w:p>
      <w:pPr>
        <w:pStyle w:val="Heading2"/>
      </w:pPr>
      <w:r>
        <w:t xml:space="preserve">Venture 1: STRANDEDWATTS, compute where energy is wasted</w:t>
      </w:r>
    </w:p>
    <w:p>
      <w:pPr>
        <w:pStyle w:val="BlockText"/>
      </w:pPr>
      <w:r>
        <w:rPr>
          <w:b/>
          <w:bCs/>
        </w:rPr>
        <w:t xml:space="preserve">Thesis.</w:t>
      </w:r>
      <w:r>
        <w:t xml:space="preserve"> </w:t>
      </w:r>
      <w:r>
        <w:t xml:space="preserve">AI compute is constrained by electricity, while large amounts of energy are wasted: gas flared at oil fields, solar output curtailed at midday, and hydropower with no grid to reach. StrandedWatts builds modular AI data centres at stranded-energy sites in Africa. They serve latency-tolerant workloads (batch inference, model training, rendering) for global and African customers, and a fixed share of the power and profits goes to local communities.</w:t>
      </w:r>
    </w:p>
    <w:tbl>
      <w:tblPr>
        <w:tblStyle w:val="Table"/>
        <w:tblW w:w="9360" w:type="dxa"/>
        <w:jc w:val="left"/>
        <w:tblLayout w:type="fixed"/>
        <w:tblLook w:firstRow="1" w:lastRow="0" w:firstColumn="0" w:lastColumn="0" w:noHBand="0" w:noVBand="0" w:val="0020"/>
      </w:tblPr>
      <w:tblGrid>
        <w:gridCol w:w="1517"/>
        <w:gridCol w:w="7843"/>
      </w:tblGrid>
      <w:tr>
        <w:trPr>
          <w:cantSplit/>
          <w:tblHeader w:val="true"/>
        </w:trPr>
        <w:tc>
          <w:tcPr>
            <w:tcW w:w="1517" w:type="dxa"/>
          </w:tcPr>
          <w:p>
            <w:pPr>
              <w:pStyle w:val="TableText"/>
              <w:jc w:val="left"/>
            </w:pPr>
            <w:r>
              <w:t xml:space="preserve">Spread code</w:t>
            </w:r>
          </w:p>
        </w:tc>
        <w:tc>
          <w:tcPr>
            <w:tcW w:w="7843" w:type="dxa"/>
          </w:tcPr>
          <w:p>
            <w:pPr>
              <w:pStyle w:val="TableText"/>
            </w:pPr>
          </w:p>
        </w:tc>
      </w:tr>
      <w:tr>
        <w:trPr>
          <w:cantSplit/>
        </w:trPr>
        <w:tc>
          <w:tcPr>
            <w:tcW w:w="1517" w:type="dxa"/>
          </w:tcPr>
          <w:p>
            <w:pPr>
              <w:pStyle w:val="TableText"/>
              <w:jc w:val="left"/>
            </w:pPr>
            <w:r>
              <w:t xml:space="preserve">Spread</w:t>
            </w:r>
          </w:p>
        </w:tc>
        <w:tc>
          <w:tcPr>
            <w:tcW w:w="7843" w:type="dxa"/>
          </w:tcPr>
          <w:p>
            <w:pPr>
              <w:pStyle w:val="TableText"/>
              <w:jc w:val="left"/>
            </w:pPr>
            <w:r>
              <w:rPr>
                <w:b/>
                <w:bCs/>
              </w:rPr>
              <w:t xml:space="preserve">S1 Energy–compute</w:t>
            </w:r>
          </w:p>
        </w:tc>
      </w:tr>
      <w:tr>
        <w:trPr>
          <w:cantSplit/>
        </w:trPr>
        <w:tc>
          <w:tcPr>
            <w:tcW w:w="1517" w:type="dxa"/>
          </w:tcPr>
          <w:p>
            <w:pPr>
              <w:pStyle w:val="TableText"/>
              <w:jc w:val="left"/>
            </w:pPr>
            <w:r>
              <w:t xml:space="preserve">Value side</w:t>
            </w:r>
          </w:p>
        </w:tc>
        <w:tc>
          <w:tcPr>
            <w:tcW w:w="7843" w:type="dxa"/>
          </w:tcPr>
          <w:p>
            <w:pPr>
              <w:pStyle w:val="TableText"/>
              <w:jc w:val="left"/>
            </w:pPr>
            <w:r>
              <w:t xml:space="preserve">The price of AI compute in a constrained global market</w:t>
            </w:r>
          </w:p>
        </w:tc>
      </w:tr>
      <w:tr>
        <w:trPr>
          <w:cantSplit/>
        </w:trPr>
        <w:tc>
          <w:tcPr>
            <w:tcW w:w="1517" w:type="dxa"/>
          </w:tcPr>
          <w:p>
            <w:pPr>
              <w:pStyle w:val="TableText"/>
              <w:jc w:val="left"/>
            </w:pPr>
            <w:r>
              <w:t xml:space="preserve">Cost side</w:t>
            </w:r>
          </w:p>
        </w:tc>
        <w:tc>
          <w:tcPr>
            <w:tcW w:w="7843" w:type="dxa"/>
          </w:tcPr>
          <w:p>
            <w:pPr>
              <w:pStyle w:val="TableText"/>
              <w:jc w:val="left"/>
            </w:pPr>
            <w:r>
              <w:t xml:space="preserve">Near-zero or negative-value energy (flared gas, curtailed renewables)</w:t>
            </w:r>
          </w:p>
        </w:tc>
      </w:tr>
      <w:tr>
        <w:trPr>
          <w:cantSplit/>
        </w:trPr>
        <w:tc>
          <w:tcPr>
            <w:tcW w:w="1517" w:type="dxa"/>
          </w:tcPr>
          <w:p>
            <w:pPr>
              <w:pStyle w:val="TableText"/>
              <w:jc w:val="left"/>
            </w:pPr>
            <w:r>
              <w:t xml:space="preserve">Main friction</w:t>
            </w:r>
          </w:p>
        </w:tc>
        <w:tc>
          <w:tcPr>
            <w:tcW w:w="7843" w:type="dxa"/>
          </w:tcPr>
          <w:p>
            <w:pPr>
              <w:pStyle w:val="TableText"/>
              <w:jc w:val="left"/>
            </w:pPr>
            <w:r>
              <w:t xml:space="preserve">Connectivity; security; site permits; community legitimacy</w:t>
            </w:r>
          </w:p>
        </w:tc>
      </w:tr>
      <w:tr>
        <w:trPr>
          <w:cantSplit/>
        </w:trPr>
        <w:tc>
          <w:tcPr>
            <w:tcW w:w="1517" w:type="dxa"/>
          </w:tcPr>
          <w:p>
            <w:pPr>
              <w:pStyle w:val="TableText"/>
              <w:jc w:val="left"/>
            </w:pPr>
            <w:r>
              <w:t xml:space="preserve">Half-life</w:t>
            </w:r>
          </w:p>
        </w:tc>
        <w:tc>
          <w:tcPr>
            <w:tcW w:w="7843" w:type="dxa"/>
          </w:tcPr>
          <w:p>
            <w:pPr>
              <w:pStyle w:val="TableText"/>
              <w:jc w:val="left"/>
            </w:pPr>
            <w:r>
              <w:t xml:space="preserve">Long: energy constraints on AI are structural</w:t>
            </w:r>
          </w:p>
        </w:tc>
      </w:tr>
      <w:tr>
        <w:trPr>
          <w:cantSplit/>
        </w:trPr>
        <w:tc>
          <w:tcPr>
            <w:tcW w:w="1517" w:type="dxa"/>
          </w:tcPr>
          <w:p>
            <w:pPr>
              <w:pStyle w:val="TableText"/>
              <w:jc w:val="left"/>
            </w:pPr>
            <w:r>
              <w:t xml:space="preserve">Moats</w:t>
            </w:r>
          </w:p>
        </w:tc>
        <w:tc>
          <w:tcPr>
            <w:tcW w:w="7843" w:type="dxa"/>
          </w:tcPr>
          <w:p>
            <w:pPr>
              <w:pStyle w:val="TableText"/>
              <w:jc w:val="left"/>
            </w:pPr>
            <w:r>
              <w:t xml:space="preserve">Physical infrastructure; long-term energy contracts; regulatory standing; community legitimacy</w:t>
            </w:r>
          </w:p>
        </w:tc>
      </w:tr>
      <w:tr>
        <w:trPr>
          <w:cantSplit/>
        </w:trPr>
        <w:tc>
          <w:tcPr>
            <w:tcW w:w="1517" w:type="dxa"/>
          </w:tcPr>
          <w:p>
            <w:pPr>
              <w:pStyle w:val="TableText"/>
              <w:jc w:val="left"/>
            </w:pPr>
            <w:r>
              <w:t xml:space="preserve">Archetype and governance</w:t>
            </w:r>
          </w:p>
        </w:tc>
        <w:tc>
          <w:tcPr>
            <w:tcW w:w="7843" w:type="dxa"/>
          </w:tcPr>
          <w:p>
            <w:pPr>
              <w:pStyle w:val="TableText"/>
              <w:jc w:val="left"/>
            </w:pPr>
            <w:r>
              <w:t xml:space="preserve">A2 idle-asset marketplace (for stranded energy) + A8 protocol (open workload scheduling); steward-owned with a community benefit trust</w:t>
            </w:r>
          </w:p>
        </w:tc>
      </w:tr>
    </w:tbl>
    <w:p>
      <w:pPr>
        <w:pStyle w:val="BodyText"/>
        <w:spacing w:before="160"/>
      </w:pPr>
      <w:r>
        <w:rPr>
          <w:b/>
          <w:bCs/>
        </w:rPr>
        <w:t xml:space="preserve">The gap</w:t>
      </w:r>
    </w:p>
    <w:p>
      <w:pPr>
        <w:pStyle w:val="Compact"/>
        <w:numPr>
          <w:ilvl w:val="0"/>
          <w:numId w:val="1012"/>
        </w:numPr>
      </w:pPr>
      <w:r>
        <w:t xml:space="preserve">Global gas flaring reached about 151 billion cubic metres in 2024, the highest since 2007. Nigeria’s flaring rose about 12%, and its flaring intensity is more than twice the global average (World Bank Global Gas Flaring Tracker).</w:t>
      </w:r>
    </w:p>
    <w:p>
      <w:pPr>
        <w:pStyle w:val="Compact"/>
        <w:numPr>
          <w:ilvl w:val="0"/>
          <w:numId w:val="1012"/>
        </w:numPr>
      </w:pPr>
      <w:r>
        <w:t xml:space="preserve">Nigeria’s Gas Flare Commercialisation Programme has awarded flare sites to companies to put the gas to use.</w:t>
      </w:r>
    </w:p>
    <w:p>
      <w:pPr>
        <w:pStyle w:val="Compact"/>
        <w:numPr>
          <w:ilvl w:val="0"/>
          <w:numId w:val="1012"/>
        </w:numPr>
      </w:pPr>
      <w:r>
        <w:t xml:space="preserve">Data-centre electricity demand is projected to more than double to about 945 TWh by 2030 (IEA). GPU rental prices rose again in 2026 as capacity sold out.</w:t>
      </w:r>
    </w:p>
    <w:p>
      <w:pPr>
        <w:pStyle w:val="Compact"/>
        <w:numPr>
          <w:ilvl w:val="0"/>
          <w:numId w:val="1012"/>
        </w:numPr>
      </w:pPr>
      <w:r>
        <w:t xml:space="preserve">Africa hosts a tiny share of the world’s data-centre capacity, limiting AI sovereignty and local services.</w:t>
      </w:r>
    </w:p>
    <w:p>
      <w:pPr>
        <w:pStyle w:val="FirstParagraph"/>
      </w:pPr>
      <w:r>
        <w:rPr>
          <w:b/>
          <w:bCs/>
        </w:rPr>
        <w:t xml:space="preserve">Benchmarks: borrowed and inverted</w:t>
      </w:r>
    </w:p>
    <w:p>
      <w:pPr>
        <w:pStyle w:val="Compact"/>
        <w:numPr>
          <w:ilvl w:val="0"/>
          <w:numId w:val="1013"/>
        </w:numPr>
      </w:pPr>
      <w:r>
        <w:rPr>
          <w:b/>
          <w:bCs/>
        </w:rPr>
        <w:t xml:space="preserve">From Airbnb:</w:t>
      </w:r>
      <w:r>
        <w:t xml:space="preserve"> </w:t>
      </w:r>
      <w:r>
        <w:t xml:space="preserve">an idle asset (stranded energy) becomes valuable once a platform makes it usable.</w:t>
      </w:r>
    </w:p>
    <w:p>
      <w:pPr>
        <w:pStyle w:val="Compact"/>
        <w:numPr>
          <w:ilvl w:val="0"/>
          <w:numId w:val="1013"/>
        </w:numPr>
      </w:pPr>
      <w:r>
        <w:rPr>
          <w:b/>
          <w:bCs/>
        </w:rPr>
        <w:t xml:space="preserve">From Volume I’s FluxCommons:</w:t>
      </w:r>
      <w:r>
        <w:t xml:space="preserve"> </w:t>
      </w:r>
      <w:r>
        <w:t xml:space="preserve">compute as a flexible, interruptible load.</w:t>
      </w:r>
    </w:p>
    <w:p>
      <w:pPr>
        <w:pStyle w:val="Compact"/>
        <w:numPr>
          <w:ilvl w:val="0"/>
          <w:numId w:val="1013"/>
        </w:numPr>
      </w:pPr>
      <w:r>
        <w:rPr>
          <w:b/>
          <w:bCs/>
        </w:rPr>
        <w:t xml:space="preserve">From flare-to-compute precedents:</w:t>
      </w:r>
      <w:r>
        <w:t xml:space="preserve"> </w:t>
      </w:r>
      <w:r>
        <w:t xml:space="preserve">companies have powered computing with flared gas elsewhere, for example in North American oilfields.</w:t>
      </w:r>
    </w:p>
    <w:p>
      <w:pPr>
        <w:pStyle w:val="Compact"/>
        <w:numPr>
          <w:ilvl w:val="0"/>
          <w:numId w:val="1013"/>
        </w:numPr>
      </w:pPr>
      <w:r>
        <w:rPr>
          <w:b/>
          <w:bCs/>
        </w:rPr>
        <w:t xml:space="preserve">Inverts:</w:t>
      </w:r>
      <w:r>
        <w:t xml:space="preserve"> </w:t>
      </w:r>
      <w:r>
        <w:t xml:space="preserve">extraction economies that left communities with pollution and no power become sites of shared benefit.</w:t>
      </w:r>
      <w:r>
        <w:t xml:space="preserve"> </w:t>
      </w:r>
      <w:r>
        <w:rPr>
          <w:i/>
          <w:iCs/>
        </w:rPr>
        <w:t xml:space="preserve">Compute never comes before people</w:t>
      </w:r>
      <w:r>
        <w:t xml:space="preserve">: a fixed share of power serves local mini-grids.</w:t>
      </w:r>
    </w:p>
    <w:p>
      <w:pPr>
        <w:pStyle w:val="FirstParagraph"/>
      </w:pPr>
      <w:r>
        <w:rPr>
          <w:b/>
          <w:bCs/>
        </w:rPr>
        <w:t xml:space="preserve">How it works</w:t>
      </w:r>
    </w:p>
    <w:p>
      <w:pPr>
        <w:pStyle w:val="Compact"/>
        <w:numPr>
          <w:ilvl w:val="0"/>
          <w:numId w:val="1014"/>
        </w:numPr>
      </w:pPr>
      <w:r>
        <w:rPr>
          <w:b/>
          <w:bCs/>
        </w:rPr>
        <w:t xml:space="preserve">Site selection.</w:t>
      </w:r>
      <w:r>
        <w:t xml:space="preserve"> </w:t>
      </w:r>
      <w:r>
        <w:t xml:space="preserve">Flare sites under the commercialisation programme, curtailed solar plants and stranded hydropower, chosen for security, connectivity (fibre or satellite) and community consent.</w:t>
      </w:r>
    </w:p>
    <w:p>
      <w:pPr>
        <w:pStyle w:val="Compact"/>
        <w:numPr>
          <w:ilvl w:val="0"/>
          <w:numId w:val="1014"/>
        </w:numPr>
      </w:pPr>
      <w:r>
        <w:rPr>
          <w:b/>
          <w:bCs/>
        </w:rPr>
        <w:t xml:space="preserve">Modular data centres.</w:t>
      </w:r>
      <w:r>
        <w:t xml:space="preserve"> </w:t>
      </w:r>
      <w:r>
        <w:t xml:space="preserve">Containerized GPU units, power generation from captured gas or renewables, and cooling.</w:t>
      </w:r>
    </w:p>
    <w:p>
      <w:pPr>
        <w:pStyle w:val="Compact"/>
        <w:numPr>
          <w:ilvl w:val="0"/>
          <w:numId w:val="1014"/>
        </w:numPr>
      </w:pPr>
      <w:r>
        <w:rPr>
          <w:b/>
          <w:bCs/>
        </w:rPr>
        <w:t xml:space="preserve">Workload marketplace.</w:t>
      </w:r>
      <w:r>
        <w:t xml:space="preserve"> </w:t>
      </w:r>
      <w:r>
        <w:t xml:space="preserve">Latency-tolerant jobs (batch inference, fine-tuning, training checkpoints, rendering, scientific computing) are scheduled by price and availability through an open interface.</w:t>
      </w:r>
    </w:p>
    <w:p>
      <w:pPr>
        <w:pStyle w:val="Compact"/>
        <w:numPr>
          <w:ilvl w:val="0"/>
          <w:numId w:val="1014"/>
        </w:numPr>
      </w:pPr>
      <w:r>
        <w:rPr>
          <w:b/>
          <w:bCs/>
        </w:rPr>
        <w:t xml:space="preserve">Community power share.</w:t>
      </w:r>
      <w:r>
        <w:t xml:space="preserve"> </w:t>
      </w:r>
      <w:r>
        <w:t xml:space="preserve">A fixed percentage of generated power feeds local mini-grids (clinics, schools, homes), and a community benefit trust receives a share of profits.</w:t>
      </w:r>
    </w:p>
    <w:p>
      <w:pPr>
        <w:pStyle w:val="Compact"/>
        <w:numPr>
          <w:ilvl w:val="0"/>
          <w:numId w:val="1014"/>
        </w:numPr>
      </w:pPr>
      <w:r>
        <w:rPr>
          <w:b/>
          <w:bCs/>
        </w:rPr>
        <w:t xml:space="preserve">Transition plan.</w:t>
      </w:r>
      <w:r>
        <w:t xml:space="preserve"> </w:t>
      </w:r>
      <w:r>
        <w:t xml:space="preserve">Flare-gas sites carry a published plan to shift to renewables. Capturing gas that would otherwise be flared cuts methane and black-carbon emissions, but it remains fossil energy, and the venture says so.</w:t>
      </w:r>
    </w:p>
    <w:p>
      <w:pPr>
        <w:pStyle w:val="Compact"/>
        <w:numPr>
          <w:ilvl w:val="0"/>
          <w:numId w:val="1014"/>
        </w:numPr>
      </w:pPr>
      <w:r>
        <w:rPr>
          <w:b/>
          <w:bCs/>
        </w:rPr>
        <w:t xml:space="preserve">Sovereign services.</w:t>
      </w:r>
      <w:r>
        <w:t xml:space="preserve"> </w:t>
      </w:r>
      <w:r>
        <w:t xml:space="preserve">A share of capacity is reserved for African universities, start-ups and public services at cost.</w:t>
      </w:r>
    </w:p>
    <w:p>
      <w:pPr>
        <w:pStyle w:val="FirstParagraph"/>
      </w:pPr>
      <w:r>
        <w:rPr>
          <w:b/>
          <w:bCs/>
        </w:rPr>
        <w:t xml:space="preserve">From spread to moat.</w:t>
      </w:r>
      <w:r>
        <w:t xml:space="preserve"> </w:t>
      </w:r>
      <w:r>
        <w:t xml:space="preserve">When compute prices fall, StrandedWatts still holds the sites, power contracts, community relationships and permits that competitors would need years to replicate.</w:t>
      </w:r>
      <w:r>
        <w:t xml:space="preserve"> </w:t>
      </w:r>
      <w:r>
        <w:rPr>
          <w:b/>
          <w:bCs/>
        </w:rPr>
        <w:t xml:space="preserve">Who shares the spread:</w:t>
      </w:r>
      <w:r>
        <w:t xml:space="preserve"> </w:t>
      </w:r>
      <w:r>
        <w:t xml:space="preserve">host communities (power and profit share), local technicians (jobs and training), African builders (reserved capacity at cost).</w:t>
      </w:r>
    </w:p>
    <w:p>
      <w:pPr>
        <w:pStyle w:val="BodyText"/>
      </w:pPr>
      <w:r>
        <w:rPr>
          <w:b/>
          <w:bCs/>
        </w:rPr>
        <w:t xml:space="preserve">System dynamics</w:t>
      </w:r>
    </w:p>
    <w:p>
      <w:pPr>
        <w:pStyle w:val="Compact"/>
        <w:numPr>
          <w:ilvl w:val="0"/>
          <w:numId w:val="1015"/>
        </w:numPr>
      </w:pPr>
      <w:r>
        <w:rPr>
          <w:b/>
          <w:bCs/>
        </w:rPr>
        <w:t xml:space="preserve">R1, the capacity loop:</w:t>
      </w:r>
      <w:r>
        <w:t xml:space="preserve"> </w:t>
      </w:r>
      <w:r>
        <w:t xml:space="preserve">profitable sites → capital for more sites → more capacity → more customers.</w:t>
      </w:r>
    </w:p>
    <w:p>
      <w:pPr>
        <w:pStyle w:val="Compact"/>
        <w:numPr>
          <w:ilvl w:val="0"/>
          <w:numId w:val="1015"/>
        </w:numPr>
      </w:pPr>
      <w:r>
        <w:rPr>
          <w:b/>
          <w:bCs/>
        </w:rPr>
        <w:t xml:space="preserve">R2, the community loop:</w:t>
      </w:r>
      <w:r>
        <w:t xml:space="preserve"> </w:t>
      </w:r>
      <w:r>
        <w:t xml:space="preserve">shared power and profit → community support → secure operations → lower costs.</w:t>
      </w:r>
    </w:p>
    <w:p>
      <w:pPr>
        <w:pStyle w:val="Compact"/>
        <w:numPr>
          <w:ilvl w:val="0"/>
          <w:numId w:val="1015"/>
        </w:numPr>
      </w:pPr>
      <w:r>
        <w:rPr>
          <w:b/>
          <w:bCs/>
        </w:rPr>
        <w:t xml:space="preserve">B1, legitimacy risk:</w:t>
      </w:r>
      <w:r>
        <w:t xml:space="preserve"> </w:t>
      </w:r>
      <w:r>
        <w:t xml:space="preserve">being seen as extending fossil infrastructure or ignoring local needs. The transition plan, the power share and transparent emissions reporting contain it.</w:t>
      </w:r>
    </w:p>
    <w:p>
      <w:pPr>
        <w:pStyle w:val="Compact"/>
        <w:numPr>
          <w:ilvl w:val="0"/>
          <w:numId w:val="1015"/>
        </w:numPr>
      </w:pPr>
      <w:r>
        <w:rPr>
          <w:b/>
          <w:bCs/>
        </w:rPr>
        <w:t xml:space="preserve">Leverage point:</w:t>
      </w:r>
      <w:r>
        <w:t xml:space="preserve"> </w:t>
      </w:r>
      <w:r>
        <w:t xml:space="preserve">rules (flare commercialisation and power-sharing terms) and paradigm (communities as partners, not bystanders).</w:t>
      </w:r>
    </w:p>
    <w:p>
      <w:pPr>
        <w:pStyle w:val="FirstParagraph"/>
      </w:pPr>
      <w:r>
        <w:rPr>
          <w:b/>
          <w:bCs/>
        </w:rPr>
        <w:t xml:space="preserve">Design thinking</w:t>
      </w:r>
    </w:p>
    <w:p>
      <w:pPr>
        <w:pStyle w:val="Compact"/>
        <w:numPr>
          <w:ilvl w:val="0"/>
          <w:numId w:val="1016"/>
        </w:numPr>
      </w:pPr>
      <w:r>
        <w:rPr>
          <w:i/>
          <w:iCs/>
        </w:rPr>
        <w:t xml:space="preserve">Personas:</w:t>
      </w:r>
      <w:r>
        <w:t xml:space="preserve"> </w:t>
      </w:r>
      <w:r>
        <w:rPr>
          <w:b/>
          <w:bCs/>
        </w:rPr>
        <w:t xml:space="preserve">Chief Ebi</w:t>
      </w:r>
      <w:r>
        <w:t xml:space="preserve">, community leader near a flare site in the Niger Delta whose village has never had reliable power.</w:t>
      </w:r>
      <w:r>
        <w:t xml:space="preserve"> </w:t>
      </w:r>
      <w:r>
        <w:rPr>
          <w:b/>
          <w:bCs/>
        </w:rPr>
        <w:t xml:space="preserve">A start-up founder in Lagos</w:t>
      </w:r>
      <w:r>
        <w:t xml:space="preserve"> </w:t>
      </w:r>
      <w:r>
        <w:t xml:space="preserve">who cannot afford GPUs priced in dollars.</w:t>
      </w:r>
      <w:r>
        <w:t xml:space="preserve"> </w:t>
      </w:r>
      <w:r>
        <w:rPr>
          <w:b/>
          <w:bCs/>
        </w:rPr>
        <w:t xml:space="preserve">A research lab</w:t>
      </w:r>
      <w:r>
        <w:t xml:space="preserve"> </w:t>
      </w:r>
      <w:r>
        <w:t xml:space="preserve">in Europe needing cheap batch compute.</w:t>
      </w:r>
    </w:p>
    <w:p>
      <w:pPr>
        <w:pStyle w:val="Compact"/>
        <w:numPr>
          <w:ilvl w:val="0"/>
          <w:numId w:val="1016"/>
        </w:numPr>
      </w:pPr>
      <w:r>
        <w:rPr>
          <w:i/>
          <w:iCs/>
        </w:rPr>
        <w:t xml:space="preserve">How might</w:t>
      </w:r>
      <w:r>
        <w:t xml:space="preserve"> </w:t>
      </w:r>
      <w:r>
        <w:t xml:space="preserve">energy that has been burned into the sky for decades power both AI and the villages beside it?</w:t>
      </w:r>
    </w:p>
    <w:p>
      <w:pPr>
        <w:pStyle w:val="Compact"/>
        <w:numPr>
          <w:ilvl w:val="0"/>
          <w:numId w:val="1016"/>
        </w:numPr>
      </w:pPr>
      <w:r>
        <w:rPr>
          <w:i/>
          <w:iCs/>
        </w:rPr>
        <w:t xml:space="preserve">Moment of truth:</w:t>
      </w:r>
      <w:r>
        <w:t xml:space="preserve"> </w:t>
      </w:r>
      <w:r>
        <w:t xml:space="preserve">the flare goes dark, and the clinic down the road has 24-hour power for the first time.</w:t>
      </w:r>
    </w:p>
    <w:p>
      <w:pPr>
        <w:pStyle w:val="FirstParagraph"/>
      </w:pPr>
      <w:r>
        <w:rPr>
          <w:b/>
          <w:bCs/>
        </w:rPr>
        <w:t xml:space="preserve">Business model.</w:t>
      </w:r>
      <w:r>
        <w:t xml:space="preserve"> </w:t>
      </w:r>
      <w:r>
        <w:t xml:space="preserve">Compute sales (per GPU-hour or per job); reserved-capacity contracts; carbon and methane-reduction credits where credible; community benefit trust funded by a fixed share of revenue.</w:t>
      </w:r>
    </w:p>
    <w:tbl>
      <w:tblPr>
        <w:tblStyle w:val="Table"/>
        <w:tblW w:w="9360" w:type="dxa"/>
        <w:jc w:val="left"/>
        <w:tblLayout w:type="fixed"/>
        <w:tblLook w:firstRow="1" w:lastRow="0" w:firstColumn="0" w:lastColumn="0" w:noHBand="0" w:noVBand="0" w:val="0020"/>
      </w:tblPr>
      <w:tblGrid>
        <w:gridCol w:w="2613"/>
        <w:gridCol w:w="6747"/>
      </w:tblGrid>
      <w:tr>
        <w:trPr>
          <w:cantSplit/>
          <w:tblHeader w:val="true"/>
        </w:trPr>
        <w:tc>
          <w:tcPr>
            <w:tcW w:w="2613" w:type="dxa"/>
          </w:tcPr>
          <w:p>
            <w:pPr>
              <w:pStyle w:val="TableText"/>
              <w:jc w:val="left"/>
            </w:pPr>
            <w:r>
              <w:t xml:space="preserve">Risk</w:t>
            </w:r>
          </w:p>
        </w:tc>
        <w:tc>
          <w:tcPr>
            <w:tcW w:w="6747" w:type="dxa"/>
          </w:tcPr>
          <w:p>
            <w:pPr>
              <w:pStyle w:val="TableText"/>
              <w:jc w:val="left"/>
            </w:pPr>
            <w:r>
              <w:t xml:space="preserve">Safeguard</w:t>
            </w:r>
          </w:p>
        </w:tc>
      </w:tr>
      <w:tr>
        <w:trPr>
          <w:cantSplit/>
        </w:trPr>
        <w:tc>
          <w:tcPr>
            <w:tcW w:w="2613" w:type="dxa"/>
          </w:tcPr>
          <w:p>
            <w:pPr>
              <w:pStyle w:val="TableText"/>
              <w:jc w:val="left"/>
            </w:pPr>
            <w:r>
              <w:t xml:space="preserve">Fossil lock-in and greenwashing</w:t>
            </w:r>
          </w:p>
        </w:tc>
        <w:tc>
          <w:tcPr>
            <w:tcW w:w="6747" w:type="dxa"/>
          </w:tcPr>
          <w:p>
            <w:pPr>
              <w:pStyle w:val="TableText"/>
              <w:jc w:val="left"/>
            </w:pPr>
            <w:r>
              <w:t xml:space="preserve">Published transition plan; honest emissions accounting; no claims beyond verified reductions</w:t>
            </w:r>
          </w:p>
        </w:tc>
      </w:tr>
      <w:tr>
        <w:trPr>
          <w:cantSplit/>
        </w:trPr>
        <w:tc>
          <w:tcPr>
            <w:tcW w:w="2613" w:type="dxa"/>
          </w:tcPr>
          <w:p>
            <w:pPr>
              <w:pStyle w:val="TableText"/>
              <w:jc w:val="left"/>
            </w:pPr>
            <w:r>
              <w:t xml:space="preserve">Security in volatile regions</w:t>
            </w:r>
          </w:p>
        </w:tc>
        <w:tc>
          <w:tcPr>
            <w:tcW w:w="6747" w:type="dxa"/>
          </w:tcPr>
          <w:p>
            <w:pPr>
              <w:pStyle w:val="TableText"/>
              <w:jc w:val="left"/>
            </w:pPr>
            <w:r>
              <w:t xml:space="preserve">Community partnership; site selection; insurance</w:t>
            </w:r>
          </w:p>
        </w:tc>
      </w:tr>
      <w:tr>
        <w:trPr>
          <w:cantSplit/>
        </w:trPr>
        <w:tc>
          <w:tcPr>
            <w:tcW w:w="2613" w:type="dxa"/>
          </w:tcPr>
          <w:p>
            <w:pPr>
              <w:pStyle w:val="TableText"/>
              <w:jc w:val="left"/>
            </w:pPr>
            <w:r>
              <w:t xml:space="preserve">Connectivity</w:t>
            </w:r>
          </w:p>
        </w:tc>
        <w:tc>
          <w:tcPr>
            <w:tcW w:w="6747" w:type="dxa"/>
          </w:tcPr>
          <w:p>
            <w:pPr>
              <w:pStyle w:val="TableText"/>
              <w:jc w:val="left"/>
            </w:pPr>
            <w:r>
              <w:t xml:space="preserve">Fibre where available; satellite backhaul; latency-tolerant workloads only</w:t>
            </w:r>
          </w:p>
        </w:tc>
      </w:tr>
      <w:tr>
        <w:trPr>
          <w:cantSplit/>
        </w:trPr>
        <w:tc>
          <w:tcPr>
            <w:tcW w:w="2613" w:type="dxa"/>
          </w:tcPr>
          <w:p>
            <w:pPr>
              <w:pStyle w:val="TableText"/>
              <w:jc w:val="left"/>
            </w:pPr>
            <w:r>
              <w:t xml:space="preserve">“</w:t>
            </w:r>
            <w:r>
              <w:t xml:space="preserve">Compute before people</w:t>
            </w:r>
            <w:r>
              <w:t xml:space="preserve">”</w:t>
            </w:r>
            <w:r>
              <w:t xml:space="preserve"> </w:t>
            </w:r>
            <w:r>
              <w:t xml:space="preserve">(dark twin)</w:t>
            </w:r>
          </w:p>
        </w:tc>
        <w:tc>
          <w:tcPr>
            <w:tcW w:w="6747" w:type="dxa"/>
          </w:tcPr>
          <w:p>
            <w:pPr>
              <w:pStyle w:val="TableText"/>
              <w:jc w:val="left"/>
            </w:pPr>
            <w:r>
              <w:t xml:space="preserve">Contractual power share for local mini-grids</w:t>
            </w:r>
          </w:p>
        </w:tc>
      </w:tr>
    </w:tbl>
    <w:p>
      <w:pPr>
        <w:pStyle w:val="BodyText"/>
        <w:spacing w:before="160"/>
      </w:pPr>
      <w:r>
        <w:rPr>
          <w:b/>
          <w:bCs/>
        </w:rPr>
        <w:t xml:space="preserve">First 100 days.</w:t>
      </w:r>
      <w:r>
        <w:t xml:space="preserve"> </w:t>
      </w:r>
      <w:r>
        <w:t xml:space="preserve">One flare site awarded under the commercialisation programme and one curtailed-solar site; feasibility and community consent; a 1-megawatt pilot with two batch-compute customers.</w:t>
      </w:r>
    </w:p>
    <w:p>
      <w:pPr>
        <w:pStyle w:val="BodyText"/>
      </w:pPr>
      <w:r>
        <w:rPr>
          <w:b/>
          <w:bCs/>
        </w:rPr>
        <w:t xml:space="preserve">Scores.</w:t>
      </w:r>
      <w:r>
        <w:t xml:space="preserve"> </w:t>
      </w:r>
      <w:r>
        <w:t xml:space="preserve">Spread Quality</w:t>
      </w:r>
      <w:r>
        <w:t xml:space="preserve"> </w:t>
      </w:r>
      <w:r>
        <w:rPr>
          <w:b/>
          <w:bCs/>
        </w:rPr>
        <w:t xml:space="preserve">22/25</w:t>
      </w:r>
      <w:r>
        <w:t xml:space="preserve"> </w:t>
      </w:r>
      <w:r>
        <w:t xml:space="preserve">(S5 · H5 · P4 · M5 · F3). Double Decagon</w:t>
      </w:r>
      <w:r>
        <w:t xml:space="preserve"> </w:t>
      </w:r>
      <w:r>
        <w:rPr>
          <w:b/>
          <w:bCs/>
        </w:rPr>
        <w:t xml:space="preserve">74/100</w:t>
      </w:r>
      <w:r>
        <w:t xml:space="preserve">: Inner 37/50 (V1 5 · V2 4 · V3 3 · V4 3 · V5 4 · V6 4 · V7 3 · V8 4 · V9 3 · V10 4); Future-Fitness 37/50 (F1 4 · F2 4 · F3 3 · F4 3 · F5 4 · F6 5 · F7 4 · F8 4 · F9 3 · F10 3).</w:t>
      </w:r>
      <w:r>
        <w:t xml:space="preserve"> </w:t>
      </w:r>
      <w:r>
        <w:rPr>
          <w:i/>
          <w:iCs/>
        </w:rPr>
        <w:t xml:space="preserve">The lowest index in this volume: a large, durable spread with contested legitimacy, which must be earned site by site.</w:t>
      </w:r>
    </w:p>
    <w:bookmarkEnd w:id="53"/>
    <w:bookmarkStart w:id="54" w:name="Xc8d51a0ff0199f105a71edbc2edd0b2e8df56d6"/>
    <w:p>
      <w:pPr>
        <w:pStyle w:val="Heading2"/>
      </w:pPr>
      <w:r>
        <w:t xml:space="preserve">Venture 2: COMPUTECOOP, fair AI access for African builders</w:t>
      </w:r>
    </w:p>
    <w:p>
      <w:pPr>
        <w:pStyle w:val="BlockText"/>
      </w:pPr>
      <w:r>
        <w:rPr>
          <w:b/>
          <w:bCs/>
        </w:rPr>
        <w:t xml:space="preserve">Thesis.</w:t>
      </w:r>
      <w:r>
        <w:t xml:space="preserve"> </w:t>
      </w:r>
      <w:r>
        <w:t xml:space="preserve">The same AI task can cost ten to a thousand times more depending on which model, provider or region is used. African developers and small firms often pay the most, in dollars, by card, with no local data residency. ComputeCoop is a member-owned cooperative that routes every task to the cheapest model meeting its quality, language and data-residency needs, pools purchasing power, and bills in local currency.</w:t>
      </w:r>
    </w:p>
    <w:tbl>
      <w:tblPr>
        <w:tblStyle w:val="Table"/>
        <w:tblW w:w="9360" w:type="dxa"/>
        <w:jc w:val="left"/>
        <w:tblLayout w:type="fixed"/>
        <w:tblLook w:firstRow="1" w:lastRow="0" w:firstColumn="0" w:lastColumn="0" w:noHBand="0" w:noVBand="0" w:val="0020"/>
      </w:tblPr>
      <w:tblGrid>
        <w:gridCol w:w="1517"/>
        <w:gridCol w:w="7843"/>
      </w:tblGrid>
      <w:tr>
        <w:trPr>
          <w:cantSplit/>
          <w:tblHeader w:val="true"/>
        </w:trPr>
        <w:tc>
          <w:tcPr>
            <w:tcW w:w="1517" w:type="dxa"/>
          </w:tcPr>
          <w:p>
            <w:pPr>
              <w:pStyle w:val="TableText"/>
              <w:jc w:val="left"/>
            </w:pPr>
            <w:r>
              <w:t xml:space="preserve">Spread code</w:t>
            </w:r>
          </w:p>
        </w:tc>
        <w:tc>
          <w:tcPr>
            <w:tcW w:w="7843" w:type="dxa"/>
          </w:tcPr>
          <w:p>
            <w:pPr>
              <w:pStyle w:val="TableText"/>
            </w:pPr>
          </w:p>
        </w:tc>
      </w:tr>
      <w:tr>
        <w:trPr>
          <w:cantSplit/>
        </w:trPr>
        <w:tc>
          <w:tcPr>
            <w:tcW w:w="1517" w:type="dxa"/>
          </w:tcPr>
          <w:p>
            <w:pPr>
              <w:pStyle w:val="TableText"/>
              <w:jc w:val="left"/>
            </w:pPr>
            <w:r>
              <w:t xml:space="preserve">Spread</w:t>
            </w:r>
          </w:p>
        </w:tc>
        <w:tc>
          <w:tcPr>
            <w:tcW w:w="7843" w:type="dxa"/>
          </w:tcPr>
          <w:p>
            <w:pPr>
              <w:pStyle w:val="TableText"/>
              <w:jc w:val="left"/>
            </w:pPr>
            <w:r>
              <w:rPr>
                <w:b/>
                <w:bCs/>
              </w:rPr>
              <w:t xml:space="preserve">S2 Model price</w:t>
            </w:r>
          </w:p>
        </w:tc>
      </w:tr>
      <w:tr>
        <w:trPr>
          <w:cantSplit/>
        </w:trPr>
        <w:tc>
          <w:tcPr>
            <w:tcW w:w="1517" w:type="dxa"/>
          </w:tcPr>
          <w:p>
            <w:pPr>
              <w:pStyle w:val="TableText"/>
              <w:jc w:val="left"/>
            </w:pPr>
            <w:r>
              <w:t xml:space="preserve">Value side</w:t>
            </w:r>
          </w:p>
        </w:tc>
        <w:tc>
          <w:tcPr>
            <w:tcW w:w="7843" w:type="dxa"/>
          </w:tcPr>
          <w:p>
            <w:pPr>
              <w:pStyle w:val="TableText"/>
              <w:jc w:val="left"/>
            </w:pPr>
            <w:r>
              <w:t xml:space="preserve">What members currently pay (often list prices, in dollars, with FX and card fees)</w:t>
            </w:r>
          </w:p>
        </w:tc>
      </w:tr>
      <w:tr>
        <w:trPr>
          <w:cantSplit/>
        </w:trPr>
        <w:tc>
          <w:tcPr>
            <w:tcW w:w="1517" w:type="dxa"/>
          </w:tcPr>
          <w:p>
            <w:pPr>
              <w:pStyle w:val="TableText"/>
              <w:jc w:val="left"/>
            </w:pPr>
            <w:r>
              <w:t xml:space="preserve">Cost side</w:t>
            </w:r>
          </w:p>
        </w:tc>
        <w:tc>
          <w:tcPr>
            <w:tcW w:w="7843" w:type="dxa"/>
          </w:tcPr>
          <w:p>
            <w:pPr>
              <w:pStyle w:val="TableText"/>
              <w:jc w:val="left"/>
            </w:pPr>
            <w:r>
              <w:t xml:space="preserve">The cheapest adequate model for each task, bought at pooled rates</w:t>
            </w:r>
          </w:p>
        </w:tc>
      </w:tr>
      <w:tr>
        <w:trPr>
          <w:cantSplit/>
        </w:trPr>
        <w:tc>
          <w:tcPr>
            <w:tcW w:w="1517" w:type="dxa"/>
          </w:tcPr>
          <w:p>
            <w:pPr>
              <w:pStyle w:val="TableText"/>
              <w:jc w:val="left"/>
            </w:pPr>
            <w:r>
              <w:t xml:space="preserve">Main friction</w:t>
            </w:r>
          </w:p>
        </w:tc>
        <w:tc>
          <w:tcPr>
            <w:tcW w:w="7843" w:type="dxa"/>
          </w:tcPr>
          <w:p>
            <w:pPr>
              <w:pStyle w:val="TableText"/>
              <w:jc w:val="left"/>
            </w:pPr>
            <w:r>
              <w:t xml:space="preserve">Quality verification; FX and payments; data residency</w:t>
            </w:r>
          </w:p>
        </w:tc>
      </w:tr>
      <w:tr>
        <w:trPr>
          <w:cantSplit/>
        </w:trPr>
        <w:tc>
          <w:tcPr>
            <w:tcW w:w="1517" w:type="dxa"/>
          </w:tcPr>
          <w:p>
            <w:pPr>
              <w:pStyle w:val="TableText"/>
              <w:jc w:val="left"/>
            </w:pPr>
            <w:r>
              <w:t xml:space="preserve">Half-life</w:t>
            </w:r>
          </w:p>
        </w:tc>
        <w:tc>
          <w:tcPr>
            <w:tcW w:w="7843" w:type="dxa"/>
          </w:tcPr>
          <w:p>
            <w:pPr>
              <w:pStyle w:val="TableText"/>
              <w:jc w:val="left"/>
            </w:pPr>
            <w:r>
              <w:t xml:space="preserve">Short: routing tools are becoming common</w:t>
            </w:r>
          </w:p>
        </w:tc>
      </w:tr>
      <w:tr>
        <w:trPr>
          <w:cantSplit/>
        </w:trPr>
        <w:tc>
          <w:tcPr>
            <w:tcW w:w="1517" w:type="dxa"/>
          </w:tcPr>
          <w:p>
            <w:pPr>
              <w:pStyle w:val="TableText"/>
              <w:jc w:val="left"/>
            </w:pPr>
            <w:r>
              <w:t xml:space="preserve">Moats</w:t>
            </w:r>
          </w:p>
        </w:tc>
        <w:tc>
          <w:tcPr>
            <w:tcW w:w="7843" w:type="dxa"/>
          </w:tcPr>
          <w:p>
            <w:pPr>
              <w:pStyle w:val="TableText"/>
              <w:jc w:val="left"/>
            </w:pPr>
            <w:r>
              <w:t xml:space="preserve">Ownership alignment (co-op); local billing and payment rails; African-language evaluation data; regulatory standing on data residency</w:t>
            </w:r>
          </w:p>
        </w:tc>
      </w:tr>
      <w:tr>
        <w:trPr>
          <w:cantSplit/>
        </w:trPr>
        <w:tc>
          <w:tcPr>
            <w:tcW w:w="1517" w:type="dxa"/>
          </w:tcPr>
          <w:p>
            <w:pPr>
              <w:pStyle w:val="TableText"/>
              <w:jc w:val="left"/>
            </w:pPr>
            <w:r>
              <w:t xml:space="preserve">Archetype and governance</w:t>
            </w:r>
          </w:p>
        </w:tc>
        <w:tc>
          <w:tcPr>
            <w:tcW w:w="7843" w:type="dxa"/>
          </w:tcPr>
          <w:p>
            <w:pPr>
              <w:pStyle w:val="TableText"/>
              <w:jc w:val="left"/>
            </w:pPr>
            <w:r>
              <w:t xml:space="preserve">A9 agent-native exchange + A10 cooperative; member-owned</w:t>
            </w:r>
          </w:p>
        </w:tc>
      </w:tr>
    </w:tbl>
    <w:p>
      <w:pPr>
        <w:pStyle w:val="BodyText"/>
        <w:spacing w:before="160"/>
      </w:pPr>
      <w:r>
        <w:rPr>
          <w:b/>
          <w:bCs/>
        </w:rPr>
        <w:t xml:space="preserve">The gap</w:t>
      </w:r>
    </w:p>
    <w:p>
      <w:pPr>
        <w:pStyle w:val="Compact"/>
        <w:numPr>
          <w:ilvl w:val="0"/>
          <w:numId w:val="1017"/>
        </w:numPr>
      </w:pPr>
      <w:r>
        <w:t xml:space="preserve">AI prices have fallen at very different rates by task, from 9× to 900× a year (Stanford AI Index 2025), so the cheapest adequate model for a task changes constantly.</w:t>
      </w:r>
    </w:p>
    <w:p>
      <w:pPr>
        <w:pStyle w:val="Compact"/>
        <w:numPr>
          <w:ilvl w:val="0"/>
          <w:numId w:val="1017"/>
        </w:numPr>
      </w:pPr>
      <w:r>
        <w:t xml:space="preserve">Many African builders pay in foreign currency with high card and FX costs, and lack bargaining power.</w:t>
      </w:r>
    </w:p>
    <w:p>
      <w:pPr>
        <w:pStyle w:val="Compact"/>
        <w:numPr>
          <w:ilvl w:val="0"/>
          <w:numId w:val="1017"/>
        </w:numPr>
      </w:pPr>
      <w:r>
        <w:t xml:space="preserve">Data-residency and sovereignty rules increasingly require certain data to stay in-country or in-region.</w:t>
      </w:r>
    </w:p>
    <w:p>
      <w:pPr>
        <w:pStyle w:val="Compact"/>
        <w:numPr>
          <w:ilvl w:val="0"/>
          <w:numId w:val="1017"/>
        </w:numPr>
      </w:pPr>
      <w:r>
        <w:t xml:space="preserve">Models perform worse in many African languages, and builders lack evaluation data to know which model works for their use case.</w:t>
      </w:r>
    </w:p>
    <w:p>
      <w:pPr>
        <w:pStyle w:val="FirstParagraph"/>
      </w:pPr>
      <w:r>
        <w:rPr>
          <w:b/>
          <w:bCs/>
        </w:rPr>
        <w:t xml:space="preserve">Benchmarks: borrowed and inverted</w:t>
      </w:r>
    </w:p>
    <w:p>
      <w:pPr>
        <w:pStyle w:val="Compact"/>
        <w:numPr>
          <w:ilvl w:val="0"/>
          <w:numId w:val="1018"/>
        </w:numPr>
      </w:pPr>
      <w:r>
        <w:rPr>
          <w:b/>
          <w:bCs/>
        </w:rPr>
        <w:t xml:space="preserve">From Uber:</w:t>
      </w:r>
      <w:r>
        <w:t xml:space="preserve"> </w:t>
      </w:r>
      <w:r>
        <w:t xml:space="preserve">real-time matching, here of tasks to models.</w:t>
      </w:r>
    </w:p>
    <w:p>
      <w:pPr>
        <w:pStyle w:val="Compact"/>
        <w:numPr>
          <w:ilvl w:val="0"/>
          <w:numId w:val="1018"/>
        </w:numPr>
      </w:pPr>
      <w:r>
        <w:rPr>
          <w:b/>
          <w:bCs/>
        </w:rPr>
        <w:t xml:space="preserve">From Volume II’s AgentUnion:</w:t>
      </w:r>
      <w:r>
        <w:t xml:space="preserve"> </w:t>
      </w:r>
      <w:r>
        <w:t xml:space="preserve">collective bargaining, here for AI buyers.</w:t>
      </w:r>
    </w:p>
    <w:p>
      <w:pPr>
        <w:pStyle w:val="Compact"/>
        <w:numPr>
          <w:ilvl w:val="0"/>
          <w:numId w:val="1018"/>
        </w:numPr>
      </w:pPr>
      <w:r>
        <w:rPr>
          <w:b/>
          <w:bCs/>
        </w:rPr>
        <w:t xml:space="preserve">From credit unions:</w:t>
      </w:r>
      <w:r>
        <w:t xml:space="preserve"> </w:t>
      </w:r>
      <w:r>
        <w:t xml:space="preserve">member ownership and local-currency services.</w:t>
      </w:r>
    </w:p>
    <w:p>
      <w:pPr>
        <w:pStyle w:val="Compact"/>
        <w:numPr>
          <w:ilvl w:val="0"/>
          <w:numId w:val="1018"/>
        </w:numPr>
      </w:pPr>
      <w:r>
        <w:rPr>
          <w:b/>
          <w:bCs/>
        </w:rPr>
        <w:t xml:space="preserve">Links</w:t>
      </w:r>
      <w:r>
        <w:t xml:space="preserve"> </w:t>
      </w:r>
      <w:r>
        <w:t xml:space="preserve">to DataGuild (African-language evaluation sets) and StrandedWatts (local compute).</w:t>
      </w:r>
    </w:p>
    <w:p>
      <w:pPr>
        <w:pStyle w:val="Compact"/>
        <w:numPr>
          <w:ilvl w:val="0"/>
          <w:numId w:val="1018"/>
        </w:numPr>
      </w:pPr>
      <w:r>
        <w:rPr>
          <w:b/>
          <w:bCs/>
        </w:rPr>
        <w:t xml:space="preserve">Inverts:</w:t>
      </w:r>
      <w:r>
        <w:t xml:space="preserve"> </w:t>
      </w:r>
      <w:r>
        <w:t xml:space="preserve">the smallest buyers get the best prices, not the worst.</w:t>
      </w:r>
    </w:p>
    <w:p>
      <w:pPr>
        <w:pStyle w:val="FirstParagraph"/>
      </w:pPr>
      <w:r>
        <w:rPr>
          <w:b/>
          <w:bCs/>
        </w:rPr>
        <w:t xml:space="preserve">How it works</w:t>
      </w:r>
    </w:p>
    <w:p>
      <w:pPr>
        <w:pStyle w:val="Compact"/>
        <w:numPr>
          <w:ilvl w:val="0"/>
          <w:numId w:val="1019"/>
        </w:numPr>
      </w:pPr>
      <w:r>
        <w:rPr>
          <w:b/>
          <w:bCs/>
        </w:rPr>
        <w:t xml:space="preserve">One interface.</w:t>
      </w:r>
      <w:r>
        <w:t xml:space="preserve"> </w:t>
      </w:r>
      <w:r>
        <w:t xml:space="preserve">Members call one API (or use a no-code workspace); ComputeCoop routes each request.</w:t>
      </w:r>
    </w:p>
    <w:p>
      <w:pPr>
        <w:pStyle w:val="Compact"/>
        <w:numPr>
          <w:ilvl w:val="0"/>
          <w:numId w:val="1019"/>
        </w:numPr>
      </w:pPr>
      <w:r>
        <w:rPr>
          <w:b/>
          <w:bCs/>
        </w:rPr>
        <w:t xml:space="preserve">Quality-aware routing.</w:t>
      </w:r>
      <w:r>
        <w:t xml:space="preserve"> </w:t>
      </w:r>
      <w:r>
        <w:t xml:space="preserve">For each task type and language, continuous evaluations (using DataGuild’s African-language test sets) pick the cheapest model that meets the member’s quality threshold.</w:t>
      </w:r>
    </w:p>
    <w:p>
      <w:pPr>
        <w:pStyle w:val="Compact"/>
        <w:numPr>
          <w:ilvl w:val="0"/>
          <w:numId w:val="1019"/>
        </w:numPr>
      </w:pPr>
      <w:r>
        <w:rPr>
          <w:b/>
          <w:bCs/>
        </w:rPr>
        <w:t xml:space="preserve">Residency rules.</w:t>
      </w:r>
      <w:r>
        <w:t xml:space="preserve"> </w:t>
      </w:r>
      <w:r>
        <w:t xml:space="preserve">Data that must stay local is routed only to compliant regions or to local compute (StrandedWatts, local clouds).</w:t>
      </w:r>
    </w:p>
    <w:p>
      <w:pPr>
        <w:pStyle w:val="Compact"/>
        <w:numPr>
          <w:ilvl w:val="0"/>
          <w:numId w:val="1019"/>
        </w:numPr>
      </w:pPr>
      <w:r>
        <w:rPr>
          <w:b/>
          <w:bCs/>
        </w:rPr>
        <w:t xml:space="preserve">Pooled purchasing.</w:t>
      </w:r>
      <w:r>
        <w:t xml:space="preserve"> </w:t>
      </w:r>
      <w:r>
        <w:t xml:space="preserve">Volume contracts with model providers and compute clouds.</w:t>
      </w:r>
    </w:p>
    <w:p>
      <w:pPr>
        <w:pStyle w:val="Compact"/>
        <w:numPr>
          <w:ilvl w:val="0"/>
          <w:numId w:val="1019"/>
        </w:numPr>
      </w:pPr>
      <w:r>
        <w:rPr>
          <w:b/>
          <w:bCs/>
        </w:rPr>
        <w:t xml:space="preserve">Local billing.</w:t>
      </w:r>
      <w:r>
        <w:t xml:space="preserve"> </w:t>
      </w:r>
      <w:r>
        <w:t xml:space="preserve">Payment in naira, cedis, shillings and other currencies via local rails.</w:t>
      </w:r>
    </w:p>
    <w:p>
      <w:pPr>
        <w:pStyle w:val="Compact"/>
        <w:numPr>
          <w:ilvl w:val="0"/>
          <w:numId w:val="1019"/>
        </w:numPr>
      </w:pPr>
      <w:r>
        <w:rPr>
          <w:b/>
          <w:bCs/>
        </w:rPr>
        <w:t xml:space="preserve">Distillation service.</w:t>
      </w:r>
      <w:r>
        <w:t xml:space="preserve"> </w:t>
      </w:r>
      <w:r>
        <w:t xml:space="preserve">For high-volume tasks, small specialized models are trained to run cheaply, even on phones.</w:t>
      </w:r>
    </w:p>
    <w:p>
      <w:pPr>
        <w:pStyle w:val="Compact"/>
        <w:numPr>
          <w:ilvl w:val="0"/>
          <w:numId w:val="1019"/>
        </w:numPr>
      </w:pPr>
      <w:r>
        <w:rPr>
          <w:b/>
          <w:bCs/>
        </w:rPr>
        <w:t xml:space="preserve">Patronage dividends.</w:t>
      </w:r>
      <w:r>
        <w:t xml:space="preserve"> </w:t>
      </w:r>
      <w:r>
        <w:t xml:space="preserve">Surplus returns to members.</w:t>
      </w:r>
    </w:p>
    <w:p>
      <w:pPr>
        <w:pStyle w:val="FirstParagraph"/>
      </w:pPr>
      <w:r>
        <w:rPr>
          <w:b/>
          <w:bCs/>
        </w:rPr>
        <w:t xml:space="preserve">From spread to moat.</w:t>
      </w:r>
      <w:r>
        <w:t xml:space="preserve"> </w:t>
      </w:r>
      <w:r>
        <w:t xml:space="preserve">When routing becomes a commodity, ComputeCoop still owns its member relationships, local billing rails, residency compliance and evaluation data, and members own it.</w:t>
      </w:r>
      <w:r>
        <w:t xml:space="preserve"> </w:t>
      </w:r>
      <w:r>
        <w:rPr>
          <w:b/>
          <w:bCs/>
        </w:rPr>
        <w:t xml:space="preserve">Who shares the spread:</w:t>
      </w:r>
      <w:r>
        <w:t xml:space="preserve"> </w:t>
      </w:r>
      <w:r>
        <w:t xml:space="preserve">members, through lower prices and dividends.</w:t>
      </w:r>
    </w:p>
    <w:p>
      <w:pPr>
        <w:pStyle w:val="BodyText"/>
      </w:pPr>
      <w:r>
        <w:rPr>
          <w:b/>
          <w:bCs/>
        </w:rPr>
        <w:t xml:space="preserve">System dynamics</w:t>
      </w:r>
    </w:p>
    <w:p>
      <w:pPr>
        <w:pStyle w:val="Compact"/>
        <w:numPr>
          <w:ilvl w:val="0"/>
          <w:numId w:val="1020"/>
        </w:numPr>
      </w:pPr>
      <w:r>
        <w:rPr>
          <w:b/>
          <w:bCs/>
        </w:rPr>
        <w:t xml:space="preserve">R1, the bargaining loop:</w:t>
      </w:r>
      <w:r>
        <w:t xml:space="preserve"> </w:t>
      </w:r>
      <w:r>
        <w:t xml:space="preserve">more members → more volume → better prices → more members.</w:t>
      </w:r>
    </w:p>
    <w:p>
      <w:pPr>
        <w:pStyle w:val="Compact"/>
        <w:numPr>
          <w:ilvl w:val="0"/>
          <w:numId w:val="1020"/>
        </w:numPr>
      </w:pPr>
      <w:r>
        <w:rPr>
          <w:b/>
          <w:bCs/>
        </w:rPr>
        <w:t xml:space="preserve">R2, the evaluation loop:</w:t>
      </w:r>
      <w:r>
        <w:t xml:space="preserve"> </w:t>
      </w:r>
      <w:r>
        <w:t xml:space="preserve">more usage → better quality data by language and task → better routing.</w:t>
      </w:r>
    </w:p>
    <w:p>
      <w:pPr>
        <w:pStyle w:val="Compact"/>
        <w:numPr>
          <w:ilvl w:val="0"/>
          <w:numId w:val="1020"/>
        </w:numPr>
      </w:pPr>
      <w:r>
        <w:rPr>
          <w:b/>
          <w:bCs/>
        </w:rPr>
        <w:t xml:space="preserve">B1, commoditization:</w:t>
      </w:r>
      <w:r>
        <w:t xml:space="preserve"> </w:t>
      </w:r>
      <w:r>
        <w:t xml:space="preserve">routing features appear everywhere. The co-op’s other moats are the response.</w:t>
      </w:r>
    </w:p>
    <w:p>
      <w:pPr>
        <w:pStyle w:val="Compact"/>
        <w:numPr>
          <w:ilvl w:val="0"/>
          <w:numId w:val="1020"/>
        </w:numPr>
      </w:pPr>
      <w:r>
        <w:rPr>
          <w:b/>
          <w:bCs/>
        </w:rPr>
        <w:t xml:space="preserve">Leverage point:</w:t>
      </w:r>
      <w:r>
        <w:t xml:space="preserve"> </w:t>
      </w:r>
      <w:r>
        <w:t xml:space="preserve">ownership structure (who captures the savings).</w:t>
      </w:r>
    </w:p>
    <w:p>
      <w:pPr>
        <w:pStyle w:val="FirstParagraph"/>
      </w:pPr>
      <w:r>
        <w:rPr>
          <w:b/>
          <w:bCs/>
        </w:rPr>
        <w:t xml:space="preserve">Design thinking</w:t>
      </w:r>
    </w:p>
    <w:p>
      <w:pPr>
        <w:pStyle w:val="Compact"/>
        <w:numPr>
          <w:ilvl w:val="0"/>
          <w:numId w:val="1021"/>
        </w:numPr>
      </w:pPr>
      <w:r>
        <w:rPr>
          <w:i/>
          <w:iCs/>
        </w:rPr>
        <w:t xml:space="preserve">Personas:</w:t>
      </w:r>
      <w:r>
        <w:t xml:space="preserve"> </w:t>
      </w:r>
      <w:r>
        <w:rPr>
          <w:b/>
          <w:bCs/>
        </w:rPr>
        <w:t xml:space="preserve">Ada</w:t>
      </w:r>
      <w:r>
        <w:t xml:space="preserve">, founder of a Lagos health-tech start-up spending a large share of revenue on AI APIs.</w:t>
      </w:r>
      <w:r>
        <w:t xml:space="preserve"> </w:t>
      </w:r>
      <w:r>
        <w:rPr>
          <w:b/>
          <w:bCs/>
        </w:rPr>
        <w:t xml:space="preserve">A state government IT team</w:t>
      </w:r>
      <w:r>
        <w:t xml:space="preserve"> </w:t>
      </w:r>
      <w:r>
        <w:t xml:space="preserve">that must keep citizens’ data in-country.</w:t>
      </w:r>
      <w:r>
        <w:t xml:space="preserve"> </w:t>
      </w:r>
      <w:r>
        <w:rPr>
          <w:b/>
          <w:bCs/>
        </w:rPr>
        <w:t xml:space="preserve">A Kenyan student</w:t>
      </w:r>
      <w:r>
        <w:t xml:space="preserve"> </w:t>
      </w:r>
      <w:r>
        <w:t xml:space="preserve">building a Swahili tutoring app.</w:t>
      </w:r>
    </w:p>
    <w:p>
      <w:pPr>
        <w:pStyle w:val="Compact"/>
        <w:numPr>
          <w:ilvl w:val="0"/>
          <w:numId w:val="1021"/>
        </w:numPr>
      </w:pPr>
      <w:r>
        <w:rPr>
          <w:i/>
          <w:iCs/>
        </w:rPr>
        <w:t xml:space="preserve">How might</w:t>
      </w:r>
      <w:r>
        <w:t xml:space="preserve"> </w:t>
      </w:r>
      <w:r>
        <w:t xml:space="preserve">the smallest AI builders get the best prices and the right models for their languages?</w:t>
      </w:r>
    </w:p>
    <w:p>
      <w:pPr>
        <w:pStyle w:val="Compact"/>
        <w:numPr>
          <w:ilvl w:val="0"/>
          <w:numId w:val="1021"/>
        </w:numPr>
      </w:pPr>
      <w:r>
        <w:rPr>
          <w:i/>
          <w:iCs/>
        </w:rPr>
        <w:t xml:space="preserve">Moment of truth:</w:t>
      </w:r>
      <w:r>
        <w:t xml:space="preserve"> </w:t>
      </w:r>
      <w:r>
        <w:t xml:space="preserve">Ada’s monthly AI bill falls by more than half, paid in naira, with quality unchanged.</w:t>
      </w:r>
    </w:p>
    <w:p>
      <w:pPr>
        <w:pStyle w:val="FirstParagraph"/>
      </w:pPr>
      <w:r>
        <w:rPr>
          <w:b/>
          <w:bCs/>
        </w:rPr>
        <w:t xml:space="preserve">Business model.</w:t>
      </w:r>
      <w:r>
        <w:t xml:space="preserve"> </w:t>
      </w:r>
      <w:r>
        <w:t xml:space="preserve">A small margin on routed usage; distillation and fine-tuning services; residency-compliant hosting; membership fees for premium services. Surplus is returned as dividends.</w:t>
      </w:r>
    </w:p>
    <w:tbl>
      <w:tblPr>
        <w:tblStyle w:val="Table"/>
        <w:tblW w:w="9360" w:type="dxa"/>
        <w:jc w:val="left"/>
        <w:tblLayout w:type="fixed"/>
        <w:tblLook w:firstRow="1" w:lastRow="0" w:firstColumn="0" w:lastColumn="0" w:noHBand="0" w:noVBand="0" w:val="0020"/>
      </w:tblPr>
      <w:tblGrid>
        <w:gridCol w:w="3584"/>
        <w:gridCol w:w="5776"/>
      </w:tblGrid>
      <w:tr>
        <w:trPr>
          <w:cantSplit/>
          <w:tblHeader w:val="true"/>
        </w:trPr>
        <w:tc>
          <w:tcPr>
            <w:tcW w:w="3584" w:type="dxa"/>
          </w:tcPr>
          <w:p>
            <w:pPr>
              <w:pStyle w:val="TableText"/>
              <w:jc w:val="left"/>
            </w:pPr>
            <w:r>
              <w:t xml:space="preserve">Risk</w:t>
            </w:r>
          </w:p>
        </w:tc>
        <w:tc>
          <w:tcPr>
            <w:tcW w:w="5776" w:type="dxa"/>
          </w:tcPr>
          <w:p>
            <w:pPr>
              <w:pStyle w:val="TableText"/>
              <w:jc w:val="left"/>
            </w:pPr>
            <w:r>
              <w:t xml:space="preserve">Safeguard</w:t>
            </w:r>
          </w:p>
        </w:tc>
      </w:tr>
      <w:tr>
        <w:trPr>
          <w:cantSplit/>
        </w:trPr>
        <w:tc>
          <w:tcPr>
            <w:tcW w:w="3584" w:type="dxa"/>
          </w:tcPr>
          <w:p>
            <w:pPr>
              <w:pStyle w:val="TableText"/>
              <w:jc w:val="left"/>
            </w:pPr>
            <w:r>
              <w:t xml:space="preserve">Provider terms prohibiting resale or routing</w:t>
            </w:r>
          </w:p>
        </w:tc>
        <w:tc>
          <w:tcPr>
            <w:tcW w:w="5776" w:type="dxa"/>
          </w:tcPr>
          <w:p>
            <w:pPr>
              <w:pStyle w:val="TableText"/>
              <w:jc w:val="left"/>
            </w:pPr>
            <w:r>
              <w:t xml:space="preserve">Direct reseller agreements; compliance with provider terms</w:t>
            </w:r>
          </w:p>
        </w:tc>
      </w:tr>
      <w:tr>
        <w:trPr>
          <w:cantSplit/>
        </w:trPr>
        <w:tc>
          <w:tcPr>
            <w:tcW w:w="3584" w:type="dxa"/>
          </w:tcPr>
          <w:p>
            <w:pPr>
              <w:pStyle w:val="TableText"/>
              <w:jc w:val="left"/>
            </w:pPr>
            <w:r>
              <w:t xml:space="preserve">Quality failures after routing</w:t>
            </w:r>
          </w:p>
        </w:tc>
        <w:tc>
          <w:tcPr>
            <w:tcW w:w="5776" w:type="dxa"/>
          </w:tcPr>
          <w:p>
            <w:pPr>
              <w:pStyle w:val="TableText"/>
              <w:jc w:val="left"/>
            </w:pPr>
            <w:r>
              <w:t xml:space="preserve">Member-set thresholds; continuous evaluation; fallback models</w:t>
            </w:r>
          </w:p>
        </w:tc>
      </w:tr>
      <w:tr>
        <w:trPr>
          <w:cantSplit/>
        </w:trPr>
        <w:tc>
          <w:tcPr>
            <w:tcW w:w="3584" w:type="dxa"/>
          </w:tcPr>
          <w:p>
            <w:pPr>
              <w:pStyle w:val="TableText"/>
              <w:jc w:val="left"/>
            </w:pPr>
            <w:r>
              <w:t xml:space="preserve">Data leakage</w:t>
            </w:r>
          </w:p>
        </w:tc>
        <w:tc>
          <w:tcPr>
            <w:tcW w:w="5776" w:type="dxa"/>
          </w:tcPr>
          <w:p>
            <w:pPr>
              <w:pStyle w:val="TableText"/>
              <w:jc w:val="left"/>
            </w:pPr>
            <w:r>
              <w:t xml:space="preserve">Residency enforcement; encryption; audits</w:t>
            </w:r>
          </w:p>
        </w:tc>
      </w:tr>
      <w:tr>
        <w:trPr>
          <w:cantSplit/>
        </w:trPr>
        <w:tc>
          <w:tcPr>
            <w:tcW w:w="3584" w:type="dxa"/>
          </w:tcPr>
          <w:p>
            <w:pPr>
              <w:pStyle w:val="TableText"/>
              <w:jc w:val="left"/>
            </w:pPr>
            <w:r>
              <w:t xml:space="preserve">Commoditization</w:t>
            </w:r>
          </w:p>
        </w:tc>
        <w:tc>
          <w:tcPr>
            <w:tcW w:w="5776" w:type="dxa"/>
          </w:tcPr>
          <w:p>
            <w:pPr>
              <w:pStyle w:val="TableText"/>
              <w:jc w:val="left"/>
            </w:pPr>
            <w:r>
              <w:t xml:space="preserve">Co-op ownership, local billing and evaluation data as moats</w:t>
            </w:r>
          </w:p>
        </w:tc>
      </w:tr>
    </w:tbl>
    <w:p>
      <w:pPr>
        <w:pStyle w:val="BodyText"/>
        <w:spacing w:before="160"/>
      </w:pPr>
      <w:r>
        <w:rPr>
          <w:b/>
          <w:bCs/>
        </w:rPr>
        <w:t xml:space="preserve">First 100 days.</w:t>
      </w:r>
      <w:r>
        <w:t xml:space="preserve"> </w:t>
      </w:r>
      <w:r>
        <w:t xml:space="preserve">Two hundred member developers in Lagos and Nairobi; routing across at least five providers; naira and shilling billing; publish savings achieved.</w:t>
      </w:r>
    </w:p>
    <w:p>
      <w:pPr>
        <w:pStyle w:val="BodyText"/>
      </w:pPr>
      <w:r>
        <w:rPr>
          <w:b/>
          <w:bCs/>
        </w:rPr>
        <w:t xml:space="preserve">Scores.</w:t>
      </w:r>
      <w:r>
        <w:t xml:space="preserve"> </w:t>
      </w:r>
      <w:r>
        <w:t xml:space="preserve">Spread Quality</w:t>
      </w:r>
      <w:r>
        <w:t xml:space="preserve"> </w:t>
      </w:r>
      <w:r>
        <w:rPr>
          <w:b/>
          <w:bCs/>
        </w:rPr>
        <w:t xml:space="preserve">18/25</w:t>
      </w:r>
      <w:r>
        <w:t xml:space="preserve"> </w:t>
      </w:r>
      <w:r>
        <w:t xml:space="preserve">(S4 · H2 · P4 · M3 · F5). Double Decagon</w:t>
      </w:r>
      <w:r>
        <w:t xml:space="preserve"> </w:t>
      </w:r>
      <w:r>
        <w:rPr>
          <w:b/>
          <w:bCs/>
        </w:rPr>
        <w:t xml:space="preserve">84/100</w:t>
      </w:r>
      <w:r>
        <w:t xml:space="preserve">: Inner 42/50 (V1 4 · V2 5 · V3 4 · V4 4 · V5 5 · V6 5 · V7 4 · V8 3 · V9 4 · V10 4); Future-Fitness 42/50 (F1 5 · F2 4 · F3 3 · F4 4 · F5 5 · F6 5 · F7 5 · F8 3 · F9 4 · F10 4).</w:t>
      </w:r>
    </w:p>
    <w:bookmarkEnd w:id="54"/>
    <w:bookmarkStart w:id="55" w:name="X1cdfcd9e650bdb8c0707564b8d77747a7ee7ae2"/>
    <w:p>
      <w:pPr>
        <w:pStyle w:val="Heading2"/>
      </w:pPr>
      <w:r>
        <w:t xml:space="preserve">Venture 3: OFFICEPILOT, an AI back office for small and informal businesses</w:t>
      </w:r>
    </w:p>
    <w:p>
      <w:pPr>
        <w:pStyle w:val="BlockText"/>
      </w:pPr>
      <w:r>
        <w:rPr>
          <w:b/>
          <w:bCs/>
        </w:rPr>
        <w:t xml:space="preserve">Thesis.</w:t>
      </w:r>
      <w:r>
        <w:t xml:space="preserve"> </w:t>
      </w:r>
      <w:r>
        <w:t xml:space="preserve">AI can now keep books, issue invoices, prepare tax filings, answer customers and track stock. Most small firms, and nearly all informal ones, use none of it. OfficePilot is an AI back office delivered through WhatsApp and voice in local languages, supervised by human accountants, and priced for market traders and small shops. It arrives just as Nigeria’s tax reform requires even zero-tax small businesses to register and file.</w:t>
      </w:r>
    </w:p>
    <w:tbl>
      <w:tblPr>
        <w:tblStyle w:val="Table"/>
        <w:tblW w:w="9360" w:type="dxa"/>
        <w:jc w:val="left"/>
        <w:tblLayout w:type="fixed"/>
        <w:tblLook w:firstRow="1" w:lastRow="0" w:firstColumn="0" w:lastColumn="0" w:noHBand="0" w:noVBand="0" w:val="0020"/>
      </w:tblPr>
      <w:tblGrid>
        <w:gridCol w:w="1601"/>
        <w:gridCol w:w="7759"/>
      </w:tblGrid>
      <w:tr>
        <w:trPr>
          <w:cantSplit/>
          <w:tblHeader w:val="true"/>
        </w:trPr>
        <w:tc>
          <w:tcPr>
            <w:tcW w:w="1601" w:type="dxa"/>
          </w:tcPr>
          <w:p>
            <w:pPr>
              <w:pStyle w:val="TableText"/>
              <w:jc w:val="left"/>
            </w:pPr>
            <w:r>
              <w:t xml:space="preserve">Spread code</w:t>
            </w:r>
          </w:p>
        </w:tc>
        <w:tc>
          <w:tcPr>
            <w:tcW w:w="7759" w:type="dxa"/>
          </w:tcPr>
          <w:p>
            <w:pPr>
              <w:pStyle w:val="TableText"/>
            </w:pPr>
          </w:p>
        </w:tc>
      </w:tr>
      <w:tr>
        <w:trPr>
          <w:cantSplit/>
        </w:trPr>
        <w:tc>
          <w:tcPr>
            <w:tcW w:w="1601" w:type="dxa"/>
          </w:tcPr>
          <w:p>
            <w:pPr>
              <w:pStyle w:val="TableText"/>
              <w:jc w:val="left"/>
            </w:pPr>
            <w:r>
              <w:t xml:space="preserve">Spread</w:t>
            </w:r>
          </w:p>
        </w:tc>
        <w:tc>
          <w:tcPr>
            <w:tcW w:w="7759" w:type="dxa"/>
          </w:tcPr>
          <w:p>
            <w:pPr>
              <w:pStyle w:val="TableText"/>
              <w:jc w:val="left"/>
            </w:pPr>
            <w:r>
              <w:rPr>
                <w:b/>
                <w:bCs/>
              </w:rPr>
              <w:t xml:space="preserve">S3 Adoption</w:t>
            </w:r>
          </w:p>
        </w:tc>
      </w:tr>
      <w:tr>
        <w:trPr>
          <w:cantSplit/>
        </w:trPr>
        <w:tc>
          <w:tcPr>
            <w:tcW w:w="1601" w:type="dxa"/>
          </w:tcPr>
          <w:p>
            <w:pPr>
              <w:pStyle w:val="TableText"/>
              <w:jc w:val="left"/>
            </w:pPr>
            <w:r>
              <w:t xml:space="preserve">Value side</w:t>
            </w:r>
          </w:p>
        </w:tc>
        <w:tc>
          <w:tcPr>
            <w:tcW w:w="7759" w:type="dxa"/>
          </w:tcPr>
          <w:p>
            <w:pPr>
              <w:pStyle w:val="TableText"/>
              <w:jc w:val="left"/>
            </w:pPr>
            <w:r>
              <w:t xml:space="preserve">Accountant and admin costs avoided; penalties avoided; time saved; access to credit unlocked</w:t>
            </w:r>
          </w:p>
        </w:tc>
      </w:tr>
      <w:tr>
        <w:trPr>
          <w:cantSplit/>
        </w:trPr>
        <w:tc>
          <w:tcPr>
            <w:tcW w:w="1601" w:type="dxa"/>
          </w:tcPr>
          <w:p>
            <w:pPr>
              <w:pStyle w:val="TableText"/>
              <w:jc w:val="left"/>
            </w:pPr>
            <w:r>
              <w:t xml:space="preserve">Cost side</w:t>
            </w:r>
          </w:p>
        </w:tc>
        <w:tc>
          <w:tcPr>
            <w:tcW w:w="7759" w:type="dxa"/>
          </w:tcPr>
          <w:p>
            <w:pPr>
              <w:pStyle w:val="TableText"/>
              <w:jc w:val="left"/>
            </w:pPr>
            <w:r>
              <w:t xml:space="preserve">AI processing plus a small amount of human review</w:t>
            </w:r>
          </w:p>
        </w:tc>
      </w:tr>
      <w:tr>
        <w:trPr>
          <w:cantSplit/>
        </w:trPr>
        <w:tc>
          <w:tcPr>
            <w:tcW w:w="1601" w:type="dxa"/>
          </w:tcPr>
          <w:p>
            <w:pPr>
              <w:pStyle w:val="TableText"/>
              <w:jc w:val="left"/>
            </w:pPr>
            <w:r>
              <w:t xml:space="preserve">Main friction</w:t>
            </w:r>
          </w:p>
        </w:tc>
        <w:tc>
          <w:tcPr>
            <w:tcW w:w="7759" w:type="dxa"/>
          </w:tcPr>
          <w:p>
            <w:pPr>
              <w:pStyle w:val="TableText"/>
              <w:jc w:val="left"/>
            </w:pPr>
            <w:r>
              <w:t xml:space="preserve">Trust; digital literacy; distribution to informal businesses</w:t>
            </w:r>
          </w:p>
        </w:tc>
      </w:tr>
      <w:tr>
        <w:trPr>
          <w:cantSplit/>
        </w:trPr>
        <w:tc>
          <w:tcPr>
            <w:tcW w:w="1601" w:type="dxa"/>
          </w:tcPr>
          <w:p>
            <w:pPr>
              <w:pStyle w:val="TableText"/>
              <w:jc w:val="left"/>
            </w:pPr>
            <w:r>
              <w:t xml:space="preserve">Half-life</w:t>
            </w:r>
          </w:p>
        </w:tc>
        <w:tc>
          <w:tcPr>
            <w:tcW w:w="7759" w:type="dxa"/>
          </w:tcPr>
          <w:p>
            <w:pPr>
              <w:pStyle w:val="TableText"/>
              <w:jc w:val="left"/>
            </w:pPr>
            <w:r>
              <w:t xml:space="preserve">Medium: big software firms will move down-market, but slowly and without local trust</w:t>
            </w:r>
          </w:p>
        </w:tc>
      </w:tr>
      <w:tr>
        <w:trPr>
          <w:cantSplit/>
        </w:trPr>
        <w:tc>
          <w:tcPr>
            <w:tcW w:w="1601" w:type="dxa"/>
          </w:tcPr>
          <w:p>
            <w:pPr>
              <w:pStyle w:val="TableText"/>
              <w:jc w:val="left"/>
            </w:pPr>
            <w:r>
              <w:t xml:space="preserve">Moats</w:t>
            </w:r>
          </w:p>
        </w:tc>
        <w:tc>
          <w:tcPr>
            <w:tcW w:w="7759" w:type="dxa"/>
          </w:tcPr>
          <w:p>
            <w:pPr>
              <w:pStyle w:val="TableText"/>
              <w:jc w:val="left"/>
            </w:pPr>
            <w:r>
              <w:t xml:space="preserve">Distribution through trader associations and agents; verified trust; consented financial data (with FairScore)</w:t>
            </w:r>
          </w:p>
        </w:tc>
      </w:tr>
      <w:tr>
        <w:trPr>
          <w:cantSplit/>
        </w:trPr>
        <w:tc>
          <w:tcPr>
            <w:tcW w:w="1601" w:type="dxa"/>
          </w:tcPr>
          <w:p>
            <w:pPr>
              <w:pStyle w:val="TableText"/>
              <w:jc w:val="left"/>
            </w:pPr>
            <w:r>
              <w:t xml:space="preserve">Archetype and governance</w:t>
            </w:r>
          </w:p>
        </w:tc>
        <w:tc>
          <w:tcPr>
            <w:tcW w:w="7759" w:type="dxa"/>
          </w:tcPr>
          <w:p>
            <w:pPr>
              <w:pStyle w:val="TableText"/>
              <w:jc w:val="left"/>
            </w:pPr>
            <w:r>
              <w:t xml:space="preserve">A3 skills marketplace (AI plus supervised accountants) + A5 relationship platform; steward-owned</w:t>
            </w:r>
          </w:p>
        </w:tc>
      </w:tr>
    </w:tbl>
    <w:p>
      <w:pPr>
        <w:pStyle w:val="BodyText"/>
        <w:spacing w:before="160"/>
      </w:pPr>
      <w:r>
        <w:rPr>
          <w:b/>
          <w:bCs/>
        </w:rPr>
        <w:t xml:space="preserve">The gap</w:t>
      </w:r>
    </w:p>
    <w:p>
      <w:pPr>
        <w:pStyle w:val="Compact"/>
        <w:numPr>
          <w:ilvl w:val="0"/>
          <w:numId w:val="1022"/>
        </w:numPr>
      </w:pPr>
      <w:r>
        <w:t xml:space="preserve">Even in the US, only about 18% of firms used AI in any business function in late 2025 to early 2026, and the smallest firms used it least (US Census Bureau). Adoption among African small and informal businesses is far lower.</w:t>
      </w:r>
    </w:p>
    <w:p>
      <w:pPr>
        <w:pStyle w:val="Compact"/>
        <w:numPr>
          <w:ilvl w:val="0"/>
          <w:numId w:val="1022"/>
        </w:numPr>
      </w:pPr>
      <w:r>
        <w:t xml:space="preserve">Nigeria’s tax reform took effect on 1 January 2026. Small businesses below the turnover threshold pay 0% company income tax but must still have a tax ID and file annual returns. Late-filing penalties rose to ₦100,000 for the first month and ₦50,000 for each month after.</w:t>
      </w:r>
    </w:p>
    <w:p>
      <w:pPr>
        <w:pStyle w:val="Compact"/>
        <w:numPr>
          <w:ilvl w:val="0"/>
          <w:numId w:val="1022"/>
        </w:numPr>
      </w:pPr>
      <w:r>
        <w:t xml:space="preserve">Advisers recommend that small businesses move to digital payments and keep e-receipts, which most informal businesses do not yet do.</w:t>
      </w:r>
    </w:p>
    <w:p>
      <w:pPr>
        <w:pStyle w:val="FirstParagraph"/>
      </w:pPr>
      <w:r>
        <w:rPr>
          <w:b/>
          <w:bCs/>
        </w:rPr>
        <w:t xml:space="preserve">Benchmarks: borrowed and inverted</w:t>
      </w:r>
    </w:p>
    <w:p>
      <w:pPr>
        <w:pStyle w:val="Compact"/>
        <w:numPr>
          <w:ilvl w:val="0"/>
          <w:numId w:val="1023"/>
        </w:numPr>
      </w:pPr>
      <w:r>
        <w:rPr>
          <w:b/>
          <w:bCs/>
        </w:rPr>
        <w:t xml:space="preserve">From Urban Company</w:t>
      </w:r>
      <w:r>
        <w:t xml:space="preserve"> </w:t>
      </w:r>
      <w:r>
        <w:t xml:space="preserve">(Volume I, Part VI): standardizing a fragmented service.</w:t>
      </w:r>
    </w:p>
    <w:p>
      <w:pPr>
        <w:pStyle w:val="Compact"/>
        <w:numPr>
          <w:ilvl w:val="0"/>
          <w:numId w:val="1023"/>
        </w:numPr>
      </w:pPr>
      <w:r>
        <w:rPr>
          <w:b/>
          <w:bCs/>
        </w:rPr>
        <w:t xml:space="preserve">From Uber:</w:t>
      </w:r>
      <w:r>
        <w:t xml:space="preserve"> </w:t>
      </w:r>
      <w:r>
        <w:t xml:space="preserve">making a complex service feel like one gesture, here a voice note on WhatsApp.</w:t>
      </w:r>
    </w:p>
    <w:p>
      <w:pPr>
        <w:pStyle w:val="Compact"/>
        <w:numPr>
          <w:ilvl w:val="0"/>
          <w:numId w:val="1023"/>
        </w:numPr>
      </w:pPr>
      <w:r>
        <w:rPr>
          <w:b/>
          <w:bCs/>
        </w:rPr>
        <w:t xml:space="preserve">Links</w:t>
      </w:r>
      <w:r>
        <w:t xml:space="preserve"> </w:t>
      </w:r>
      <w:r>
        <w:t xml:space="preserve">to Guildhall (supervised apprentice accountants), FairScore (consented records unlock credit) and TongueBridge (local-language voice).</w:t>
      </w:r>
    </w:p>
    <w:p>
      <w:pPr>
        <w:pStyle w:val="Compact"/>
        <w:numPr>
          <w:ilvl w:val="0"/>
          <w:numId w:val="1023"/>
        </w:numPr>
      </w:pPr>
      <w:r>
        <w:rPr>
          <w:b/>
          <w:bCs/>
        </w:rPr>
        <w:t xml:space="preserve">Inverts:</w:t>
      </w:r>
      <w:r>
        <w:t xml:space="preserve"> </w:t>
      </w:r>
      <w:r>
        <w:t xml:space="preserve">compliance becomes a benefit (credit, protection from penalties) rather than a burden.</w:t>
      </w:r>
    </w:p>
    <w:p>
      <w:pPr>
        <w:pStyle w:val="FirstParagraph"/>
      </w:pPr>
      <w:r>
        <w:rPr>
          <w:b/>
          <w:bCs/>
        </w:rPr>
        <w:t xml:space="preserve">How it works</w:t>
      </w:r>
    </w:p>
    <w:p>
      <w:pPr>
        <w:pStyle w:val="Compact"/>
        <w:numPr>
          <w:ilvl w:val="0"/>
          <w:numId w:val="1024"/>
        </w:numPr>
      </w:pPr>
      <w:r>
        <w:rPr>
          <w:b/>
          <w:bCs/>
        </w:rPr>
        <w:t xml:space="preserve">Capture by voice or photo.</w:t>
      </w:r>
      <w:r>
        <w:t xml:space="preserve"> </w:t>
      </w:r>
      <w:r>
        <w:t xml:space="preserve">Traders send voice notes, photos of receipts or mobile-money statements by WhatsApp or USSD, in Pidgin, Yoruba, Hausa, Igbo or English.</w:t>
      </w:r>
    </w:p>
    <w:p>
      <w:pPr>
        <w:pStyle w:val="Compact"/>
        <w:numPr>
          <w:ilvl w:val="0"/>
          <w:numId w:val="1024"/>
        </w:numPr>
      </w:pPr>
      <w:r>
        <w:rPr>
          <w:b/>
          <w:bCs/>
        </w:rPr>
        <w:t xml:space="preserve">AI bookkeeping.</w:t>
      </w:r>
      <w:r>
        <w:t xml:space="preserve"> </w:t>
      </w:r>
      <w:r>
        <w:t xml:space="preserve">Transactions are categorized, invoices issued and stock tracked.</w:t>
      </w:r>
    </w:p>
    <w:p>
      <w:pPr>
        <w:pStyle w:val="Compact"/>
        <w:numPr>
          <w:ilvl w:val="0"/>
          <w:numId w:val="1024"/>
        </w:numPr>
      </w:pPr>
      <w:r>
        <w:rPr>
          <w:b/>
          <w:bCs/>
        </w:rPr>
        <w:t xml:space="preserve">Tax and compliance.</w:t>
      </w:r>
      <w:r>
        <w:t xml:space="preserve"> </w:t>
      </w:r>
      <w:r>
        <w:t xml:space="preserve">Registration, annual returns and reminders, prepared by AI and reviewed by human accountants (Guildhall pods).</w:t>
      </w:r>
    </w:p>
    <w:p>
      <w:pPr>
        <w:pStyle w:val="Compact"/>
        <w:numPr>
          <w:ilvl w:val="0"/>
          <w:numId w:val="1024"/>
        </w:numPr>
      </w:pPr>
      <w:r>
        <w:rPr>
          <w:b/>
          <w:bCs/>
        </w:rPr>
        <w:t xml:space="preserve">Customer replies.</w:t>
      </w:r>
      <w:r>
        <w:t xml:space="preserve"> </w:t>
      </w:r>
      <w:r>
        <w:t xml:space="preserve">An AI assistant answers routine customer questions on WhatsApp, in the trader’s voice and with the trader’s approval.</w:t>
      </w:r>
    </w:p>
    <w:p>
      <w:pPr>
        <w:pStyle w:val="Compact"/>
        <w:numPr>
          <w:ilvl w:val="0"/>
          <w:numId w:val="1024"/>
        </w:numPr>
      </w:pPr>
      <w:r>
        <w:rPr>
          <w:b/>
          <w:bCs/>
        </w:rPr>
        <w:t xml:space="preserve">Credit readiness.</w:t>
      </w:r>
      <w:r>
        <w:t xml:space="preserve"> </w:t>
      </w:r>
      <w:r>
        <w:t xml:space="preserve">With consent, verified records feed FairScore to unlock fair credit.</w:t>
      </w:r>
    </w:p>
    <w:p>
      <w:pPr>
        <w:pStyle w:val="Compact"/>
        <w:numPr>
          <w:ilvl w:val="0"/>
          <w:numId w:val="1024"/>
        </w:numPr>
      </w:pPr>
      <w:r>
        <w:rPr>
          <w:b/>
          <w:bCs/>
        </w:rPr>
        <w:t xml:space="preserve">Distribution.</w:t>
      </w:r>
      <w:r>
        <w:t xml:space="preserve"> </w:t>
      </w:r>
      <w:r>
        <w:t xml:space="preserve">Partnerships with market associations, trade unions, cooperatives and mobile-money agents.</w:t>
      </w:r>
    </w:p>
    <w:p>
      <w:pPr>
        <w:pStyle w:val="FirstParagraph"/>
      </w:pPr>
      <w:r>
        <w:rPr>
          <w:b/>
          <w:bCs/>
        </w:rPr>
        <w:t xml:space="preserve">From spread to moat.</w:t>
      </w:r>
      <w:r>
        <w:t xml:space="preserve"> </w:t>
      </w:r>
      <w:r>
        <w:t xml:space="preserve">When big software firms add AI features, OfficePilot still owns its distribution through associations and agents, its local-language trust, and consented records that link to credit.</w:t>
      </w:r>
      <w:r>
        <w:t xml:space="preserve"> </w:t>
      </w:r>
      <w:r>
        <w:rPr>
          <w:b/>
          <w:bCs/>
        </w:rPr>
        <w:t xml:space="preserve">Who shares the spread:</w:t>
      </w:r>
      <w:r>
        <w:t xml:space="preserve"> </w:t>
      </w:r>
      <w:r>
        <w:t xml:space="preserve">traders (lower costs, avoided penalties, credit access) and apprentice accountants (paid work and training).</w:t>
      </w:r>
    </w:p>
    <w:p>
      <w:pPr>
        <w:pStyle w:val="BodyText"/>
      </w:pPr>
      <w:r>
        <w:rPr>
          <w:b/>
          <w:bCs/>
        </w:rPr>
        <w:t xml:space="preserve">System dynamics</w:t>
      </w:r>
    </w:p>
    <w:p>
      <w:pPr>
        <w:pStyle w:val="Compact"/>
        <w:numPr>
          <w:ilvl w:val="0"/>
          <w:numId w:val="1025"/>
        </w:numPr>
      </w:pPr>
      <w:r>
        <w:rPr>
          <w:b/>
          <w:bCs/>
        </w:rPr>
        <w:t xml:space="preserve">R1, the trust loop:</w:t>
      </w:r>
      <w:r>
        <w:t xml:space="preserve"> </w:t>
      </w:r>
      <w:r>
        <w:t xml:space="preserve">penalties avoided and credit unlocked → word of mouth in markets → more users.</w:t>
      </w:r>
    </w:p>
    <w:p>
      <w:pPr>
        <w:pStyle w:val="Compact"/>
        <w:numPr>
          <w:ilvl w:val="0"/>
          <w:numId w:val="1025"/>
        </w:numPr>
      </w:pPr>
      <w:r>
        <w:rPr>
          <w:b/>
          <w:bCs/>
        </w:rPr>
        <w:t xml:space="preserve">R2, the data loop:</w:t>
      </w:r>
      <w:r>
        <w:t xml:space="preserve"> </w:t>
      </w:r>
      <w:r>
        <w:t xml:space="preserve">more records → better categorization in local contexts → fewer errors.</w:t>
      </w:r>
    </w:p>
    <w:p>
      <w:pPr>
        <w:pStyle w:val="Compact"/>
        <w:numPr>
          <w:ilvl w:val="0"/>
          <w:numId w:val="1025"/>
        </w:numPr>
      </w:pPr>
      <w:r>
        <w:rPr>
          <w:b/>
          <w:bCs/>
        </w:rPr>
        <w:t xml:space="preserve">B1, fear of tax authorities:</w:t>
      </w:r>
      <w:r>
        <w:t xml:space="preserve"> </w:t>
      </w:r>
      <w:r>
        <w:t xml:space="preserve">traders fear that records expose them. Clear explanation that small firms pay 0% income tax, plus data protection, contains it.</w:t>
      </w:r>
    </w:p>
    <w:p>
      <w:pPr>
        <w:pStyle w:val="Compact"/>
        <w:numPr>
          <w:ilvl w:val="0"/>
          <w:numId w:val="1025"/>
        </w:numPr>
      </w:pPr>
      <w:r>
        <w:rPr>
          <w:b/>
          <w:bCs/>
        </w:rPr>
        <w:t xml:space="preserve">Leverage point:</w:t>
      </w:r>
      <w:r>
        <w:t xml:space="preserve"> </w:t>
      </w:r>
      <w:r>
        <w:t xml:space="preserve">information flows (making the benefits of compliance visible).</w:t>
      </w:r>
    </w:p>
    <w:p>
      <w:pPr>
        <w:pStyle w:val="FirstParagraph"/>
      </w:pPr>
      <w:r>
        <w:rPr>
          <w:b/>
          <w:bCs/>
        </w:rPr>
        <w:t xml:space="preserve">Design thinking</w:t>
      </w:r>
    </w:p>
    <w:p>
      <w:pPr>
        <w:pStyle w:val="Compact"/>
        <w:numPr>
          <w:ilvl w:val="0"/>
          <w:numId w:val="1026"/>
        </w:numPr>
      </w:pPr>
      <w:r>
        <w:rPr>
          <w:i/>
          <w:iCs/>
        </w:rPr>
        <w:t xml:space="preserve">Personas:</w:t>
      </w:r>
      <w:r>
        <w:t xml:space="preserve"> </w:t>
      </w:r>
      <w:r>
        <w:rPr>
          <w:b/>
          <w:bCs/>
        </w:rPr>
        <w:t xml:space="preserve">Mama Nkechi</w:t>
      </w:r>
      <w:r>
        <w:t xml:space="preserve">, who sells fabrics in Onitsha market and keeps accounts in her head.</w:t>
      </w:r>
      <w:r>
        <w:t xml:space="preserve"> </w:t>
      </w:r>
      <w:r>
        <w:rPr>
          <w:b/>
          <w:bCs/>
        </w:rPr>
        <w:t xml:space="preserve">Tunde</w:t>
      </w:r>
      <w:r>
        <w:t xml:space="preserve">, who runs a phone-repair shop in Ibadan and received a tax notice he doesn’t understand.</w:t>
      </w:r>
      <w:r>
        <w:t xml:space="preserve"> </w:t>
      </w:r>
      <w:r>
        <w:rPr>
          <w:b/>
          <w:bCs/>
        </w:rPr>
        <w:t xml:space="preserve">A market association chairman</w:t>
      </w:r>
      <w:r>
        <w:t xml:space="preserve"> </w:t>
      </w:r>
      <w:r>
        <w:t xml:space="preserve">who wants members protected from penalties.</w:t>
      </w:r>
    </w:p>
    <w:p>
      <w:pPr>
        <w:pStyle w:val="Compact"/>
        <w:numPr>
          <w:ilvl w:val="0"/>
          <w:numId w:val="1026"/>
        </w:numPr>
      </w:pPr>
      <w:r>
        <w:rPr>
          <w:i/>
          <w:iCs/>
        </w:rPr>
        <w:t xml:space="preserve">How might</w:t>
      </w:r>
      <w:r>
        <w:t xml:space="preserve"> </w:t>
      </w:r>
      <w:r>
        <w:t xml:space="preserve">a market trader get the back office of a big company for the price of a phone recharge?</w:t>
      </w:r>
    </w:p>
    <w:p>
      <w:pPr>
        <w:pStyle w:val="Compact"/>
        <w:numPr>
          <w:ilvl w:val="0"/>
          <w:numId w:val="1026"/>
        </w:numPr>
      </w:pPr>
      <w:r>
        <w:rPr>
          <w:i/>
          <w:iCs/>
        </w:rPr>
        <w:t xml:space="preserve">Moment of truth:</w:t>
      </w:r>
      <w:r>
        <w:t xml:space="preserve"> </w:t>
      </w:r>
      <w:r>
        <w:t xml:space="preserve">Mama Nkechi files her first annual return by voice note, pays nothing, and qualifies for a loan the following month.</w:t>
      </w:r>
    </w:p>
    <w:p>
      <w:pPr>
        <w:pStyle w:val="FirstParagraph"/>
      </w:pPr>
      <w:r>
        <w:rPr>
          <w:b/>
          <w:bCs/>
        </w:rPr>
        <w:t xml:space="preserve">Business model.</w:t>
      </w:r>
      <w:r>
        <w:t xml:space="preserve"> </w:t>
      </w:r>
      <w:r>
        <w:t xml:space="preserve">Monthly subscriptions in small amounts; tiered pricing by business size; referral fees from lenders (via FairScore, with consent and caps); association partnership fees.</w:t>
      </w:r>
    </w:p>
    <w:tbl>
      <w:tblPr>
        <w:tblStyle w:val="Table"/>
        <w:tblW w:w="9360" w:type="dxa"/>
        <w:jc w:val="left"/>
        <w:tblLayout w:type="fixed"/>
        <w:tblLook w:firstRow="1" w:lastRow="0" w:firstColumn="0" w:lastColumn="0" w:noHBand="0" w:noVBand="0" w:val="0020"/>
      </w:tblPr>
      <w:tblGrid>
        <w:gridCol w:w="2704"/>
        <w:gridCol w:w="6656"/>
      </w:tblGrid>
      <w:tr>
        <w:trPr>
          <w:cantSplit/>
          <w:tblHeader w:val="true"/>
        </w:trPr>
        <w:tc>
          <w:tcPr>
            <w:tcW w:w="2704" w:type="dxa"/>
          </w:tcPr>
          <w:p>
            <w:pPr>
              <w:pStyle w:val="TableText"/>
              <w:jc w:val="left"/>
            </w:pPr>
            <w:r>
              <w:t xml:space="preserve">Risk</w:t>
            </w:r>
          </w:p>
        </w:tc>
        <w:tc>
          <w:tcPr>
            <w:tcW w:w="6656" w:type="dxa"/>
          </w:tcPr>
          <w:p>
            <w:pPr>
              <w:pStyle w:val="TableText"/>
              <w:jc w:val="left"/>
            </w:pPr>
            <w:r>
              <w:t xml:space="preserve">Safeguard</w:t>
            </w:r>
          </w:p>
        </w:tc>
      </w:tr>
      <w:tr>
        <w:trPr>
          <w:cantSplit/>
        </w:trPr>
        <w:tc>
          <w:tcPr>
            <w:tcW w:w="2704" w:type="dxa"/>
          </w:tcPr>
          <w:p>
            <w:pPr>
              <w:pStyle w:val="TableText"/>
              <w:jc w:val="left"/>
            </w:pPr>
            <w:r>
              <w:t xml:space="preserve">Errors in tax filings</w:t>
            </w:r>
          </w:p>
        </w:tc>
        <w:tc>
          <w:tcPr>
            <w:tcW w:w="6656" w:type="dxa"/>
          </w:tcPr>
          <w:p>
            <w:pPr>
              <w:pStyle w:val="TableText"/>
              <w:jc w:val="left"/>
            </w:pPr>
            <w:r>
              <w:t xml:space="preserve">Human accountant review; guarantees; professional indemnity insurance</w:t>
            </w:r>
          </w:p>
        </w:tc>
      </w:tr>
      <w:tr>
        <w:trPr>
          <w:cantSplit/>
        </w:trPr>
        <w:tc>
          <w:tcPr>
            <w:tcW w:w="2704" w:type="dxa"/>
          </w:tcPr>
          <w:p>
            <w:pPr>
              <w:pStyle w:val="TableText"/>
              <w:jc w:val="left"/>
            </w:pPr>
            <w:r>
              <w:t xml:space="preserve">Data misuse</w:t>
            </w:r>
          </w:p>
        </w:tc>
        <w:tc>
          <w:tcPr>
            <w:tcW w:w="6656" w:type="dxa"/>
          </w:tcPr>
          <w:p>
            <w:pPr>
              <w:pStyle w:val="TableText"/>
              <w:jc w:val="left"/>
            </w:pPr>
            <w:r>
              <w:t xml:space="preserve">Consent; data minimization; no sale of personal data</w:t>
            </w:r>
          </w:p>
        </w:tc>
      </w:tr>
      <w:tr>
        <w:trPr>
          <w:cantSplit/>
        </w:trPr>
        <w:tc>
          <w:tcPr>
            <w:tcW w:w="2704" w:type="dxa"/>
          </w:tcPr>
          <w:p>
            <w:pPr>
              <w:pStyle w:val="TableText"/>
              <w:jc w:val="left"/>
            </w:pPr>
            <w:r>
              <w:t xml:space="preserve">Distrust of digital records</w:t>
            </w:r>
          </w:p>
        </w:tc>
        <w:tc>
          <w:tcPr>
            <w:tcW w:w="6656" w:type="dxa"/>
          </w:tcPr>
          <w:p>
            <w:pPr>
              <w:pStyle w:val="TableText"/>
              <w:jc w:val="left"/>
            </w:pPr>
            <w:r>
              <w:t xml:space="preserve">Association partnerships; plain-language explanations</w:t>
            </w:r>
          </w:p>
        </w:tc>
      </w:tr>
      <w:tr>
        <w:trPr>
          <w:cantSplit/>
        </w:trPr>
        <w:tc>
          <w:tcPr>
            <w:tcW w:w="2704" w:type="dxa"/>
          </w:tcPr>
          <w:p>
            <w:pPr>
              <w:pStyle w:val="TableText"/>
              <w:jc w:val="left"/>
            </w:pPr>
            <w:r>
              <w:t xml:space="preserve">Dark twin: tax-evasion tools</w:t>
            </w:r>
          </w:p>
        </w:tc>
        <w:tc>
          <w:tcPr>
            <w:tcW w:w="6656" w:type="dxa"/>
          </w:tcPr>
          <w:p>
            <w:pPr>
              <w:pStyle w:val="TableText"/>
              <w:jc w:val="left"/>
            </w:pPr>
            <w:r>
              <w:t xml:space="preserve">Firm policy against evasion; compliance-first design</w:t>
            </w:r>
          </w:p>
        </w:tc>
      </w:tr>
    </w:tbl>
    <w:p>
      <w:pPr>
        <w:pStyle w:val="BodyText"/>
        <w:spacing w:before="160"/>
      </w:pPr>
      <w:r>
        <w:rPr>
          <w:b/>
          <w:bCs/>
        </w:rPr>
        <w:t xml:space="preserve">First 100 days.</w:t>
      </w:r>
      <w:r>
        <w:t xml:space="preserve"> </w:t>
      </w:r>
      <w:r>
        <w:t xml:space="preserve">One large market (e.g., Onitsha or Balogun) with its association; 2,000 traders; tax registration and first filings; measure time saved and penalties avoided.</w:t>
      </w:r>
    </w:p>
    <w:p>
      <w:pPr>
        <w:pStyle w:val="BodyText"/>
      </w:pPr>
      <w:r>
        <w:rPr>
          <w:b/>
          <w:bCs/>
        </w:rPr>
        <w:t xml:space="preserve">Scores.</w:t>
      </w:r>
      <w:r>
        <w:t xml:space="preserve"> </w:t>
      </w:r>
      <w:r>
        <w:t xml:space="preserve">Spread Quality</w:t>
      </w:r>
      <w:r>
        <w:t xml:space="preserve"> </w:t>
      </w:r>
      <w:r>
        <w:rPr>
          <w:b/>
          <w:bCs/>
        </w:rPr>
        <w:t xml:space="preserve">20/25</w:t>
      </w:r>
      <w:r>
        <w:t xml:space="preserve"> </w:t>
      </w:r>
      <w:r>
        <w:t xml:space="preserve">(S4 · H3 · P5 · M4 · F4). Double Decagon</w:t>
      </w:r>
      <w:r>
        <w:t xml:space="preserve"> </w:t>
      </w:r>
      <w:r>
        <w:rPr>
          <w:b/>
          <w:bCs/>
        </w:rPr>
        <w:t xml:space="preserve">83/100</w:t>
      </w:r>
      <w:r>
        <w:t xml:space="preserve">: Inner 43/50 (V1 5 · V2 5 · V3 4 · V4 4 · V5 5 · V6 4 · V7 4 · V8 4 · V9 4 · V10 4); Future-Fitness 40/50 (F1 4 · F2 4 · F3 3 · F4 4 · F5 4 · F6 4 · F7 5 · F8 4 · F9 4 · F10 4).</w:t>
      </w:r>
    </w:p>
    <w:bookmarkEnd w:id="55"/>
    <w:bookmarkStart w:id="56" w:name="X5f63b8e53ec300a1c2dc41a716f2c9fc991d1ec"/>
    <w:p>
      <w:pPr>
        <w:pStyle w:val="Heading2"/>
      </w:pPr>
      <w:r>
        <w:t xml:space="preserve">Venture 4: TONGUEBRIDGE, unlocking value trapped in one language</w:t>
      </w:r>
    </w:p>
    <w:p>
      <w:pPr>
        <w:pStyle w:val="BlockText"/>
      </w:pPr>
      <w:r>
        <w:rPr>
          <w:b/>
          <w:bCs/>
        </w:rPr>
        <w:t xml:space="preserve">Thesis.</w:t>
      </w:r>
      <w:r>
        <w:t xml:space="preserve"> </w:t>
      </w:r>
      <w:r>
        <w:t xml:space="preserve">Africa produces films, music, lessons and products that could reach hundreds of millions more people in other languages, but dubbing, subtitling and translation have been too expensive. AI has collapsed those costs. TongueBridge combines AI translation and voice with human post-editing and consenting, paid voice actors. It carries Nollywood films into French, Portuguese and Swahili, lessons into local languages, and small firms’ catalogues across the continent’s language borders.</w:t>
      </w:r>
    </w:p>
    <w:tbl>
      <w:tblPr>
        <w:tblStyle w:val="Table"/>
        <w:tblW w:w="9360" w:type="dxa"/>
        <w:jc w:val="left"/>
        <w:tblLayout w:type="fixed"/>
        <w:tblLook w:firstRow="1" w:lastRow="0" w:firstColumn="0" w:lastColumn="0" w:noHBand="0" w:noVBand="0" w:val="0020"/>
      </w:tblPr>
      <w:tblGrid>
        <w:gridCol w:w="1517"/>
        <w:gridCol w:w="7843"/>
      </w:tblGrid>
      <w:tr>
        <w:trPr>
          <w:cantSplit/>
          <w:tblHeader w:val="true"/>
        </w:trPr>
        <w:tc>
          <w:tcPr>
            <w:tcW w:w="1517" w:type="dxa"/>
          </w:tcPr>
          <w:p>
            <w:pPr>
              <w:pStyle w:val="TableText"/>
              <w:jc w:val="left"/>
            </w:pPr>
            <w:r>
              <w:t xml:space="preserve">Spread code</w:t>
            </w:r>
          </w:p>
        </w:tc>
        <w:tc>
          <w:tcPr>
            <w:tcW w:w="7843" w:type="dxa"/>
          </w:tcPr>
          <w:p>
            <w:pPr>
              <w:pStyle w:val="TableText"/>
            </w:pPr>
          </w:p>
        </w:tc>
      </w:tr>
      <w:tr>
        <w:trPr>
          <w:cantSplit/>
        </w:trPr>
        <w:tc>
          <w:tcPr>
            <w:tcW w:w="1517" w:type="dxa"/>
          </w:tcPr>
          <w:p>
            <w:pPr>
              <w:pStyle w:val="TableText"/>
              <w:jc w:val="left"/>
            </w:pPr>
            <w:r>
              <w:t xml:space="preserve">Spread</w:t>
            </w:r>
          </w:p>
        </w:tc>
        <w:tc>
          <w:tcPr>
            <w:tcW w:w="7843" w:type="dxa"/>
          </w:tcPr>
          <w:p>
            <w:pPr>
              <w:pStyle w:val="TableText"/>
              <w:jc w:val="left"/>
            </w:pPr>
            <w:r>
              <w:rPr>
                <w:b/>
                <w:bCs/>
              </w:rPr>
              <w:t xml:space="preserve">S4 Language</w:t>
            </w:r>
          </w:p>
        </w:tc>
      </w:tr>
      <w:tr>
        <w:trPr>
          <w:cantSplit/>
        </w:trPr>
        <w:tc>
          <w:tcPr>
            <w:tcW w:w="1517" w:type="dxa"/>
          </w:tcPr>
          <w:p>
            <w:pPr>
              <w:pStyle w:val="TableText"/>
              <w:jc w:val="left"/>
            </w:pPr>
            <w:r>
              <w:t xml:space="preserve">Value side</w:t>
            </w:r>
          </w:p>
        </w:tc>
        <w:tc>
          <w:tcPr>
            <w:tcW w:w="7843" w:type="dxa"/>
          </w:tcPr>
          <w:p>
            <w:pPr>
              <w:pStyle w:val="TableText"/>
              <w:jc w:val="left"/>
            </w:pPr>
            <w:r>
              <w:t xml:space="preserve">New audiences and markets in other languages</w:t>
            </w:r>
          </w:p>
        </w:tc>
      </w:tr>
      <w:tr>
        <w:trPr>
          <w:cantSplit/>
        </w:trPr>
        <w:tc>
          <w:tcPr>
            <w:tcW w:w="1517" w:type="dxa"/>
          </w:tcPr>
          <w:p>
            <w:pPr>
              <w:pStyle w:val="TableText"/>
              <w:jc w:val="left"/>
            </w:pPr>
            <w:r>
              <w:t xml:space="preserve">Cost side</w:t>
            </w:r>
          </w:p>
        </w:tc>
        <w:tc>
          <w:tcPr>
            <w:tcW w:w="7843" w:type="dxa"/>
          </w:tcPr>
          <w:p>
            <w:pPr>
              <w:pStyle w:val="TableText"/>
              <w:jc w:val="left"/>
            </w:pPr>
            <w:r>
              <w:t xml:space="preserve">AI translation and voice, plus human post-editing</w:t>
            </w:r>
          </w:p>
        </w:tc>
      </w:tr>
      <w:tr>
        <w:trPr>
          <w:cantSplit/>
        </w:trPr>
        <w:tc>
          <w:tcPr>
            <w:tcW w:w="1517" w:type="dxa"/>
          </w:tcPr>
          <w:p>
            <w:pPr>
              <w:pStyle w:val="TableText"/>
              <w:jc w:val="left"/>
            </w:pPr>
            <w:r>
              <w:t xml:space="preserve">Main friction</w:t>
            </w:r>
          </w:p>
        </w:tc>
        <w:tc>
          <w:tcPr>
            <w:tcW w:w="7843" w:type="dxa"/>
          </w:tcPr>
          <w:p>
            <w:pPr>
              <w:pStyle w:val="TableText"/>
              <w:jc w:val="left"/>
            </w:pPr>
            <w:r>
              <w:t xml:space="preserve">Quality and cultural nuance; rights; voice consent; distribution</w:t>
            </w:r>
          </w:p>
        </w:tc>
      </w:tr>
      <w:tr>
        <w:trPr>
          <w:cantSplit/>
        </w:trPr>
        <w:tc>
          <w:tcPr>
            <w:tcW w:w="1517" w:type="dxa"/>
          </w:tcPr>
          <w:p>
            <w:pPr>
              <w:pStyle w:val="TableText"/>
              <w:jc w:val="left"/>
            </w:pPr>
            <w:r>
              <w:t xml:space="preserve">Half-life</w:t>
            </w:r>
          </w:p>
        </w:tc>
        <w:tc>
          <w:tcPr>
            <w:tcW w:w="7843" w:type="dxa"/>
          </w:tcPr>
          <w:p>
            <w:pPr>
              <w:pStyle w:val="TableText"/>
              <w:jc w:val="left"/>
            </w:pPr>
            <w:r>
              <w:t xml:space="preserve">Medium: AI dubbing tools are spreading, but rights, quality and distribution are slow to build</w:t>
            </w:r>
          </w:p>
        </w:tc>
      </w:tr>
      <w:tr>
        <w:trPr>
          <w:cantSplit/>
        </w:trPr>
        <w:tc>
          <w:tcPr>
            <w:tcW w:w="1517" w:type="dxa"/>
          </w:tcPr>
          <w:p>
            <w:pPr>
              <w:pStyle w:val="TableText"/>
              <w:jc w:val="left"/>
            </w:pPr>
            <w:r>
              <w:t xml:space="preserve">Moats</w:t>
            </w:r>
          </w:p>
        </w:tc>
        <w:tc>
          <w:tcPr>
            <w:tcW w:w="7843" w:type="dxa"/>
          </w:tcPr>
          <w:p>
            <w:pPr>
              <w:pStyle w:val="TableText"/>
              <w:jc w:val="left"/>
            </w:pPr>
            <w:r>
              <w:t xml:space="preserve">A rights catalogue; consented voice-actor network with royalties; distribution partnerships; quality reputation</w:t>
            </w:r>
          </w:p>
        </w:tc>
      </w:tr>
      <w:tr>
        <w:trPr>
          <w:cantSplit/>
        </w:trPr>
        <w:tc>
          <w:tcPr>
            <w:tcW w:w="1517" w:type="dxa"/>
          </w:tcPr>
          <w:p>
            <w:pPr>
              <w:pStyle w:val="TableText"/>
              <w:jc w:val="left"/>
            </w:pPr>
            <w:r>
              <w:t xml:space="preserve">Archetype and governance</w:t>
            </w:r>
          </w:p>
        </w:tc>
        <w:tc>
          <w:tcPr>
            <w:tcW w:w="7843" w:type="dxa"/>
          </w:tcPr>
          <w:p>
            <w:pPr>
              <w:pStyle w:val="TableText"/>
              <w:jc w:val="left"/>
            </w:pPr>
            <w:r>
              <w:t xml:space="preserve">A3 skills marketplace (translators, voice actors) + A7 data trust (voice rights); steward-owned with royalty sharing</w:t>
            </w:r>
          </w:p>
        </w:tc>
      </w:tr>
    </w:tbl>
    <w:p>
      <w:pPr>
        <w:pStyle w:val="BodyText"/>
        <w:spacing w:before="160"/>
      </w:pPr>
      <w:r>
        <w:rPr>
          <w:b/>
          <w:bCs/>
        </w:rPr>
        <w:t xml:space="preserve">The gap</w:t>
      </w:r>
    </w:p>
    <w:p>
      <w:pPr>
        <w:pStyle w:val="Compact"/>
        <w:numPr>
          <w:ilvl w:val="0"/>
          <w:numId w:val="1027"/>
        </w:numPr>
      </w:pPr>
      <w:r>
        <w:t xml:space="preserve">Africa has over 2,000 languages, and cross-border trade under the African Continental Free Trade Area requires communication across English, French, Portuguese, Arabic, Swahili and many others.</w:t>
      </w:r>
    </w:p>
    <w:p>
      <w:pPr>
        <w:pStyle w:val="Compact"/>
        <w:numPr>
          <w:ilvl w:val="0"/>
          <w:numId w:val="1027"/>
        </w:numPr>
      </w:pPr>
      <w:r>
        <w:t xml:space="preserve">Nollywood is one of the world’s most prolific film industries, but most of its catalogue reaches only English-speaking audiences.</w:t>
      </w:r>
    </w:p>
    <w:p>
      <w:pPr>
        <w:pStyle w:val="Compact"/>
        <w:numPr>
          <w:ilvl w:val="0"/>
          <w:numId w:val="1027"/>
        </w:numPr>
      </w:pPr>
      <w:r>
        <w:t xml:space="preserve">AI translation and synthetic voice have cut the cost of dubbing and localization dramatically, but quality, cultural nuance and voice rights remain unsolved.</w:t>
      </w:r>
    </w:p>
    <w:p>
      <w:pPr>
        <w:pStyle w:val="FirstParagraph"/>
      </w:pPr>
      <w:r>
        <w:rPr>
          <w:b/>
          <w:bCs/>
        </w:rPr>
        <w:t xml:space="preserve">Benchmarks: borrowed and inverted</w:t>
      </w:r>
    </w:p>
    <w:p>
      <w:pPr>
        <w:pStyle w:val="Compact"/>
        <w:numPr>
          <w:ilvl w:val="0"/>
          <w:numId w:val="1028"/>
        </w:numPr>
      </w:pPr>
      <w:r>
        <w:rPr>
          <w:b/>
          <w:bCs/>
        </w:rPr>
        <w:t xml:space="preserve">From Airbnb:</w:t>
      </w:r>
      <w:r>
        <w:t xml:space="preserve"> </w:t>
      </w:r>
      <w:r>
        <w:t xml:space="preserve">unique supply (films, lessons, products) reaching a global audience.</w:t>
      </w:r>
    </w:p>
    <w:p>
      <w:pPr>
        <w:pStyle w:val="Compact"/>
        <w:numPr>
          <w:ilvl w:val="0"/>
          <w:numId w:val="1028"/>
        </w:numPr>
      </w:pPr>
      <w:r>
        <w:rPr>
          <w:b/>
          <w:bCs/>
        </w:rPr>
        <w:t xml:space="preserve">From Volume I’s DataGuild:</w:t>
      </w:r>
      <w:r>
        <w:t xml:space="preserve"> </w:t>
      </w:r>
      <w:r>
        <w:t xml:space="preserve">consent and royalties for the people whose voices and knowledge train AI.</w:t>
      </w:r>
    </w:p>
    <w:p>
      <w:pPr>
        <w:pStyle w:val="Compact"/>
        <w:numPr>
          <w:ilvl w:val="0"/>
          <w:numId w:val="1028"/>
        </w:numPr>
      </w:pPr>
      <w:r>
        <w:rPr>
          <w:b/>
          <w:bCs/>
        </w:rPr>
        <w:t xml:space="preserve">Links</w:t>
      </w:r>
      <w:r>
        <w:t xml:space="preserve"> </w:t>
      </w:r>
      <w:r>
        <w:t xml:space="preserve">to TutorGrid (local-language lessons) and OfficePilot (local-language voice).</w:t>
      </w:r>
    </w:p>
    <w:p>
      <w:pPr>
        <w:pStyle w:val="Compact"/>
        <w:numPr>
          <w:ilvl w:val="0"/>
          <w:numId w:val="1028"/>
        </w:numPr>
      </w:pPr>
      <w:r>
        <w:rPr>
          <w:b/>
          <w:bCs/>
        </w:rPr>
        <w:t xml:space="preserve">Inverts:</w:t>
      </w:r>
      <w:r>
        <w:t xml:space="preserve"> </w:t>
      </w:r>
      <w:r>
        <w:t xml:space="preserve">voice cloning, a dark arbitrage when done without consent, becomes a source of royalties for voice actors.</w:t>
      </w:r>
    </w:p>
    <w:p>
      <w:pPr>
        <w:pStyle w:val="FirstParagraph"/>
      </w:pPr>
      <w:r>
        <w:rPr>
          <w:b/>
          <w:bCs/>
        </w:rPr>
        <w:t xml:space="preserve">How it works</w:t>
      </w:r>
    </w:p>
    <w:p>
      <w:pPr>
        <w:pStyle w:val="Compact"/>
        <w:numPr>
          <w:ilvl w:val="0"/>
          <w:numId w:val="1029"/>
        </w:numPr>
      </w:pPr>
      <w:r>
        <w:rPr>
          <w:b/>
          <w:bCs/>
        </w:rPr>
        <w:t xml:space="preserve">Rights first.</w:t>
      </w:r>
      <w:r>
        <w:t xml:space="preserve"> </w:t>
      </w:r>
      <w:r>
        <w:t xml:space="preserve">Content owners license language rights, and voice actors license their voices on consent-based, royalty-paying terms.</w:t>
      </w:r>
    </w:p>
    <w:p>
      <w:pPr>
        <w:pStyle w:val="Compact"/>
        <w:numPr>
          <w:ilvl w:val="0"/>
          <w:numId w:val="1029"/>
        </w:numPr>
      </w:pPr>
      <w:r>
        <w:rPr>
          <w:b/>
          <w:bCs/>
        </w:rPr>
        <w:t xml:space="preserve">AI first pass.</w:t>
      </w:r>
      <w:r>
        <w:t xml:space="preserve"> </w:t>
      </w:r>
      <w:r>
        <w:t xml:space="preserve">Transcription, translation and synthetic dubbing in the target language.</w:t>
      </w:r>
    </w:p>
    <w:p>
      <w:pPr>
        <w:pStyle w:val="Compact"/>
        <w:numPr>
          <w:ilvl w:val="0"/>
          <w:numId w:val="1029"/>
        </w:numPr>
      </w:pPr>
      <w:r>
        <w:rPr>
          <w:b/>
          <w:bCs/>
        </w:rPr>
        <w:t xml:space="preserve">Human post-editing.</w:t>
      </w:r>
      <w:r>
        <w:t xml:space="preserve"> </w:t>
      </w:r>
      <w:r>
        <w:t xml:space="preserve">Native-speaker editors fix meaning, idiom and cultural references; directors check performance.</w:t>
      </w:r>
    </w:p>
    <w:p>
      <w:pPr>
        <w:pStyle w:val="Compact"/>
        <w:numPr>
          <w:ilvl w:val="0"/>
          <w:numId w:val="1029"/>
        </w:numPr>
      </w:pPr>
      <w:r>
        <w:rPr>
          <w:b/>
          <w:bCs/>
        </w:rPr>
        <w:t xml:space="preserve">Distribution.</w:t>
      </w:r>
      <w:r>
        <w:t xml:space="preserve"> </w:t>
      </w:r>
      <w:r>
        <w:t xml:space="preserve">Streaming platforms, broadcasters, YouTube channels, schools and e-commerce marketplaces in target markets.</w:t>
      </w:r>
    </w:p>
    <w:p>
      <w:pPr>
        <w:pStyle w:val="Compact"/>
        <w:numPr>
          <w:ilvl w:val="0"/>
          <w:numId w:val="1029"/>
        </w:numPr>
      </w:pPr>
      <w:r>
        <w:rPr>
          <w:b/>
          <w:bCs/>
        </w:rPr>
        <w:t xml:space="preserve">Revenue sharing.</w:t>
      </w:r>
      <w:r>
        <w:t xml:space="preserve"> </w:t>
      </w:r>
      <w:r>
        <w:t xml:space="preserve">Royalties flow to content owners, voice actors and editors per view or sale.</w:t>
      </w:r>
    </w:p>
    <w:p>
      <w:pPr>
        <w:pStyle w:val="Compact"/>
        <w:numPr>
          <w:ilvl w:val="0"/>
          <w:numId w:val="1029"/>
        </w:numPr>
      </w:pPr>
      <w:r>
        <w:rPr>
          <w:b/>
          <w:bCs/>
        </w:rPr>
        <w:t xml:space="preserve">Trade localization.</w:t>
      </w:r>
      <w:r>
        <w:t xml:space="preserve"> </w:t>
      </w:r>
      <w:r>
        <w:t xml:space="preserve">Small firms’ product catalogues and customer service, translated for cross-border trade.</w:t>
      </w:r>
    </w:p>
    <w:p>
      <w:pPr>
        <w:pStyle w:val="FirstParagraph"/>
      </w:pPr>
      <w:r>
        <w:rPr>
          <w:b/>
          <w:bCs/>
        </w:rPr>
        <w:t xml:space="preserve">From spread to moat.</w:t>
      </w:r>
      <w:r>
        <w:t xml:space="preserve"> </w:t>
      </w:r>
      <w:r>
        <w:t xml:space="preserve">When dubbing tools become cheap for everyone, TongueBridge holds the rights catalogue, consented voice library, distribution partnerships and quality reputation.</w:t>
      </w:r>
      <w:r>
        <w:t xml:space="preserve"> </w:t>
      </w:r>
      <w:r>
        <w:rPr>
          <w:b/>
          <w:bCs/>
        </w:rPr>
        <w:t xml:space="preserve">Who shares the spread:</w:t>
      </w:r>
      <w:r>
        <w:t xml:space="preserve"> </w:t>
      </w:r>
      <w:r>
        <w:t xml:space="preserve">content owners, voice actors, editors and translators through royalties.</w:t>
      </w:r>
    </w:p>
    <w:p>
      <w:pPr>
        <w:pStyle w:val="BodyText"/>
      </w:pPr>
      <w:r>
        <w:rPr>
          <w:b/>
          <w:bCs/>
        </w:rPr>
        <w:t xml:space="preserve">System dynamics</w:t>
      </w:r>
    </w:p>
    <w:p>
      <w:pPr>
        <w:pStyle w:val="Compact"/>
        <w:numPr>
          <w:ilvl w:val="0"/>
          <w:numId w:val="1030"/>
        </w:numPr>
      </w:pPr>
      <w:r>
        <w:rPr>
          <w:b/>
          <w:bCs/>
        </w:rPr>
        <w:t xml:space="preserve">R1, the catalogue loop:</w:t>
      </w:r>
      <w:r>
        <w:t xml:space="preserve"> </w:t>
      </w:r>
      <w:r>
        <w:t xml:space="preserve">more titles in more languages → more audiences → more revenue for owners → more titles licensed.</w:t>
      </w:r>
    </w:p>
    <w:p>
      <w:pPr>
        <w:pStyle w:val="Compact"/>
        <w:numPr>
          <w:ilvl w:val="0"/>
          <w:numId w:val="1030"/>
        </w:numPr>
      </w:pPr>
      <w:r>
        <w:rPr>
          <w:b/>
          <w:bCs/>
        </w:rPr>
        <w:t xml:space="preserve">R2, the quality loop:</w:t>
      </w:r>
      <w:r>
        <w:t xml:space="preserve"> </w:t>
      </w:r>
      <w:r>
        <w:t xml:space="preserve">human edits train better models for each language pair.</w:t>
      </w:r>
    </w:p>
    <w:p>
      <w:pPr>
        <w:pStyle w:val="Compact"/>
        <w:numPr>
          <w:ilvl w:val="0"/>
          <w:numId w:val="1030"/>
        </w:numPr>
      </w:pPr>
      <w:r>
        <w:rPr>
          <w:b/>
          <w:bCs/>
        </w:rPr>
        <w:t xml:space="preserve">B1, quality backlash:</w:t>
      </w:r>
      <w:r>
        <w:t xml:space="preserve"> </w:t>
      </w:r>
      <w:r>
        <w:t xml:space="preserve">poor dubbing harms reputation. Human post-editing and quality tiers contain it.</w:t>
      </w:r>
    </w:p>
    <w:p>
      <w:pPr>
        <w:pStyle w:val="Compact"/>
        <w:numPr>
          <w:ilvl w:val="0"/>
          <w:numId w:val="1030"/>
        </w:numPr>
      </w:pPr>
      <w:r>
        <w:rPr>
          <w:b/>
          <w:bCs/>
        </w:rPr>
        <w:t xml:space="preserve">Leverage point:</w:t>
      </w:r>
      <w:r>
        <w:t xml:space="preserve"> </w:t>
      </w:r>
      <w:r>
        <w:t xml:space="preserve">rules (voice and likeness rights).</w:t>
      </w:r>
    </w:p>
    <w:p>
      <w:pPr>
        <w:pStyle w:val="FirstParagraph"/>
      </w:pPr>
      <w:r>
        <w:rPr>
          <w:b/>
          <w:bCs/>
        </w:rPr>
        <w:t xml:space="preserve">Design thinking</w:t>
      </w:r>
    </w:p>
    <w:p>
      <w:pPr>
        <w:pStyle w:val="Compact"/>
        <w:numPr>
          <w:ilvl w:val="0"/>
          <w:numId w:val="1031"/>
        </w:numPr>
      </w:pPr>
      <w:r>
        <w:rPr>
          <w:i/>
          <w:iCs/>
        </w:rPr>
        <w:t xml:space="preserve">Personas:</w:t>
      </w:r>
      <w:r>
        <w:t xml:space="preserve"> </w:t>
      </w:r>
      <w:r>
        <w:rPr>
          <w:b/>
          <w:bCs/>
        </w:rPr>
        <w:t xml:space="preserve">A Nollywood producer</w:t>
      </w:r>
      <w:r>
        <w:t xml:space="preserve"> </w:t>
      </w:r>
      <w:r>
        <w:t xml:space="preserve">with 200 films earning nothing outside Anglophone markets.</w:t>
      </w:r>
      <w:r>
        <w:t xml:space="preserve"> </w:t>
      </w:r>
      <w:r>
        <w:rPr>
          <w:b/>
          <w:bCs/>
        </w:rPr>
        <w:t xml:space="preserve">Fatou</w:t>
      </w:r>
      <w:r>
        <w:t xml:space="preserve">, a viewer in Dakar who would watch them in French.</w:t>
      </w:r>
      <w:r>
        <w:t xml:space="preserve"> </w:t>
      </w:r>
      <w:r>
        <w:rPr>
          <w:b/>
          <w:bCs/>
        </w:rPr>
        <w:t xml:space="preserve">Bisi</w:t>
      </w:r>
      <w:r>
        <w:t xml:space="preserve">, a voice actor worried about being cloned without pay.</w:t>
      </w:r>
    </w:p>
    <w:p>
      <w:pPr>
        <w:pStyle w:val="Compact"/>
        <w:numPr>
          <w:ilvl w:val="0"/>
          <w:numId w:val="1031"/>
        </w:numPr>
      </w:pPr>
      <w:r>
        <w:rPr>
          <w:i/>
          <w:iCs/>
        </w:rPr>
        <w:t xml:space="preserve">How might</w:t>
      </w:r>
      <w:r>
        <w:t xml:space="preserve"> </w:t>
      </w:r>
      <w:r>
        <w:t xml:space="preserve">a story told in Lagos be heard in Kinshasa, Luanda and Dar es Salaam, with every voice paid?</w:t>
      </w:r>
    </w:p>
    <w:p>
      <w:pPr>
        <w:pStyle w:val="Compact"/>
        <w:numPr>
          <w:ilvl w:val="0"/>
          <w:numId w:val="1031"/>
        </w:numPr>
      </w:pPr>
      <w:r>
        <w:rPr>
          <w:i/>
          <w:iCs/>
        </w:rPr>
        <w:t xml:space="preserve">Moment of truth:</w:t>
      </w:r>
      <w:r>
        <w:t xml:space="preserve"> </w:t>
      </w:r>
      <w:r>
        <w:t xml:space="preserve">Bisi receives her first royalty statement for her licensed voice, used in films she never had to record again.</w:t>
      </w:r>
    </w:p>
    <w:p>
      <w:pPr>
        <w:pStyle w:val="FirstParagraph"/>
      </w:pPr>
      <w:r>
        <w:rPr>
          <w:b/>
          <w:bCs/>
        </w:rPr>
        <w:t xml:space="preserve">Business model.</w:t>
      </w:r>
      <w:r>
        <w:t xml:space="preserve"> </w:t>
      </w:r>
      <w:r>
        <w:t xml:space="preserve">Localization fees; revenue share on distribution; voice-library licensing (with royalties to actors); catalogue translation for traders.</w:t>
      </w:r>
    </w:p>
    <w:tbl>
      <w:tblPr>
        <w:tblStyle w:val="Table"/>
        <w:tblW w:w="9360" w:type="dxa"/>
        <w:jc w:val="left"/>
        <w:tblLayout w:type="fixed"/>
        <w:tblLook w:firstRow="1" w:lastRow="0" w:firstColumn="0" w:lastColumn="0" w:noHBand="0" w:noVBand="0" w:val="0020"/>
      </w:tblPr>
      <w:tblGrid>
        <w:gridCol w:w="3365"/>
        <w:gridCol w:w="5995"/>
      </w:tblGrid>
      <w:tr>
        <w:trPr>
          <w:cantSplit/>
          <w:tblHeader w:val="true"/>
        </w:trPr>
        <w:tc>
          <w:tcPr>
            <w:tcW w:w="3365" w:type="dxa"/>
          </w:tcPr>
          <w:p>
            <w:pPr>
              <w:pStyle w:val="TableText"/>
              <w:jc w:val="left"/>
            </w:pPr>
            <w:r>
              <w:t xml:space="preserve">Risk</w:t>
            </w:r>
          </w:p>
        </w:tc>
        <w:tc>
          <w:tcPr>
            <w:tcW w:w="5995" w:type="dxa"/>
          </w:tcPr>
          <w:p>
            <w:pPr>
              <w:pStyle w:val="TableText"/>
              <w:jc w:val="left"/>
            </w:pPr>
            <w:r>
              <w:t xml:space="preserve">Safeguard</w:t>
            </w:r>
          </w:p>
        </w:tc>
      </w:tr>
      <w:tr>
        <w:trPr>
          <w:cantSplit/>
        </w:trPr>
        <w:tc>
          <w:tcPr>
            <w:tcW w:w="3365" w:type="dxa"/>
          </w:tcPr>
          <w:p>
            <w:pPr>
              <w:pStyle w:val="TableText"/>
              <w:jc w:val="left"/>
            </w:pPr>
            <w:r>
              <w:t xml:space="preserve">Voice cloning without consent (dark twin)</w:t>
            </w:r>
          </w:p>
        </w:tc>
        <w:tc>
          <w:tcPr>
            <w:tcW w:w="5995" w:type="dxa"/>
          </w:tcPr>
          <w:p>
            <w:pPr>
              <w:pStyle w:val="TableText"/>
              <w:jc w:val="left"/>
            </w:pPr>
            <w:r>
              <w:t xml:space="preserve">Consent-only voice library; royalties; watermarking and provenance</w:t>
            </w:r>
          </w:p>
        </w:tc>
      </w:tr>
      <w:tr>
        <w:trPr>
          <w:cantSplit/>
        </w:trPr>
        <w:tc>
          <w:tcPr>
            <w:tcW w:w="3365" w:type="dxa"/>
          </w:tcPr>
          <w:p>
            <w:pPr>
              <w:pStyle w:val="TableText"/>
              <w:jc w:val="left"/>
            </w:pPr>
            <w:r>
              <w:t xml:space="preserve">Cultural errors</w:t>
            </w:r>
          </w:p>
        </w:tc>
        <w:tc>
          <w:tcPr>
            <w:tcW w:w="5995" w:type="dxa"/>
          </w:tcPr>
          <w:p>
            <w:pPr>
              <w:pStyle w:val="TableText"/>
              <w:jc w:val="left"/>
            </w:pPr>
            <w:r>
              <w:t xml:space="preserve">Native post-editors; community review</w:t>
            </w:r>
          </w:p>
        </w:tc>
      </w:tr>
      <w:tr>
        <w:trPr>
          <w:cantSplit/>
        </w:trPr>
        <w:tc>
          <w:tcPr>
            <w:tcW w:w="3365" w:type="dxa"/>
          </w:tcPr>
          <w:p>
            <w:pPr>
              <w:pStyle w:val="TableText"/>
              <w:jc w:val="left"/>
            </w:pPr>
            <w:r>
              <w:t xml:space="preserve">Piracy</w:t>
            </w:r>
          </w:p>
        </w:tc>
        <w:tc>
          <w:tcPr>
            <w:tcW w:w="5995" w:type="dxa"/>
          </w:tcPr>
          <w:p>
            <w:pPr>
              <w:pStyle w:val="TableText"/>
              <w:jc w:val="left"/>
            </w:pPr>
            <w:r>
              <w:t xml:space="preserve">Distribution partnerships; watermarking</w:t>
            </w:r>
          </w:p>
        </w:tc>
      </w:tr>
      <w:tr>
        <w:trPr>
          <w:cantSplit/>
        </w:trPr>
        <w:tc>
          <w:tcPr>
            <w:tcW w:w="3365" w:type="dxa"/>
          </w:tcPr>
          <w:p>
            <w:pPr>
              <w:pStyle w:val="TableText"/>
              <w:jc w:val="left"/>
            </w:pPr>
            <w:r>
              <w:t xml:space="preserve">Rights disputes</w:t>
            </w:r>
          </w:p>
        </w:tc>
        <w:tc>
          <w:tcPr>
            <w:tcW w:w="5995" w:type="dxa"/>
          </w:tcPr>
          <w:p>
            <w:pPr>
              <w:pStyle w:val="TableText"/>
              <w:jc w:val="left"/>
            </w:pPr>
            <w:r>
              <w:t xml:space="preserve">Clear contracts; rights registry</w:t>
            </w:r>
          </w:p>
        </w:tc>
      </w:tr>
    </w:tbl>
    <w:p>
      <w:pPr>
        <w:pStyle w:val="BodyText"/>
        <w:spacing w:before="160"/>
      </w:pPr>
      <w:r>
        <w:rPr>
          <w:b/>
          <w:bCs/>
        </w:rPr>
        <w:t xml:space="preserve">First 100 days.</w:t>
      </w:r>
      <w:r>
        <w:t xml:space="preserve"> </w:t>
      </w:r>
      <w:r>
        <w:t xml:space="preserve">Fifty Nollywood titles dubbed into French and Swahili with consenting voice actors; two distribution partners; measure views and revenue.</w:t>
      </w:r>
    </w:p>
    <w:p>
      <w:pPr>
        <w:pStyle w:val="BodyText"/>
      </w:pPr>
      <w:r>
        <w:rPr>
          <w:b/>
          <w:bCs/>
        </w:rPr>
        <w:t xml:space="preserve">Scores.</w:t>
      </w:r>
      <w:r>
        <w:t xml:space="preserve"> </w:t>
      </w:r>
      <w:r>
        <w:t xml:space="preserve">Spread Quality</w:t>
      </w:r>
      <w:r>
        <w:t xml:space="preserve"> </w:t>
      </w:r>
      <w:r>
        <w:rPr>
          <w:b/>
          <w:bCs/>
        </w:rPr>
        <w:t xml:space="preserve">19/25</w:t>
      </w:r>
      <w:r>
        <w:t xml:space="preserve"> </w:t>
      </w:r>
      <w:r>
        <w:t xml:space="preserve">(S4 · H3 · P4 · M4 · F4). Double Decagon</w:t>
      </w:r>
      <w:r>
        <w:t xml:space="preserve"> </w:t>
      </w:r>
      <w:r>
        <w:rPr>
          <w:b/>
          <w:bCs/>
        </w:rPr>
        <w:t xml:space="preserve">80/100</w:t>
      </w:r>
      <w:r>
        <w:t xml:space="preserve">: Inner 43/50 (V1 5 · V2 5 · V3 4 · V4 4 · V5 4 · V6 4 · V7 4 · V8 4 · V9 5 · V10 4); Future-Fitness 37/50 (F1 4 · F2 4 · F3 3 · F4 4 · F5 4 · F6 4 · F7 4 · F8 3 · F9 4 · F10 3).</w:t>
      </w:r>
    </w:p>
    <w:bookmarkEnd w:id="56"/>
    <w:bookmarkStart w:id="57" w:name="X73586802ff27d08e97bc0b5ea63766fc946dd99"/>
    <w:p>
      <w:pPr>
        <w:pStyle w:val="Heading2"/>
      </w:pPr>
      <w:r>
        <w:t xml:space="preserve">Venture 5: OUTCOMEWORKS, AI-augmented service exports priced by results</w:t>
      </w:r>
    </w:p>
    <w:p>
      <w:pPr>
        <w:pStyle w:val="BlockText"/>
      </w:pPr>
      <w:r>
        <w:rPr>
          <w:b/>
          <w:bCs/>
        </w:rPr>
        <w:t xml:space="preserve">Thesis.</w:t>
      </w:r>
      <w:r>
        <w:t xml:space="preserve"> </w:t>
      </w:r>
      <w:r>
        <w:t xml:space="preserve">AI is reshaping the global outsourcing industry. Routine call-centre and back-office work is being automated, while demand grows for AI-augmented teams that deliver</w:t>
      </w:r>
      <w:r>
        <w:t xml:space="preserve"> </w:t>
      </w:r>
      <w:r>
        <w:rPr>
          <w:i/>
          <w:iCs/>
        </w:rPr>
        <w:t xml:space="preserve">outcomes</w:t>
      </w:r>
      <w:r>
        <w:t xml:space="preserve"> </w:t>
      </w:r>
      <w:r>
        <w:t xml:space="preserve">(resolved cases, edited videos, tested software, reconciled accounts) to a guaranteed standard. OutcomeWorks builds those teams in African cities, prices by outcome rather than by hour, and gives workers equity.</w:t>
      </w:r>
    </w:p>
    <w:tbl>
      <w:tblPr>
        <w:tblStyle w:val="Table"/>
        <w:tblW w:w="9360" w:type="dxa"/>
        <w:jc w:val="left"/>
        <w:tblLayout w:type="fixed"/>
        <w:tblLook w:firstRow="1" w:lastRow="0" w:firstColumn="0" w:lastColumn="0" w:noHBand="0" w:noVBand="0" w:val="0020"/>
      </w:tblPr>
      <w:tblGrid>
        <w:gridCol w:w="1601"/>
        <w:gridCol w:w="7759"/>
      </w:tblGrid>
      <w:tr>
        <w:trPr>
          <w:cantSplit/>
          <w:tblHeader w:val="true"/>
        </w:trPr>
        <w:tc>
          <w:tcPr>
            <w:tcW w:w="1601" w:type="dxa"/>
          </w:tcPr>
          <w:p>
            <w:pPr>
              <w:pStyle w:val="TableText"/>
              <w:jc w:val="left"/>
            </w:pPr>
            <w:r>
              <w:t xml:space="preserve">Spread code</w:t>
            </w:r>
          </w:p>
        </w:tc>
        <w:tc>
          <w:tcPr>
            <w:tcW w:w="7759" w:type="dxa"/>
          </w:tcPr>
          <w:p>
            <w:pPr>
              <w:pStyle w:val="TableText"/>
            </w:pPr>
          </w:p>
        </w:tc>
      </w:tr>
      <w:tr>
        <w:trPr>
          <w:cantSplit/>
        </w:trPr>
        <w:tc>
          <w:tcPr>
            <w:tcW w:w="1601" w:type="dxa"/>
          </w:tcPr>
          <w:p>
            <w:pPr>
              <w:pStyle w:val="TableText"/>
              <w:jc w:val="left"/>
            </w:pPr>
            <w:r>
              <w:t xml:space="preserve">Spread</w:t>
            </w:r>
          </w:p>
        </w:tc>
        <w:tc>
          <w:tcPr>
            <w:tcW w:w="7759" w:type="dxa"/>
          </w:tcPr>
          <w:p>
            <w:pPr>
              <w:pStyle w:val="TableText"/>
              <w:jc w:val="left"/>
            </w:pPr>
            <w:r>
              <w:rPr>
                <w:b/>
                <w:bCs/>
              </w:rPr>
              <w:t xml:space="preserve">S5 Labour and skill</w:t>
            </w:r>
          </w:p>
        </w:tc>
      </w:tr>
      <w:tr>
        <w:trPr>
          <w:cantSplit/>
        </w:trPr>
        <w:tc>
          <w:tcPr>
            <w:tcW w:w="1601" w:type="dxa"/>
          </w:tcPr>
          <w:p>
            <w:pPr>
              <w:pStyle w:val="TableText"/>
              <w:jc w:val="left"/>
            </w:pPr>
            <w:r>
              <w:t xml:space="preserve">Value side</w:t>
            </w:r>
          </w:p>
        </w:tc>
        <w:tc>
          <w:tcPr>
            <w:tcW w:w="7759" w:type="dxa"/>
          </w:tcPr>
          <w:p>
            <w:pPr>
              <w:pStyle w:val="TableText"/>
              <w:jc w:val="left"/>
            </w:pPr>
            <w:r>
              <w:t xml:space="preserve">What global clients pay for the outcome</w:t>
            </w:r>
          </w:p>
        </w:tc>
      </w:tr>
      <w:tr>
        <w:trPr>
          <w:cantSplit/>
        </w:trPr>
        <w:tc>
          <w:tcPr>
            <w:tcW w:w="1601" w:type="dxa"/>
          </w:tcPr>
          <w:p>
            <w:pPr>
              <w:pStyle w:val="TableText"/>
              <w:jc w:val="left"/>
            </w:pPr>
            <w:r>
              <w:t xml:space="preserve">Cost side</w:t>
            </w:r>
          </w:p>
        </w:tc>
        <w:tc>
          <w:tcPr>
            <w:tcW w:w="7759" w:type="dxa"/>
          </w:tcPr>
          <w:p>
            <w:pPr>
              <w:pStyle w:val="TableText"/>
              <w:jc w:val="left"/>
            </w:pPr>
            <w:r>
              <w:t xml:space="preserve">Local wages multiplied by AI productivity</w:t>
            </w:r>
          </w:p>
        </w:tc>
      </w:tr>
      <w:tr>
        <w:trPr>
          <w:cantSplit/>
        </w:trPr>
        <w:tc>
          <w:tcPr>
            <w:tcW w:w="1601" w:type="dxa"/>
          </w:tcPr>
          <w:p>
            <w:pPr>
              <w:pStyle w:val="TableText"/>
              <w:jc w:val="left"/>
            </w:pPr>
            <w:r>
              <w:t xml:space="preserve">Main friction</w:t>
            </w:r>
          </w:p>
        </w:tc>
        <w:tc>
          <w:tcPr>
            <w:tcW w:w="7759" w:type="dxa"/>
          </w:tcPr>
          <w:p>
            <w:pPr>
              <w:pStyle w:val="TableText"/>
              <w:jc w:val="left"/>
            </w:pPr>
            <w:r>
              <w:t xml:space="preserve">Trust in quality; time zones; connectivity; payment</w:t>
            </w:r>
          </w:p>
        </w:tc>
      </w:tr>
      <w:tr>
        <w:trPr>
          <w:cantSplit/>
        </w:trPr>
        <w:tc>
          <w:tcPr>
            <w:tcW w:w="1601" w:type="dxa"/>
          </w:tcPr>
          <w:p>
            <w:pPr>
              <w:pStyle w:val="TableText"/>
              <w:jc w:val="left"/>
            </w:pPr>
            <w:r>
              <w:t xml:space="preserve">Half-life</w:t>
            </w:r>
          </w:p>
        </w:tc>
        <w:tc>
          <w:tcPr>
            <w:tcW w:w="7759" w:type="dxa"/>
          </w:tcPr>
          <w:p>
            <w:pPr>
              <w:pStyle w:val="TableText"/>
              <w:jc w:val="left"/>
            </w:pPr>
            <w:r>
              <w:t xml:space="preserve">Short to medium: AI keeps automating the tasks, so the business must keep climbing the value chain</w:t>
            </w:r>
          </w:p>
        </w:tc>
      </w:tr>
      <w:tr>
        <w:trPr>
          <w:cantSplit/>
        </w:trPr>
        <w:tc>
          <w:tcPr>
            <w:tcW w:w="1601" w:type="dxa"/>
          </w:tcPr>
          <w:p>
            <w:pPr>
              <w:pStyle w:val="TableText"/>
              <w:jc w:val="left"/>
            </w:pPr>
            <w:r>
              <w:t xml:space="preserve">Moats</w:t>
            </w:r>
          </w:p>
        </w:tc>
        <w:tc>
          <w:tcPr>
            <w:tcW w:w="7759" w:type="dxa"/>
          </w:tcPr>
          <w:p>
            <w:pPr>
              <w:pStyle w:val="TableText"/>
              <w:jc w:val="left"/>
            </w:pPr>
            <w:r>
              <w:t xml:space="preserve">Outcome guarantees and track record; client relationships; certified talent pipeline (Guildhall); worker ownership</w:t>
            </w:r>
          </w:p>
        </w:tc>
      </w:tr>
      <w:tr>
        <w:trPr>
          <w:cantSplit/>
        </w:trPr>
        <w:tc>
          <w:tcPr>
            <w:tcW w:w="1601" w:type="dxa"/>
          </w:tcPr>
          <w:p>
            <w:pPr>
              <w:pStyle w:val="TableText"/>
              <w:jc w:val="left"/>
            </w:pPr>
            <w:r>
              <w:t xml:space="preserve">Archetype and governance</w:t>
            </w:r>
          </w:p>
        </w:tc>
        <w:tc>
          <w:tcPr>
            <w:tcW w:w="7759" w:type="dxa"/>
          </w:tcPr>
          <w:p>
            <w:pPr>
              <w:pStyle w:val="TableText"/>
              <w:jc w:val="left"/>
            </w:pPr>
            <w:r>
              <w:t xml:space="preserve">A3 skills marketplace + A10 worker cooperative; worker-owned operating company</w:t>
            </w:r>
          </w:p>
        </w:tc>
      </w:tr>
    </w:tbl>
    <w:p>
      <w:pPr>
        <w:pStyle w:val="BodyText"/>
        <w:spacing w:before="160"/>
      </w:pPr>
      <w:r>
        <w:rPr>
          <w:b/>
          <w:bCs/>
        </w:rPr>
        <w:t xml:space="preserve">The gap</w:t>
      </w:r>
    </w:p>
    <w:p>
      <w:pPr>
        <w:pStyle w:val="Compact"/>
        <w:numPr>
          <w:ilvl w:val="0"/>
          <w:numId w:val="1032"/>
        </w:numPr>
      </w:pPr>
      <w:r>
        <w:t xml:space="preserve">The Philippine IT-BPM industry alone employs about 1.9 million people and earned about $40bn in 2025, and most of its firms report adopting AI tools, a sign of how fast the service-export model is changing.</w:t>
      </w:r>
    </w:p>
    <w:p>
      <w:pPr>
        <w:pStyle w:val="Compact"/>
        <w:numPr>
          <w:ilvl w:val="0"/>
          <w:numId w:val="1032"/>
        </w:numPr>
      </w:pPr>
      <w:r>
        <w:t xml:space="preserve">Clients increasingly want outcomes, not hours, because AI makes hours a poor measure of value.</w:t>
      </w:r>
    </w:p>
    <w:p>
      <w:pPr>
        <w:pStyle w:val="Compact"/>
        <w:numPr>
          <w:ilvl w:val="0"/>
          <w:numId w:val="1032"/>
        </w:numPr>
      </w:pPr>
      <w:r>
        <w:t xml:space="preserve">Africa’s young, English- and French-speaking workforce is under-represented in global service exports.</w:t>
      </w:r>
    </w:p>
    <w:p>
      <w:pPr>
        <w:pStyle w:val="FirstParagraph"/>
      </w:pPr>
      <w:r>
        <w:rPr>
          <w:b/>
          <w:bCs/>
        </w:rPr>
        <w:t xml:space="preserve">Benchmarks: borrowed and inverted</w:t>
      </w:r>
    </w:p>
    <w:p>
      <w:pPr>
        <w:pStyle w:val="Compact"/>
        <w:numPr>
          <w:ilvl w:val="0"/>
          <w:numId w:val="1033"/>
        </w:numPr>
      </w:pPr>
      <w:r>
        <w:rPr>
          <w:b/>
          <w:bCs/>
        </w:rPr>
        <w:t xml:space="preserve">From Uber:</w:t>
      </w:r>
      <w:r>
        <w:t xml:space="preserve"> </w:t>
      </w:r>
      <w:r>
        <w:t xml:space="preserve">matching supply to demand in real time, here across time zones.</w:t>
      </w:r>
    </w:p>
    <w:p>
      <w:pPr>
        <w:pStyle w:val="Compact"/>
        <w:numPr>
          <w:ilvl w:val="0"/>
          <w:numId w:val="1033"/>
        </w:numPr>
      </w:pPr>
      <w:r>
        <w:rPr>
          <w:b/>
          <w:bCs/>
        </w:rPr>
        <w:t xml:space="preserve">From Urban Company:</w:t>
      </w:r>
      <w:r>
        <w:t xml:space="preserve"> </w:t>
      </w:r>
      <w:r>
        <w:t xml:space="preserve">standardized quality and guarantees.</w:t>
      </w:r>
    </w:p>
    <w:p>
      <w:pPr>
        <w:pStyle w:val="Compact"/>
        <w:numPr>
          <w:ilvl w:val="0"/>
          <w:numId w:val="1033"/>
        </w:numPr>
      </w:pPr>
      <w:r>
        <w:rPr>
          <w:b/>
          <w:bCs/>
        </w:rPr>
        <w:t xml:space="preserve">Links</w:t>
      </w:r>
      <w:r>
        <w:t xml:space="preserve"> </w:t>
      </w:r>
      <w:r>
        <w:t xml:space="preserve">to Guildhall (training), RemoteHands (moving workers up to robot supervision as tasks automate) and ComputeCoop (affordable AI tools).</w:t>
      </w:r>
    </w:p>
    <w:p>
      <w:pPr>
        <w:pStyle w:val="Compact"/>
        <w:numPr>
          <w:ilvl w:val="0"/>
          <w:numId w:val="1033"/>
        </w:numPr>
      </w:pPr>
      <w:r>
        <w:rPr>
          <w:b/>
          <w:bCs/>
        </w:rPr>
        <w:t xml:space="preserve">Inverts:</w:t>
      </w:r>
      <w:r>
        <w:t xml:space="preserve"> </w:t>
      </w:r>
      <w:r>
        <w:t xml:space="preserve">offshoring arbitrage traditionally kept the wage gap for the firm; OutcomeWorks shares it with workers through equity.</w:t>
      </w:r>
    </w:p>
    <w:p>
      <w:pPr>
        <w:pStyle w:val="FirstParagraph"/>
      </w:pPr>
      <w:r>
        <w:rPr>
          <w:b/>
          <w:bCs/>
        </w:rPr>
        <w:t xml:space="preserve">How it works</w:t>
      </w:r>
    </w:p>
    <w:p>
      <w:pPr>
        <w:pStyle w:val="Compact"/>
        <w:numPr>
          <w:ilvl w:val="0"/>
          <w:numId w:val="1034"/>
        </w:numPr>
      </w:pPr>
      <w:r>
        <w:rPr>
          <w:b/>
          <w:bCs/>
        </w:rPr>
        <w:t xml:space="preserve">Outcome catalogue.</w:t>
      </w:r>
      <w:r>
        <w:t xml:space="preserve"> </w:t>
      </w:r>
      <w:r>
        <w:t xml:space="preserve">Defined, priced outcomes: per resolved support case, per edited video minute, per tested software release, per reconciled ledger.</w:t>
      </w:r>
    </w:p>
    <w:p>
      <w:pPr>
        <w:pStyle w:val="Compact"/>
        <w:numPr>
          <w:ilvl w:val="0"/>
          <w:numId w:val="1034"/>
        </w:numPr>
      </w:pPr>
      <w:r>
        <w:rPr>
          <w:b/>
          <w:bCs/>
        </w:rPr>
        <w:t xml:space="preserve">AI-augmented pods.</w:t>
      </w:r>
      <w:r>
        <w:t xml:space="preserve"> </w:t>
      </w:r>
      <w:r>
        <w:t xml:space="preserve">Small teams use AI tools for drafting, analysis and checking, with human judgement and quality control.</w:t>
      </w:r>
    </w:p>
    <w:p>
      <w:pPr>
        <w:pStyle w:val="Compact"/>
        <w:numPr>
          <w:ilvl w:val="0"/>
          <w:numId w:val="1034"/>
        </w:numPr>
      </w:pPr>
      <w:r>
        <w:rPr>
          <w:b/>
          <w:bCs/>
        </w:rPr>
        <w:t xml:space="preserve">Guarantees.</w:t>
      </w:r>
      <w:r>
        <w:t xml:space="preserve"> </w:t>
      </w:r>
      <w:r>
        <w:t xml:space="preserve">Missed standards are redone free or refunded.</w:t>
      </w:r>
    </w:p>
    <w:p>
      <w:pPr>
        <w:pStyle w:val="Compact"/>
        <w:numPr>
          <w:ilvl w:val="0"/>
          <w:numId w:val="1034"/>
        </w:numPr>
      </w:pPr>
      <w:r>
        <w:rPr>
          <w:b/>
          <w:bCs/>
        </w:rPr>
        <w:t xml:space="preserve">Follow-the-sun delivery.</w:t>
      </w:r>
      <w:r>
        <w:t xml:space="preserve"> </w:t>
      </w:r>
      <w:r>
        <w:t xml:space="preserve">African time zones overlap with European working hours, with handoffs to the Americas.</w:t>
      </w:r>
    </w:p>
    <w:p>
      <w:pPr>
        <w:pStyle w:val="Compact"/>
        <w:numPr>
          <w:ilvl w:val="0"/>
          <w:numId w:val="1034"/>
        </w:numPr>
      </w:pPr>
      <w:r>
        <w:rPr>
          <w:b/>
          <w:bCs/>
        </w:rPr>
        <w:t xml:space="preserve">Career ladder.</w:t>
      </w:r>
      <w:r>
        <w:t xml:space="preserve"> </w:t>
      </w:r>
      <w:r>
        <w:t xml:space="preserve">As tasks automate, workers move up: quality assurance, AI supervision, client management, robot supervision (RemoteHands).</w:t>
      </w:r>
    </w:p>
    <w:p>
      <w:pPr>
        <w:pStyle w:val="Compact"/>
        <w:numPr>
          <w:ilvl w:val="0"/>
          <w:numId w:val="1034"/>
        </w:numPr>
      </w:pPr>
      <w:r>
        <w:rPr>
          <w:b/>
          <w:bCs/>
        </w:rPr>
        <w:t xml:space="preserve">Worker equity.</w:t>
      </w:r>
      <w:r>
        <w:t xml:space="preserve"> </w:t>
      </w:r>
      <w:r>
        <w:t xml:space="preserve">Workers accumulate cooperative shares and profit distributions.</w:t>
      </w:r>
    </w:p>
    <w:p>
      <w:pPr>
        <w:pStyle w:val="FirstParagraph"/>
      </w:pPr>
      <w:r>
        <w:rPr>
          <w:b/>
          <w:bCs/>
        </w:rPr>
        <w:t xml:space="preserve">From spread to moat.</w:t>
      </w:r>
      <w:r>
        <w:t xml:space="preserve"> </w:t>
      </w:r>
      <w:r>
        <w:t xml:space="preserve">As AI erodes the price of routine outcomes, OutcomeWorks keeps its client relationships, guarantee track record, talent pipeline and worker-owners.</w:t>
      </w:r>
      <w:r>
        <w:t xml:space="preserve"> </w:t>
      </w:r>
      <w:r>
        <w:rPr>
          <w:b/>
          <w:bCs/>
        </w:rPr>
        <w:t xml:space="preserve">Who shares the spread:</w:t>
      </w:r>
      <w:r>
        <w:t xml:space="preserve"> </w:t>
      </w:r>
      <w:r>
        <w:t xml:space="preserve">workers through fair wages and equity.</w:t>
      </w:r>
    </w:p>
    <w:p>
      <w:pPr>
        <w:pStyle w:val="BodyText"/>
      </w:pPr>
      <w:r>
        <w:rPr>
          <w:b/>
          <w:bCs/>
        </w:rPr>
        <w:t xml:space="preserve">System dynamics</w:t>
      </w:r>
    </w:p>
    <w:p>
      <w:pPr>
        <w:pStyle w:val="Compact"/>
        <w:numPr>
          <w:ilvl w:val="0"/>
          <w:numId w:val="1035"/>
        </w:numPr>
      </w:pPr>
      <w:r>
        <w:rPr>
          <w:b/>
          <w:bCs/>
        </w:rPr>
        <w:t xml:space="preserve">R1, the reputation loop:</w:t>
      </w:r>
      <w:r>
        <w:t xml:space="preserve"> </w:t>
      </w:r>
      <w:r>
        <w:t xml:space="preserve">outcomes delivered → client trust → more contracts → more trained workers.</w:t>
      </w:r>
    </w:p>
    <w:p>
      <w:pPr>
        <w:pStyle w:val="Compact"/>
        <w:numPr>
          <w:ilvl w:val="0"/>
          <w:numId w:val="1035"/>
        </w:numPr>
      </w:pPr>
      <w:r>
        <w:rPr>
          <w:b/>
          <w:bCs/>
        </w:rPr>
        <w:t xml:space="preserve">B1, automation erosion:</w:t>
      </w:r>
      <w:r>
        <w:t xml:space="preserve"> </w:t>
      </w:r>
      <w:r>
        <w:t xml:space="preserve">AI automates tasks and prices fall. Continuous climbing of the value chain is built into the model (future-fitness test F8).</w:t>
      </w:r>
    </w:p>
    <w:p>
      <w:pPr>
        <w:pStyle w:val="Compact"/>
        <w:numPr>
          <w:ilvl w:val="0"/>
          <w:numId w:val="1035"/>
        </w:numPr>
      </w:pPr>
      <w:r>
        <w:rPr>
          <w:b/>
          <w:bCs/>
        </w:rPr>
        <w:t xml:space="preserve">Leverage point:</w:t>
      </w:r>
      <w:r>
        <w:t xml:space="preserve"> </w:t>
      </w:r>
      <w:r>
        <w:t xml:space="preserve">goals (paying for outcomes, not hours) and ownership.</w:t>
      </w:r>
    </w:p>
    <w:p>
      <w:pPr>
        <w:pStyle w:val="FirstParagraph"/>
      </w:pPr>
      <w:r>
        <w:rPr>
          <w:b/>
          <w:bCs/>
        </w:rPr>
        <w:t xml:space="preserve">Design thinking</w:t>
      </w:r>
    </w:p>
    <w:p>
      <w:pPr>
        <w:pStyle w:val="Compact"/>
        <w:numPr>
          <w:ilvl w:val="0"/>
          <w:numId w:val="1036"/>
        </w:numPr>
      </w:pPr>
      <w:r>
        <w:rPr>
          <w:i/>
          <w:iCs/>
        </w:rPr>
        <w:t xml:space="preserve">Personas:</w:t>
      </w:r>
      <w:r>
        <w:t xml:space="preserve"> </w:t>
      </w:r>
      <w:r>
        <w:rPr>
          <w:b/>
          <w:bCs/>
        </w:rPr>
        <w:t xml:space="preserve">Efosa</w:t>
      </w:r>
      <w:r>
        <w:t xml:space="preserve">, 26, a Benin City graduate who edits video on his phone.</w:t>
      </w:r>
      <w:r>
        <w:t xml:space="preserve"> </w:t>
      </w:r>
      <w:r>
        <w:rPr>
          <w:b/>
          <w:bCs/>
        </w:rPr>
        <w:t xml:space="preserve">A European e-commerce firm</w:t>
      </w:r>
      <w:r>
        <w:t xml:space="preserve"> </w:t>
      </w:r>
      <w:r>
        <w:t xml:space="preserve">that needs 10,000 product descriptions checked a week.</w:t>
      </w:r>
      <w:r>
        <w:t xml:space="preserve"> </w:t>
      </w:r>
      <w:r>
        <w:rPr>
          <w:b/>
          <w:bCs/>
        </w:rPr>
        <w:t xml:space="preserve">A Nairobi team lead</w:t>
      </w:r>
      <w:r>
        <w:t xml:space="preserve"> </w:t>
      </w:r>
      <w:r>
        <w:t xml:space="preserve">who wants her team to share in the profits it creates.</w:t>
      </w:r>
    </w:p>
    <w:p>
      <w:pPr>
        <w:pStyle w:val="Compact"/>
        <w:numPr>
          <w:ilvl w:val="0"/>
          <w:numId w:val="1036"/>
        </w:numPr>
      </w:pPr>
      <w:r>
        <w:rPr>
          <w:i/>
          <w:iCs/>
        </w:rPr>
        <w:t xml:space="preserve">How might</w:t>
      </w:r>
      <w:r>
        <w:t xml:space="preserve"> </w:t>
      </w:r>
      <w:r>
        <w:t xml:space="preserve">African teams sell outcomes to the world, and own a share of the firms they build?</w:t>
      </w:r>
    </w:p>
    <w:p>
      <w:pPr>
        <w:pStyle w:val="Compact"/>
        <w:numPr>
          <w:ilvl w:val="0"/>
          <w:numId w:val="1036"/>
        </w:numPr>
      </w:pPr>
      <w:r>
        <w:rPr>
          <w:i/>
          <w:iCs/>
        </w:rPr>
        <w:t xml:space="preserve">Moment of truth:</w:t>
      </w:r>
      <w:r>
        <w:t xml:space="preserve"> </w:t>
      </w:r>
      <w:r>
        <w:t xml:space="preserve">Efosa’s team hits its quality target for a full quarter, and his first profit share arrives.</w:t>
      </w:r>
    </w:p>
    <w:p>
      <w:pPr>
        <w:pStyle w:val="FirstParagraph"/>
      </w:pPr>
      <w:r>
        <w:rPr>
          <w:b/>
          <w:bCs/>
        </w:rPr>
        <w:t xml:space="preserve">Business model.</w:t>
      </w:r>
      <w:r>
        <w:t xml:space="preserve"> </w:t>
      </w:r>
      <w:r>
        <w:t xml:space="preserve">Per-outcome pricing with guarantees; managed-team retainers; training partnerships. Platform share of at most 25%; remainder to workers; profit distributions to worker-owners.</w:t>
      </w:r>
    </w:p>
    <w:tbl>
      <w:tblPr>
        <w:tblStyle w:val="Table"/>
        <w:tblW w:w="9360" w:type="dxa"/>
        <w:jc w:val="left"/>
        <w:tblLayout w:type="fixed"/>
        <w:tblLook w:firstRow="1" w:lastRow="0" w:firstColumn="0" w:lastColumn="0" w:noHBand="0" w:noVBand="0" w:val="0020"/>
      </w:tblPr>
      <w:tblGrid>
        <w:gridCol w:w="3538"/>
        <w:gridCol w:w="5822"/>
      </w:tblGrid>
      <w:tr>
        <w:trPr>
          <w:cantSplit/>
          <w:tblHeader w:val="true"/>
        </w:trPr>
        <w:tc>
          <w:tcPr>
            <w:tcW w:w="3538" w:type="dxa"/>
          </w:tcPr>
          <w:p>
            <w:pPr>
              <w:pStyle w:val="TableText"/>
              <w:jc w:val="left"/>
            </w:pPr>
            <w:r>
              <w:t xml:space="preserve">Risk</w:t>
            </w:r>
          </w:p>
        </w:tc>
        <w:tc>
          <w:tcPr>
            <w:tcW w:w="5822" w:type="dxa"/>
          </w:tcPr>
          <w:p>
            <w:pPr>
              <w:pStyle w:val="TableText"/>
              <w:jc w:val="left"/>
            </w:pPr>
            <w:r>
              <w:t xml:space="preserve">Safeguard</w:t>
            </w:r>
          </w:p>
        </w:tc>
      </w:tr>
      <w:tr>
        <w:trPr>
          <w:cantSplit/>
        </w:trPr>
        <w:tc>
          <w:tcPr>
            <w:tcW w:w="3538" w:type="dxa"/>
          </w:tcPr>
          <w:p>
            <w:pPr>
              <w:pStyle w:val="TableText"/>
              <w:jc w:val="left"/>
            </w:pPr>
            <w:r>
              <w:t xml:space="preserve">Ghost-work wage dumping (dark twin)</w:t>
            </w:r>
          </w:p>
        </w:tc>
        <w:tc>
          <w:tcPr>
            <w:tcW w:w="5822" w:type="dxa"/>
          </w:tcPr>
          <w:p>
            <w:pPr>
              <w:pStyle w:val="TableText"/>
              <w:jc w:val="left"/>
            </w:pPr>
            <w:r>
              <w:t xml:space="preserve">Wage floors; fair-work standards; worker ownership</w:t>
            </w:r>
          </w:p>
        </w:tc>
      </w:tr>
      <w:tr>
        <w:trPr>
          <w:cantSplit/>
        </w:trPr>
        <w:tc>
          <w:tcPr>
            <w:tcW w:w="3538" w:type="dxa"/>
          </w:tcPr>
          <w:p>
            <w:pPr>
              <w:pStyle w:val="TableText"/>
              <w:jc w:val="left"/>
            </w:pPr>
            <w:r>
              <w:t xml:space="preserve">Quality failures</w:t>
            </w:r>
          </w:p>
        </w:tc>
        <w:tc>
          <w:tcPr>
            <w:tcW w:w="5822" w:type="dxa"/>
          </w:tcPr>
          <w:p>
            <w:pPr>
              <w:pStyle w:val="TableText"/>
              <w:jc w:val="left"/>
            </w:pPr>
            <w:r>
              <w:t xml:space="preserve">Guarantees; quality-assurance layers</w:t>
            </w:r>
          </w:p>
        </w:tc>
      </w:tr>
      <w:tr>
        <w:trPr>
          <w:cantSplit/>
        </w:trPr>
        <w:tc>
          <w:tcPr>
            <w:tcW w:w="3538" w:type="dxa"/>
          </w:tcPr>
          <w:p>
            <w:pPr>
              <w:pStyle w:val="TableText"/>
              <w:jc w:val="left"/>
            </w:pPr>
            <w:r>
              <w:t xml:space="preserve">Rapid automation of tasks</w:t>
            </w:r>
          </w:p>
        </w:tc>
        <w:tc>
          <w:tcPr>
            <w:tcW w:w="5822" w:type="dxa"/>
          </w:tcPr>
          <w:p>
            <w:pPr>
              <w:pStyle w:val="TableText"/>
              <w:jc w:val="left"/>
            </w:pPr>
            <w:r>
              <w:t xml:space="preserve">Built-in climbing of the value chain; training budget</w:t>
            </w:r>
          </w:p>
        </w:tc>
      </w:tr>
      <w:tr>
        <w:trPr>
          <w:cantSplit/>
        </w:trPr>
        <w:tc>
          <w:tcPr>
            <w:tcW w:w="3538" w:type="dxa"/>
          </w:tcPr>
          <w:p>
            <w:pPr>
              <w:pStyle w:val="TableText"/>
              <w:jc w:val="left"/>
            </w:pPr>
            <w:r>
              <w:t xml:space="preserve">Connectivity and power</w:t>
            </w:r>
          </w:p>
        </w:tc>
        <w:tc>
          <w:tcPr>
            <w:tcW w:w="5822" w:type="dxa"/>
          </w:tcPr>
          <w:p>
            <w:pPr>
              <w:pStyle w:val="TableText"/>
              <w:jc w:val="left"/>
            </w:pPr>
            <w:r>
              <w:t xml:space="preserve">Hubs with backup power (SecondCell, StrandedWatts)</w:t>
            </w:r>
          </w:p>
        </w:tc>
      </w:tr>
    </w:tbl>
    <w:p>
      <w:pPr>
        <w:pStyle w:val="BodyText"/>
        <w:spacing w:before="160"/>
      </w:pPr>
      <w:r>
        <w:rPr>
          <w:b/>
          <w:bCs/>
        </w:rPr>
        <w:t xml:space="preserve">First 100 days.</w:t>
      </w:r>
      <w:r>
        <w:t xml:space="preserve"> </w:t>
      </w:r>
      <w:r>
        <w:t xml:space="preserve">Three pods in Lagos, Nairobi and Kigali; two outcome lines (customer-support resolution and content quality assurance); five international clients.</w:t>
      </w:r>
    </w:p>
    <w:p>
      <w:pPr>
        <w:pStyle w:val="BodyText"/>
      </w:pPr>
      <w:r>
        <w:rPr>
          <w:b/>
          <w:bCs/>
        </w:rPr>
        <w:t xml:space="preserve">Scores.</w:t>
      </w:r>
      <w:r>
        <w:t xml:space="preserve"> </w:t>
      </w:r>
      <w:r>
        <w:t xml:space="preserve">Spread Quality</w:t>
      </w:r>
      <w:r>
        <w:t xml:space="preserve"> </w:t>
      </w:r>
      <w:r>
        <w:rPr>
          <w:b/>
          <w:bCs/>
        </w:rPr>
        <w:t xml:space="preserve">18/25</w:t>
      </w:r>
      <w:r>
        <w:t xml:space="preserve"> </w:t>
      </w:r>
      <w:r>
        <w:t xml:space="preserve">(S5 · H2 · P4 · M3 · F4). Double Decagon</w:t>
      </w:r>
      <w:r>
        <w:t xml:space="preserve"> </w:t>
      </w:r>
      <w:r>
        <w:rPr>
          <w:b/>
          <w:bCs/>
        </w:rPr>
        <w:t xml:space="preserve">79/100</w:t>
      </w:r>
      <w:r>
        <w:t xml:space="preserve">: Inner 41/50 (V1 5 · V2 4 · V3 4 · V4 4 · V5 5 · V6 5 · V7 3 · V8 4 · V9 4 · V10 3); Future-Fitness 38/50 (F1 4 · F2 3 · F3 3 · F4 4 · F5 4 · F6 3 · F7 5 · F8 4 · F9 4 · F10 4).</w:t>
      </w:r>
    </w:p>
    <w:bookmarkEnd w:id="57"/>
    <w:bookmarkStart w:id="58" w:name="X591ec747999d46f11e1121bb4ffafe9dd52f0cd"/>
    <w:p>
      <w:pPr>
        <w:pStyle w:val="Heading2"/>
      </w:pPr>
      <w:r>
        <w:t xml:space="preserve">Venture 6: SCANBRIDGE, specialist judgement where there are no specialists</w:t>
      </w:r>
    </w:p>
    <w:p>
      <w:pPr>
        <w:pStyle w:val="BlockText"/>
      </w:pPr>
      <w:r>
        <w:rPr>
          <w:b/>
          <w:bCs/>
        </w:rPr>
        <w:t xml:space="preserve">Thesis.</w:t>
      </w:r>
      <w:r>
        <w:t xml:space="preserve"> </w:t>
      </w:r>
      <w:r>
        <w:t xml:space="preserve">Sub-Saharan Africa has about two radiologists per million people, against about 93 in high-income countries. AI can now pre-read X-rays, ultrasounds, ECGs and pathology slides, flag urgent cases and draft reports. Specialists are still needed to confirm. ScanBridge pairs AI triage with a network of licensed specialists, including African specialists in the diaspora, who sign off remotely. Diagnosis reaches district hospitals in hours instead of weeks.</w:t>
      </w:r>
    </w:p>
    <w:tbl>
      <w:tblPr>
        <w:tblStyle w:val="Table"/>
        <w:tblW w:w="9360" w:type="dxa"/>
        <w:jc w:val="left"/>
        <w:tblLayout w:type="fixed"/>
        <w:tblLook w:firstRow="1" w:lastRow="0" w:firstColumn="0" w:lastColumn="0" w:noHBand="0" w:noVBand="0" w:val="0020"/>
      </w:tblPr>
      <w:tblGrid>
        <w:gridCol w:w="1601"/>
        <w:gridCol w:w="7759"/>
      </w:tblGrid>
      <w:tr>
        <w:trPr>
          <w:cantSplit/>
          <w:tblHeader w:val="true"/>
        </w:trPr>
        <w:tc>
          <w:tcPr>
            <w:tcW w:w="1601" w:type="dxa"/>
          </w:tcPr>
          <w:p>
            <w:pPr>
              <w:pStyle w:val="TableText"/>
              <w:jc w:val="left"/>
            </w:pPr>
            <w:r>
              <w:t xml:space="preserve">Spread code</w:t>
            </w:r>
          </w:p>
        </w:tc>
        <w:tc>
          <w:tcPr>
            <w:tcW w:w="7759" w:type="dxa"/>
          </w:tcPr>
          <w:p>
            <w:pPr>
              <w:pStyle w:val="TableText"/>
            </w:pPr>
          </w:p>
        </w:tc>
      </w:tr>
      <w:tr>
        <w:trPr>
          <w:cantSplit/>
        </w:trPr>
        <w:tc>
          <w:tcPr>
            <w:tcW w:w="1601" w:type="dxa"/>
          </w:tcPr>
          <w:p>
            <w:pPr>
              <w:pStyle w:val="TableText"/>
              <w:jc w:val="left"/>
            </w:pPr>
            <w:r>
              <w:t xml:space="preserve">Spread</w:t>
            </w:r>
          </w:p>
        </w:tc>
        <w:tc>
          <w:tcPr>
            <w:tcW w:w="7759" w:type="dxa"/>
          </w:tcPr>
          <w:p>
            <w:pPr>
              <w:pStyle w:val="TableText"/>
              <w:jc w:val="left"/>
            </w:pPr>
            <w:r>
              <w:rPr>
                <w:b/>
                <w:bCs/>
              </w:rPr>
              <w:t xml:space="preserve">S6 Expertise</w:t>
            </w:r>
          </w:p>
        </w:tc>
      </w:tr>
      <w:tr>
        <w:trPr>
          <w:cantSplit/>
        </w:trPr>
        <w:tc>
          <w:tcPr>
            <w:tcW w:w="1601" w:type="dxa"/>
          </w:tcPr>
          <w:p>
            <w:pPr>
              <w:pStyle w:val="TableText"/>
              <w:jc w:val="left"/>
            </w:pPr>
            <w:r>
              <w:t xml:space="preserve">Value side</w:t>
            </w:r>
          </w:p>
        </w:tc>
        <w:tc>
          <w:tcPr>
            <w:tcW w:w="7759" w:type="dxa"/>
          </w:tcPr>
          <w:p>
            <w:pPr>
              <w:pStyle w:val="TableText"/>
              <w:jc w:val="left"/>
            </w:pPr>
            <w:r>
              <w:t xml:space="preserve">Timely diagnosis; avoided transfers; lives and costs saved</w:t>
            </w:r>
          </w:p>
        </w:tc>
      </w:tr>
      <w:tr>
        <w:trPr>
          <w:cantSplit/>
        </w:trPr>
        <w:tc>
          <w:tcPr>
            <w:tcW w:w="1601" w:type="dxa"/>
          </w:tcPr>
          <w:p>
            <w:pPr>
              <w:pStyle w:val="TableText"/>
              <w:jc w:val="left"/>
            </w:pPr>
            <w:r>
              <w:t xml:space="preserve">Cost side</w:t>
            </w:r>
          </w:p>
        </w:tc>
        <w:tc>
          <w:tcPr>
            <w:tcW w:w="7759" w:type="dxa"/>
          </w:tcPr>
          <w:p>
            <w:pPr>
              <w:pStyle w:val="TableText"/>
              <w:jc w:val="left"/>
            </w:pPr>
            <w:r>
              <w:t xml:space="preserve">AI pre-reading plus minutes of specialist time per case</w:t>
            </w:r>
          </w:p>
        </w:tc>
      </w:tr>
      <w:tr>
        <w:trPr>
          <w:cantSplit/>
        </w:trPr>
        <w:tc>
          <w:tcPr>
            <w:tcW w:w="1601" w:type="dxa"/>
          </w:tcPr>
          <w:p>
            <w:pPr>
              <w:pStyle w:val="TableText"/>
              <w:jc w:val="left"/>
            </w:pPr>
            <w:r>
              <w:t xml:space="preserve">Main friction</w:t>
            </w:r>
          </w:p>
        </w:tc>
        <w:tc>
          <w:tcPr>
            <w:tcW w:w="7759" w:type="dxa"/>
          </w:tcPr>
          <w:p>
            <w:pPr>
              <w:pStyle w:val="TableText"/>
              <w:jc w:val="left"/>
            </w:pPr>
            <w:r>
              <w:t xml:space="preserve">Regulatory approval; liability; image quality; connectivity</w:t>
            </w:r>
          </w:p>
        </w:tc>
      </w:tr>
      <w:tr>
        <w:trPr>
          <w:cantSplit/>
        </w:trPr>
        <w:tc>
          <w:tcPr>
            <w:tcW w:w="1601" w:type="dxa"/>
          </w:tcPr>
          <w:p>
            <w:pPr>
              <w:pStyle w:val="TableText"/>
              <w:jc w:val="left"/>
            </w:pPr>
            <w:r>
              <w:t xml:space="preserve">Half-life</w:t>
            </w:r>
          </w:p>
        </w:tc>
        <w:tc>
          <w:tcPr>
            <w:tcW w:w="7759" w:type="dxa"/>
          </w:tcPr>
          <w:p>
            <w:pPr>
              <w:pStyle w:val="TableText"/>
              <w:jc w:val="left"/>
            </w:pPr>
            <w:r>
              <w:t xml:space="preserve">Long: specialist scarcity will persist for decades</w:t>
            </w:r>
          </w:p>
        </w:tc>
      </w:tr>
      <w:tr>
        <w:trPr>
          <w:cantSplit/>
        </w:trPr>
        <w:tc>
          <w:tcPr>
            <w:tcW w:w="1601" w:type="dxa"/>
          </w:tcPr>
          <w:p>
            <w:pPr>
              <w:pStyle w:val="TableText"/>
              <w:jc w:val="left"/>
            </w:pPr>
            <w:r>
              <w:t xml:space="preserve">Moats</w:t>
            </w:r>
          </w:p>
        </w:tc>
        <w:tc>
          <w:tcPr>
            <w:tcW w:w="7759" w:type="dxa"/>
          </w:tcPr>
          <w:p>
            <w:pPr>
              <w:pStyle w:val="TableText"/>
              <w:jc w:val="left"/>
            </w:pPr>
            <w:r>
              <w:t xml:space="preserve">Clinical validation and approvals; hospital network; diaspora specialist network; verified outcome data</w:t>
            </w:r>
          </w:p>
        </w:tc>
      </w:tr>
      <w:tr>
        <w:trPr>
          <w:cantSplit/>
        </w:trPr>
        <w:tc>
          <w:tcPr>
            <w:tcW w:w="1601" w:type="dxa"/>
          </w:tcPr>
          <w:p>
            <w:pPr>
              <w:pStyle w:val="TableText"/>
              <w:jc w:val="left"/>
            </w:pPr>
            <w:r>
              <w:t xml:space="preserve">Archetype and governance</w:t>
            </w:r>
          </w:p>
        </w:tc>
        <w:tc>
          <w:tcPr>
            <w:tcW w:w="7759" w:type="dxa"/>
          </w:tcPr>
          <w:p>
            <w:pPr>
              <w:pStyle w:val="TableText"/>
              <w:jc w:val="left"/>
            </w:pPr>
            <w:r>
              <w:t xml:space="preserve">A1 dispatch (cases to specialists) + A3 skills marketplace; steward-owned, with clinicians on the governance board</w:t>
            </w:r>
          </w:p>
        </w:tc>
      </w:tr>
    </w:tbl>
    <w:p>
      <w:pPr>
        <w:pStyle w:val="BodyText"/>
        <w:spacing w:before="160"/>
      </w:pPr>
      <w:r>
        <w:rPr>
          <w:b/>
          <w:bCs/>
        </w:rPr>
        <w:t xml:space="preserve">The gap</w:t>
      </w:r>
    </w:p>
    <w:p>
      <w:pPr>
        <w:pStyle w:val="Compact"/>
        <w:numPr>
          <w:ilvl w:val="0"/>
          <w:numId w:val="1037"/>
        </w:numPr>
      </w:pPr>
      <w:r>
        <w:t xml:space="preserve">IAEA data cited in 2024 show about 2 radiologists per million people in sub-Saharan Africa versus about 93 in high-income countries.</w:t>
      </w:r>
    </w:p>
    <w:p>
      <w:pPr>
        <w:pStyle w:val="Compact"/>
        <w:numPr>
          <w:ilvl w:val="0"/>
          <w:numId w:val="1037"/>
        </w:numPr>
      </w:pPr>
      <w:r>
        <w:t xml:space="preserve">Nigeria is estimated to have about 250–300 radiologists for more than 200 million people, roughly one per 600,000. Some sub-Saharan countries have none.</w:t>
      </w:r>
    </w:p>
    <w:p>
      <w:pPr>
        <w:pStyle w:val="Compact"/>
        <w:numPr>
          <w:ilvl w:val="0"/>
          <w:numId w:val="1037"/>
        </w:numPr>
      </w:pPr>
      <w:r>
        <w:t xml:space="preserve">Thousands of Nigerian and other African doctors work abroad, many willing to serve home systems remotely.</w:t>
      </w:r>
    </w:p>
    <w:p>
      <w:pPr>
        <w:pStyle w:val="FirstParagraph"/>
      </w:pPr>
      <w:r>
        <w:rPr>
          <w:b/>
          <w:bCs/>
        </w:rPr>
        <w:t xml:space="preserve">Benchmarks: borrowed and inverted</w:t>
      </w:r>
    </w:p>
    <w:p>
      <w:pPr>
        <w:pStyle w:val="Compact"/>
        <w:numPr>
          <w:ilvl w:val="0"/>
          <w:numId w:val="1038"/>
        </w:numPr>
      </w:pPr>
      <w:r>
        <w:rPr>
          <w:b/>
          <w:bCs/>
        </w:rPr>
        <w:t xml:space="preserve">From Uber:</w:t>
      </w:r>
      <w:r>
        <w:t xml:space="preserve"> </w:t>
      </w:r>
      <w:r>
        <w:t xml:space="preserve">dispatch of each case to the nearest</w:t>
      </w:r>
      <w:r>
        <w:t xml:space="preserve"> </w:t>
      </w:r>
      <w:r>
        <w:rPr>
          <w:i/>
          <w:iCs/>
        </w:rPr>
        <w:t xml:space="preserve">available, qualified</w:t>
      </w:r>
      <w:r>
        <w:t xml:space="preserve"> </w:t>
      </w:r>
      <w:r>
        <w:t xml:space="preserve">specialist, wherever they are.</w:t>
      </w:r>
    </w:p>
    <w:p>
      <w:pPr>
        <w:pStyle w:val="Compact"/>
        <w:numPr>
          <w:ilvl w:val="0"/>
          <w:numId w:val="1038"/>
        </w:numPr>
      </w:pPr>
      <w:r>
        <w:rPr>
          <w:b/>
          <w:bCs/>
        </w:rPr>
        <w:t xml:space="preserve">From Airbnb:</w:t>
      </w:r>
      <w:r>
        <w:t xml:space="preserve"> </w:t>
      </w:r>
      <w:r>
        <w:t xml:space="preserve">verified profiles and quality reviews, here for specialists.</w:t>
      </w:r>
    </w:p>
    <w:p>
      <w:pPr>
        <w:pStyle w:val="Compact"/>
        <w:numPr>
          <w:ilvl w:val="0"/>
          <w:numId w:val="1038"/>
        </w:numPr>
      </w:pPr>
      <w:r>
        <w:rPr>
          <w:b/>
          <w:bCs/>
        </w:rPr>
        <w:t xml:space="preserve">Links</w:t>
      </w:r>
      <w:r>
        <w:t xml:space="preserve"> </w:t>
      </w:r>
      <w:r>
        <w:t xml:space="preserve">to SurgeNet (surge capacity in outbreaks), GroundTruth (verified records) and SecondCell (power for imaging).</w:t>
      </w:r>
    </w:p>
    <w:p>
      <w:pPr>
        <w:pStyle w:val="Compact"/>
        <w:numPr>
          <w:ilvl w:val="0"/>
          <w:numId w:val="1038"/>
        </w:numPr>
      </w:pPr>
      <w:r>
        <w:rPr>
          <w:b/>
          <w:bCs/>
        </w:rPr>
        <w:t xml:space="preserve">Inverts:</w:t>
      </w:r>
      <w:r>
        <w:t xml:space="preserve"> </w:t>
      </w:r>
      <w:r>
        <w:t xml:space="preserve">brain drain becomes</w:t>
      </w:r>
      <w:r>
        <w:t xml:space="preserve"> </w:t>
      </w:r>
      <w:r>
        <w:t xml:space="preserve">“</w:t>
      </w:r>
      <w:r>
        <w:t xml:space="preserve">brain circulation</w:t>
      </w:r>
      <w:r>
        <w:t xml:space="preserve">”</w:t>
      </w:r>
      <w:r>
        <w:t xml:space="preserve">: diaspora specialists serve home hospitals without relocating.</w:t>
      </w:r>
    </w:p>
    <w:p>
      <w:pPr>
        <w:pStyle w:val="FirstParagraph"/>
      </w:pPr>
      <w:r>
        <w:rPr>
          <w:b/>
          <w:bCs/>
        </w:rPr>
        <w:t xml:space="preserve">How it works</w:t>
      </w:r>
    </w:p>
    <w:p>
      <w:pPr>
        <w:pStyle w:val="Compact"/>
        <w:numPr>
          <w:ilvl w:val="0"/>
          <w:numId w:val="1039"/>
        </w:numPr>
      </w:pPr>
      <w:r>
        <w:rPr>
          <w:b/>
          <w:bCs/>
        </w:rPr>
        <w:t xml:space="preserve">Capture.</w:t>
      </w:r>
      <w:r>
        <w:t xml:space="preserve"> </w:t>
      </w:r>
      <w:r>
        <w:t xml:space="preserve">District hospitals upload images and tracings from existing machines; low-cost devices are added where needed.</w:t>
      </w:r>
    </w:p>
    <w:p>
      <w:pPr>
        <w:pStyle w:val="Compact"/>
        <w:numPr>
          <w:ilvl w:val="0"/>
          <w:numId w:val="1039"/>
        </w:numPr>
      </w:pPr>
      <w:r>
        <w:rPr>
          <w:b/>
          <w:bCs/>
        </w:rPr>
        <w:t xml:space="preserve">AI pre-read.</w:t>
      </w:r>
      <w:r>
        <w:t xml:space="preserve"> </w:t>
      </w:r>
      <w:r>
        <w:t xml:space="preserve">Validated algorithms flag urgent findings (for example, suspected tuberculosis or fractures), prioritize the queue and draft structured reports.</w:t>
      </w:r>
    </w:p>
    <w:p>
      <w:pPr>
        <w:pStyle w:val="Compact"/>
        <w:numPr>
          <w:ilvl w:val="0"/>
          <w:numId w:val="1039"/>
        </w:numPr>
      </w:pPr>
      <w:r>
        <w:rPr>
          <w:b/>
          <w:bCs/>
        </w:rPr>
        <w:t xml:space="preserve">Specialist sign-off.</w:t>
      </w:r>
      <w:r>
        <w:t xml:space="preserve"> </w:t>
      </w:r>
      <w:r>
        <w:t xml:space="preserve">Cases are dispatched to licensed specialists by urgency, specialty and licensing jurisdiction. Every report carries a named, accountable clinician.</w:t>
      </w:r>
    </w:p>
    <w:p>
      <w:pPr>
        <w:pStyle w:val="Compact"/>
        <w:numPr>
          <w:ilvl w:val="0"/>
          <w:numId w:val="1039"/>
        </w:numPr>
      </w:pPr>
      <w:r>
        <w:rPr>
          <w:b/>
          <w:bCs/>
        </w:rPr>
        <w:t xml:space="preserve">Feedback.</w:t>
      </w:r>
      <w:r>
        <w:t xml:space="preserve"> </w:t>
      </w:r>
      <w:r>
        <w:t xml:space="preserve">Outcomes are tracked to audit both AI and specialist accuracy.</w:t>
      </w:r>
    </w:p>
    <w:p>
      <w:pPr>
        <w:pStyle w:val="Compact"/>
        <w:numPr>
          <w:ilvl w:val="0"/>
          <w:numId w:val="1039"/>
        </w:numPr>
      </w:pPr>
      <w:r>
        <w:rPr>
          <w:b/>
          <w:bCs/>
        </w:rPr>
        <w:t xml:space="preserve">Training.</w:t>
      </w:r>
      <w:r>
        <w:t xml:space="preserve"> </w:t>
      </w:r>
      <w:r>
        <w:t xml:space="preserve">Local clinicians receive feedback and training, raising local capacity over time.</w:t>
      </w:r>
    </w:p>
    <w:p>
      <w:pPr>
        <w:pStyle w:val="Compact"/>
        <w:numPr>
          <w:ilvl w:val="0"/>
          <w:numId w:val="1039"/>
        </w:numPr>
      </w:pPr>
      <w:r>
        <w:rPr>
          <w:b/>
          <w:bCs/>
        </w:rPr>
        <w:t xml:space="preserve">Payment.</w:t>
      </w:r>
      <w:r>
        <w:t xml:space="preserve"> </w:t>
      </w:r>
      <w:r>
        <w:t xml:space="preserve">Per-read fees paid by hospitals, insurers and health programmes, scaled to ability to pay.</w:t>
      </w:r>
    </w:p>
    <w:p>
      <w:pPr>
        <w:pStyle w:val="FirstParagraph"/>
      </w:pPr>
      <w:r>
        <w:rPr>
          <w:b/>
          <w:bCs/>
        </w:rPr>
        <w:t xml:space="preserve">From spread to moat.</w:t>
      </w:r>
      <w:r>
        <w:t xml:space="preserve"> </w:t>
      </w:r>
      <w:r>
        <w:t xml:space="preserve">As AI reading improves everywhere, ScanBridge keeps its approvals, clinical evidence, hospital network and specialist network.</w:t>
      </w:r>
      <w:r>
        <w:t xml:space="preserve"> </w:t>
      </w:r>
      <w:r>
        <w:rPr>
          <w:b/>
          <w:bCs/>
        </w:rPr>
        <w:t xml:space="preserve">Who shares the spread:</w:t>
      </w:r>
      <w:r>
        <w:t xml:space="preserve"> </w:t>
      </w:r>
      <w:r>
        <w:t xml:space="preserve">patients (faster, cheaper diagnosis), specialists (paid remote work) and local clinicians (training).</w:t>
      </w:r>
    </w:p>
    <w:p>
      <w:pPr>
        <w:pStyle w:val="BodyText"/>
      </w:pPr>
      <w:r>
        <w:rPr>
          <w:b/>
          <w:bCs/>
        </w:rPr>
        <w:t xml:space="preserve">System dynamics</w:t>
      </w:r>
    </w:p>
    <w:p>
      <w:pPr>
        <w:pStyle w:val="Compact"/>
        <w:numPr>
          <w:ilvl w:val="0"/>
          <w:numId w:val="1040"/>
        </w:numPr>
      </w:pPr>
      <w:r>
        <w:rPr>
          <w:b/>
          <w:bCs/>
        </w:rPr>
        <w:t xml:space="preserve">R1, the network loop:</w:t>
      </w:r>
      <w:r>
        <w:t xml:space="preserve"> </w:t>
      </w:r>
      <w:r>
        <w:t xml:space="preserve">more hospitals → more cases → more specialists join → faster turnaround → more hospitals.</w:t>
      </w:r>
    </w:p>
    <w:p>
      <w:pPr>
        <w:pStyle w:val="Compact"/>
        <w:numPr>
          <w:ilvl w:val="0"/>
          <w:numId w:val="1040"/>
        </w:numPr>
      </w:pPr>
      <w:r>
        <w:rPr>
          <w:b/>
          <w:bCs/>
        </w:rPr>
        <w:t xml:space="preserve">R2, the evidence loop:</w:t>
      </w:r>
      <w:r>
        <w:t xml:space="preserve"> </w:t>
      </w:r>
      <w:r>
        <w:t xml:space="preserve">outcome tracking → better validation → regulatory approvals → more payers.</w:t>
      </w:r>
    </w:p>
    <w:p>
      <w:pPr>
        <w:pStyle w:val="Compact"/>
        <w:numPr>
          <w:ilvl w:val="0"/>
          <w:numId w:val="1040"/>
        </w:numPr>
      </w:pPr>
      <w:r>
        <w:rPr>
          <w:b/>
          <w:bCs/>
        </w:rPr>
        <w:t xml:space="preserve">B1, liability and quality risk:</w:t>
      </w:r>
      <w:r>
        <w:t xml:space="preserve"> </w:t>
      </w:r>
      <w:r>
        <w:t xml:space="preserve">errors damage trust. Human sign-off, audits and insurance contain it.</w:t>
      </w:r>
    </w:p>
    <w:p>
      <w:pPr>
        <w:pStyle w:val="Compact"/>
        <w:numPr>
          <w:ilvl w:val="0"/>
          <w:numId w:val="1040"/>
        </w:numPr>
      </w:pPr>
      <w:r>
        <w:rPr>
          <w:b/>
          <w:bCs/>
        </w:rPr>
        <w:t xml:space="preserve">Leverage point:</w:t>
      </w:r>
      <w:r>
        <w:t xml:space="preserve"> </w:t>
      </w:r>
      <w:r>
        <w:t xml:space="preserve">delays (from weeks to hours) and rules (approvals and licensing).</w:t>
      </w:r>
    </w:p>
    <w:p>
      <w:pPr>
        <w:pStyle w:val="FirstParagraph"/>
      </w:pPr>
      <w:r>
        <w:rPr>
          <w:b/>
          <w:bCs/>
        </w:rPr>
        <w:t xml:space="preserve">Design thinking</w:t>
      </w:r>
    </w:p>
    <w:p>
      <w:pPr>
        <w:pStyle w:val="Compact"/>
        <w:numPr>
          <w:ilvl w:val="0"/>
          <w:numId w:val="1041"/>
        </w:numPr>
      </w:pPr>
      <w:r>
        <w:rPr>
          <w:i/>
          <w:iCs/>
        </w:rPr>
        <w:t xml:space="preserve">Personas:</w:t>
      </w:r>
      <w:r>
        <w:t xml:space="preserve"> </w:t>
      </w:r>
      <w:r>
        <w:rPr>
          <w:b/>
          <w:bCs/>
        </w:rPr>
        <w:t xml:space="preserve">Dr Hauwa</w:t>
      </w:r>
      <w:r>
        <w:t xml:space="preserve">, the only doctor at a district hospital in Bauchi with an X-ray machine but no radiologist.</w:t>
      </w:r>
      <w:r>
        <w:t xml:space="preserve"> </w:t>
      </w:r>
      <w:r>
        <w:rPr>
          <w:b/>
          <w:bCs/>
        </w:rPr>
        <w:t xml:space="preserve">Dr Femi</w:t>
      </w:r>
      <w:r>
        <w:t xml:space="preserve">, a Nigerian radiologist in Manchester who wants to help home.</w:t>
      </w:r>
      <w:r>
        <w:t xml:space="preserve"> </w:t>
      </w:r>
      <w:r>
        <w:rPr>
          <w:b/>
          <w:bCs/>
        </w:rPr>
        <w:t xml:space="preserve">A mother</w:t>
      </w:r>
      <w:r>
        <w:t xml:space="preserve"> </w:t>
      </w:r>
      <w:r>
        <w:t xml:space="preserve">waiting a week for her son’s chest X-ray result.</w:t>
      </w:r>
    </w:p>
    <w:p>
      <w:pPr>
        <w:pStyle w:val="Compact"/>
        <w:numPr>
          <w:ilvl w:val="0"/>
          <w:numId w:val="1041"/>
        </w:numPr>
      </w:pPr>
      <w:r>
        <w:rPr>
          <w:i/>
          <w:iCs/>
        </w:rPr>
        <w:t xml:space="preserve">How might</w:t>
      </w:r>
      <w:r>
        <w:t xml:space="preserve"> </w:t>
      </w:r>
      <w:r>
        <w:t xml:space="preserve">every district hospital have a specialist’s judgement within hours?</w:t>
      </w:r>
    </w:p>
    <w:p>
      <w:pPr>
        <w:pStyle w:val="Compact"/>
        <w:numPr>
          <w:ilvl w:val="0"/>
          <w:numId w:val="1041"/>
        </w:numPr>
      </w:pPr>
      <w:r>
        <w:rPr>
          <w:i/>
          <w:iCs/>
        </w:rPr>
        <w:t xml:space="preserve">Moment of truth:</w:t>
      </w:r>
      <w:r>
        <w:t xml:space="preserve"> </w:t>
      </w:r>
      <w:r>
        <w:t xml:space="preserve">the AI flags suspected TB at 10 a.m.; Dr Femi confirms by 11; treatment starts the same day.</w:t>
      </w:r>
    </w:p>
    <w:p>
      <w:pPr>
        <w:pStyle w:val="FirstParagraph"/>
      </w:pPr>
      <w:r>
        <w:rPr>
          <w:b/>
          <w:bCs/>
        </w:rPr>
        <w:t xml:space="preserve">Business model.</w:t>
      </w:r>
      <w:r>
        <w:t xml:space="preserve"> </w:t>
      </w:r>
      <w:r>
        <w:t xml:space="preserve">Per-read fees; hospital subscriptions; health-programme contracts (e.g., TB screening); training services. Specialists receive most of the per-read fee.</w:t>
      </w:r>
    </w:p>
    <w:tbl>
      <w:tblPr>
        <w:tblStyle w:val="Table"/>
        <w:tblW w:w="9360" w:type="dxa"/>
        <w:jc w:val="left"/>
        <w:tblLayout w:type="fixed"/>
        <w:tblLook w:firstRow="1" w:lastRow="0" w:firstColumn="0" w:lastColumn="0" w:noHBand="0" w:noVBand="0" w:val="0020"/>
      </w:tblPr>
      <w:tblGrid>
        <w:gridCol w:w="2737"/>
        <w:gridCol w:w="6623"/>
      </w:tblGrid>
      <w:tr>
        <w:trPr>
          <w:cantSplit/>
          <w:tblHeader w:val="true"/>
        </w:trPr>
        <w:tc>
          <w:tcPr>
            <w:tcW w:w="2737" w:type="dxa"/>
          </w:tcPr>
          <w:p>
            <w:pPr>
              <w:pStyle w:val="TableText"/>
              <w:jc w:val="left"/>
            </w:pPr>
            <w:r>
              <w:t xml:space="preserve">Risk</w:t>
            </w:r>
          </w:p>
        </w:tc>
        <w:tc>
          <w:tcPr>
            <w:tcW w:w="6623" w:type="dxa"/>
          </w:tcPr>
          <w:p>
            <w:pPr>
              <w:pStyle w:val="TableText"/>
              <w:jc w:val="left"/>
            </w:pPr>
            <w:r>
              <w:t xml:space="preserve">Safeguard</w:t>
            </w:r>
          </w:p>
        </w:tc>
      </w:tr>
      <w:tr>
        <w:trPr>
          <w:cantSplit/>
        </w:trPr>
        <w:tc>
          <w:tcPr>
            <w:tcW w:w="2737" w:type="dxa"/>
          </w:tcPr>
          <w:p>
            <w:pPr>
              <w:pStyle w:val="TableText"/>
              <w:jc w:val="left"/>
            </w:pPr>
            <w:r>
              <w:t xml:space="preserve">Unlicensed AI diagnosis (dark twin)</w:t>
            </w:r>
          </w:p>
        </w:tc>
        <w:tc>
          <w:tcPr>
            <w:tcW w:w="6623" w:type="dxa"/>
          </w:tcPr>
          <w:p>
            <w:pPr>
              <w:pStyle w:val="TableText"/>
              <w:jc w:val="left"/>
            </w:pPr>
            <w:r>
              <w:t xml:space="preserve">Named clinician sign-off on every report; regulatory approval for algorithms</w:t>
            </w:r>
          </w:p>
        </w:tc>
      </w:tr>
      <w:tr>
        <w:trPr>
          <w:cantSplit/>
        </w:trPr>
        <w:tc>
          <w:tcPr>
            <w:tcW w:w="2737" w:type="dxa"/>
          </w:tcPr>
          <w:p>
            <w:pPr>
              <w:pStyle w:val="TableText"/>
              <w:jc w:val="left"/>
            </w:pPr>
            <w:r>
              <w:t xml:space="preserve">Algorithm bias on local populations</w:t>
            </w:r>
          </w:p>
        </w:tc>
        <w:tc>
          <w:tcPr>
            <w:tcW w:w="6623" w:type="dxa"/>
          </w:tcPr>
          <w:p>
            <w:pPr>
              <w:pStyle w:val="TableText"/>
              <w:jc w:val="left"/>
            </w:pPr>
            <w:r>
              <w:t xml:space="preserve">Local validation; continuous auditing</w:t>
            </w:r>
          </w:p>
        </w:tc>
      </w:tr>
      <w:tr>
        <w:trPr>
          <w:cantSplit/>
        </w:trPr>
        <w:tc>
          <w:tcPr>
            <w:tcW w:w="2737" w:type="dxa"/>
          </w:tcPr>
          <w:p>
            <w:pPr>
              <w:pStyle w:val="TableText"/>
              <w:jc w:val="left"/>
            </w:pPr>
            <w:r>
              <w:t xml:space="preserve">Cross-border licensing</w:t>
            </w:r>
          </w:p>
        </w:tc>
        <w:tc>
          <w:tcPr>
            <w:tcW w:w="6623" w:type="dxa"/>
          </w:tcPr>
          <w:p>
            <w:pPr>
              <w:pStyle w:val="TableText"/>
              <w:jc w:val="left"/>
            </w:pPr>
            <w:r>
              <w:t xml:space="preserve">Specialists licensed where the patient is treated; partnerships with medical councils</w:t>
            </w:r>
          </w:p>
        </w:tc>
      </w:tr>
      <w:tr>
        <w:trPr>
          <w:cantSplit/>
        </w:trPr>
        <w:tc>
          <w:tcPr>
            <w:tcW w:w="2737" w:type="dxa"/>
          </w:tcPr>
          <w:p>
            <w:pPr>
              <w:pStyle w:val="TableText"/>
              <w:jc w:val="left"/>
            </w:pPr>
            <w:r>
              <w:t xml:space="preserve">Data privacy</w:t>
            </w:r>
          </w:p>
        </w:tc>
        <w:tc>
          <w:tcPr>
            <w:tcW w:w="6623" w:type="dxa"/>
          </w:tcPr>
          <w:p>
            <w:pPr>
              <w:pStyle w:val="TableText"/>
              <w:jc w:val="left"/>
            </w:pPr>
            <w:r>
              <w:t xml:space="preserve">Consent; encryption; national data residency</w:t>
            </w:r>
          </w:p>
        </w:tc>
      </w:tr>
    </w:tbl>
    <w:p>
      <w:pPr>
        <w:pStyle w:val="BodyText"/>
        <w:spacing w:before="160"/>
      </w:pPr>
      <w:r>
        <w:rPr>
          <w:b/>
          <w:bCs/>
        </w:rPr>
        <w:t xml:space="preserve">First 100 days.</w:t>
      </w:r>
      <w:r>
        <w:t xml:space="preserve"> </w:t>
      </w:r>
      <w:r>
        <w:t xml:space="preserve">Ten district hospitals in one state; chest X-rays and ECGs; 30 licensed specialists (including diaspora); measure turnaround time, accuracy and treatment started.</w:t>
      </w:r>
    </w:p>
    <w:p>
      <w:pPr>
        <w:pStyle w:val="BodyText"/>
      </w:pPr>
      <w:r>
        <w:rPr>
          <w:b/>
          <w:bCs/>
        </w:rPr>
        <w:t xml:space="preserve">Scores.</w:t>
      </w:r>
      <w:r>
        <w:t xml:space="preserve"> </w:t>
      </w:r>
      <w:r>
        <w:t xml:space="preserve">Spread Quality</w:t>
      </w:r>
      <w:r>
        <w:t xml:space="preserve"> </w:t>
      </w:r>
      <w:r>
        <w:rPr>
          <w:b/>
          <w:bCs/>
        </w:rPr>
        <w:t xml:space="preserve">23/25</w:t>
      </w:r>
      <w:r>
        <w:t xml:space="preserve"> </w:t>
      </w:r>
      <w:r>
        <w:t xml:space="preserve">(S5 · H5 · P5 · M4 · F4). Double Decagon</w:t>
      </w:r>
      <w:r>
        <w:t xml:space="preserve"> </w:t>
      </w:r>
      <w:r>
        <w:rPr>
          <w:b/>
          <w:bCs/>
        </w:rPr>
        <w:t xml:space="preserve">85/100</w:t>
      </w:r>
      <w:r>
        <w:t xml:space="preserve">: Inner 44/50 (V1 5 · V2 4 · V3 5 · V4 3 · V5 5 · V6 4 · V7 4 · V8 5 · V9 5 · V10 4); Future-Fitness 41/50 (F1 4 · F2 4 · F3 4 · F4 4 · F5 4 · F6 4 · F7 4 · F8 4 · F9 5 · F10 4).</w:t>
      </w:r>
    </w:p>
    <w:bookmarkEnd w:id="58"/>
    <w:bookmarkStart w:id="59" w:name="X2a075f68e78012f4cc24a14387f6076be48fe31"/>
    <w:p>
      <w:pPr>
        <w:pStyle w:val="Heading2"/>
      </w:pPr>
      <w:r>
        <w:t xml:space="preserve">Venture 7: TUTORGRID, one-to-one learning for every child</w:t>
      </w:r>
    </w:p>
    <w:p>
      <w:pPr>
        <w:pStyle w:val="BlockText"/>
      </w:pPr>
      <w:r>
        <w:rPr>
          <w:b/>
          <w:bCs/>
        </w:rPr>
        <w:t xml:space="preserve">Thesis.</w:t>
      </w:r>
      <w:r>
        <w:t xml:space="preserve"> </w:t>
      </w:r>
      <w:r>
        <w:t xml:space="preserve">Benjamin Bloom found in 1984 that one-to-one tutoring could raise performance dramatically, but no country can afford a tutor for every child. In a World Bank trial in Edo State, Nigeria, AI-assisted tutoring guided by teachers raised scores by about 0.3 standard deviations in six weeks, roughly 1.5–2 years of typical learning. TutorGrid brings teacher-led AI tutoring to schools and homes, in local languages, on phones as well as computers, paid for by outcomes.</w:t>
      </w:r>
    </w:p>
    <w:tbl>
      <w:tblPr>
        <w:tblStyle w:val="Table"/>
        <w:tblW w:w="9360" w:type="dxa"/>
        <w:jc w:val="left"/>
        <w:tblLayout w:type="fixed"/>
        <w:tblLook w:firstRow="1" w:lastRow="0" w:firstColumn="0" w:lastColumn="0" w:noHBand="0" w:noVBand="0" w:val="0020"/>
      </w:tblPr>
      <w:tblGrid>
        <w:gridCol w:w="1517"/>
        <w:gridCol w:w="7843"/>
      </w:tblGrid>
      <w:tr>
        <w:trPr>
          <w:cantSplit/>
          <w:tblHeader w:val="true"/>
        </w:trPr>
        <w:tc>
          <w:tcPr>
            <w:tcW w:w="1517" w:type="dxa"/>
          </w:tcPr>
          <w:p>
            <w:pPr>
              <w:pStyle w:val="TableText"/>
              <w:jc w:val="left"/>
            </w:pPr>
            <w:r>
              <w:t xml:space="preserve">Spread code</w:t>
            </w:r>
          </w:p>
        </w:tc>
        <w:tc>
          <w:tcPr>
            <w:tcW w:w="7843" w:type="dxa"/>
          </w:tcPr>
          <w:p>
            <w:pPr>
              <w:pStyle w:val="TableText"/>
            </w:pPr>
          </w:p>
        </w:tc>
      </w:tr>
      <w:tr>
        <w:trPr>
          <w:cantSplit/>
        </w:trPr>
        <w:tc>
          <w:tcPr>
            <w:tcW w:w="1517" w:type="dxa"/>
          </w:tcPr>
          <w:p>
            <w:pPr>
              <w:pStyle w:val="TableText"/>
              <w:jc w:val="left"/>
            </w:pPr>
            <w:r>
              <w:t xml:space="preserve">Spread</w:t>
            </w:r>
          </w:p>
        </w:tc>
        <w:tc>
          <w:tcPr>
            <w:tcW w:w="7843" w:type="dxa"/>
          </w:tcPr>
          <w:p>
            <w:pPr>
              <w:pStyle w:val="TableText"/>
              <w:jc w:val="left"/>
            </w:pPr>
            <w:r>
              <w:rPr>
                <w:b/>
                <w:bCs/>
              </w:rPr>
              <w:t xml:space="preserve">S7 Learning</w:t>
            </w:r>
          </w:p>
        </w:tc>
      </w:tr>
      <w:tr>
        <w:trPr>
          <w:cantSplit/>
        </w:trPr>
        <w:tc>
          <w:tcPr>
            <w:tcW w:w="1517" w:type="dxa"/>
          </w:tcPr>
          <w:p>
            <w:pPr>
              <w:pStyle w:val="TableText"/>
              <w:jc w:val="left"/>
            </w:pPr>
            <w:r>
              <w:t xml:space="preserve">Value side</w:t>
            </w:r>
          </w:p>
        </w:tc>
        <w:tc>
          <w:tcPr>
            <w:tcW w:w="7843" w:type="dxa"/>
          </w:tcPr>
          <w:p>
            <w:pPr>
              <w:pStyle w:val="TableText"/>
              <w:jc w:val="left"/>
            </w:pPr>
            <w:r>
              <w:t xml:space="preserve">Learning gains (and lifetime earnings) previously available only through private tutoring</w:t>
            </w:r>
          </w:p>
        </w:tc>
      </w:tr>
      <w:tr>
        <w:trPr>
          <w:cantSplit/>
        </w:trPr>
        <w:tc>
          <w:tcPr>
            <w:tcW w:w="1517" w:type="dxa"/>
          </w:tcPr>
          <w:p>
            <w:pPr>
              <w:pStyle w:val="TableText"/>
              <w:jc w:val="left"/>
            </w:pPr>
            <w:r>
              <w:t xml:space="preserve">Cost side</w:t>
            </w:r>
          </w:p>
        </w:tc>
        <w:tc>
          <w:tcPr>
            <w:tcW w:w="7843" w:type="dxa"/>
          </w:tcPr>
          <w:p>
            <w:pPr>
              <w:pStyle w:val="TableText"/>
              <w:jc w:val="left"/>
            </w:pPr>
            <w:r>
              <w:t xml:space="preserve">AI tutoring at very low marginal cost, plus teacher time</w:t>
            </w:r>
          </w:p>
        </w:tc>
      </w:tr>
      <w:tr>
        <w:trPr>
          <w:cantSplit/>
        </w:trPr>
        <w:tc>
          <w:tcPr>
            <w:tcW w:w="1517" w:type="dxa"/>
          </w:tcPr>
          <w:p>
            <w:pPr>
              <w:pStyle w:val="TableText"/>
              <w:jc w:val="left"/>
            </w:pPr>
            <w:r>
              <w:t xml:space="preserve">Main friction</w:t>
            </w:r>
          </w:p>
        </w:tc>
        <w:tc>
          <w:tcPr>
            <w:tcW w:w="7843" w:type="dxa"/>
          </w:tcPr>
          <w:p>
            <w:pPr>
              <w:pStyle w:val="TableText"/>
              <w:jc w:val="left"/>
            </w:pPr>
            <w:r>
              <w:t xml:space="preserve">Devices; connectivity; teacher adoption; curriculum alignment</w:t>
            </w:r>
          </w:p>
        </w:tc>
      </w:tr>
      <w:tr>
        <w:trPr>
          <w:cantSplit/>
        </w:trPr>
        <w:tc>
          <w:tcPr>
            <w:tcW w:w="1517" w:type="dxa"/>
          </w:tcPr>
          <w:p>
            <w:pPr>
              <w:pStyle w:val="TableText"/>
              <w:jc w:val="left"/>
            </w:pPr>
            <w:r>
              <w:t xml:space="preserve">Half-life</w:t>
            </w:r>
          </w:p>
        </w:tc>
        <w:tc>
          <w:tcPr>
            <w:tcW w:w="7843" w:type="dxa"/>
          </w:tcPr>
          <w:p>
            <w:pPr>
              <w:pStyle w:val="TableText"/>
              <w:jc w:val="left"/>
            </w:pPr>
            <w:r>
              <w:t xml:space="preserve">Long: learning is a public good and needs persist; providers will commoditize, but school relationships and evidence will not</w:t>
            </w:r>
          </w:p>
        </w:tc>
      </w:tr>
      <w:tr>
        <w:trPr>
          <w:cantSplit/>
        </w:trPr>
        <w:tc>
          <w:tcPr>
            <w:tcW w:w="1517" w:type="dxa"/>
          </w:tcPr>
          <w:p>
            <w:pPr>
              <w:pStyle w:val="TableText"/>
              <w:jc w:val="left"/>
            </w:pPr>
            <w:r>
              <w:t xml:space="preserve">Moats</w:t>
            </w:r>
          </w:p>
        </w:tc>
        <w:tc>
          <w:tcPr>
            <w:tcW w:w="7843" w:type="dxa"/>
          </w:tcPr>
          <w:p>
            <w:pPr>
              <w:pStyle w:val="TableText"/>
              <w:jc w:val="left"/>
            </w:pPr>
            <w:r>
              <w:t xml:space="preserve">Curriculum alignment; teacher networks; state contracts; local-language content; measured outcomes</w:t>
            </w:r>
          </w:p>
        </w:tc>
      </w:tr>
      <w:tr>
        <w:trPr>
          <w:cantSplit/>
        </w:trPr>
        <w:tc>
          <w:tcPr>
            <w:tcW w:w="1517" w:type="dxa"/>
          </w:tcPr>
          <w:p>
            <w:pPr>
              <w:pStyle w:val="TableText"/>
              <w:jc w:val="left"/>
            </w:pPr>
            <w:r>
              <w:t xml:space="preserve">Archetype and governance</w:t>
            </w:r>
          </w:p>
        </w:tc>
        <w:tc>
          <w:tcPr>
            <w:tcW w:w="7843" w:type="dxa"/>
          </w:tcPr>
          <w:p>
            <w:pPr>
              <w:pStyle w:val="TableText"/>
              <w:jc w:val="left"/>
            </w:pPr>
            <w:r>
              <w:t xml:space="preserve">A5 relationship platform + A8 protocol (open curriculum content); steward-owned, with public partnerships</w:t>
            </w:r>
          </w:p>
        </w:tc>
      </w:tr>
    </w:tbl>
    <w:p>
      <w:pPr>
        <w:pStyle w:val="BodyText"/>
        <w:spacing w:before="160"/>
      </w:pPr>
      <w:r>
        <w:rPr>
          <w:b/>
          <w:bCs/>
        </w:rPr>
        <w:t xml:space="preserve">The gap</w:t>
      </w:r>
    </w:p>
    <w:p>
      <w:pPr>
        <w:pStyle w:val="Compact"/>
        <w:numPr>
          <w:ilvl w:val="0"/>
          <w:numId w:val="1042"/>
        </w:numPr>
      </w:pPr>
      <w:r>
        <w:t xml:space="preserve">The World Bank’s Edo State trial (2024) found effects of about 0.31 standard deviations on a combined assessment and 0.23 on English, with the largest gains for girls. Participants also did better on end-of-year exams. The trial was short and teacher-led, so long-term effects and scaling remain to be proven.</w:t>
      </w:r>
    </w:p>
    <w:p>
      <w:pPr>
        <w:pStyle w:val="Compact"/>
        <w:numPr>
          <w:ilvl w:val="0"/>
          <w:numId w:val="1042"/>
        </w:numPr>
      </w:pPr>
      <w:r>
        <w:t xml:space="preserve">Classrooms in many African countries are crowded, and private tutoring is unaffordable for most families.</w:t>
      </w:r>
    </w:p>
    <w:p>
      <w:pPr>
        <w:pStyle w:val="Compact"/>
        <w:numPr>
          <w:ilvl w:val="0"/>
          <w:numId w:val="1042"/>
        </w:numPr>
      </w:pPr>
      <w:r>
        <w:t xml:space="preserve">Many students have a family phone but no computer or reliable data.</w:t>
      </w:r>
    </w:p>
    <w:p>
      <w:pPr>
        <w:pStyle w:val="FirstParagraph"/>
      </w:pPr>
      <w:r>
        <w:rPr>
          <w:b/>
          <w:bCs/>
        </w:rPr>
        <w:t xml:space="preserve">Benchmarks: borrowed and inverted</w:t>
      </w:r>
    </w:p>
    <w:p>
      <w:pPr>
        <w:pStyle w:val="Compact"/>
        <w:numPr>
          <w:ilvl w:val="0"/>
          <w:numId w:val="1043"/>
        </w:numPr>
      </w:pPr>
      <w:r>
        <w:rPr>
          <w:b/>
          <w:bCs/>
        </w:rPr>
        <w:t xml:space="preserve">From Airbnb Experiences:</w:t>
      </w:r>
      <w:r>
        <w:t xml:space="preserve"> </w:t>
      </w:r>
      <w:r>
        <w:t xml:space="preserve">learning from a guide, here an AI guide supervised by a teacher.</w:t>
      </w:r>
    </w:p>
    <w:p>
      <w:pPr>
        <w:pStyle w:val="Compact"/>
        <w:numPr>
          <w:ilvl w:val="0"/>
          <w:numId w:val="1043"/>
        </w:numPr>
      </w:pPr>
      <w:r>
        <w:rPr>
          <w:b/>
          <w:bCs/>
        </w:rPr>
        <w:t xml:space="preserve">From Volume I’s Guildhall and Agora:</w:t>
      </w:r>
      <w:r>
        <w:t xml:space="preserve"> </w:t>
      </w:r>
      <w:r>
        <w:t xml:space="preserve">learning in groups and communities.</w:t>
      </w:r>
    </w:p>
    <w:p>
      <w:pPr>
        <w:pStyle w:val="Compact"/>
        <w:numPr>
          <w:ilvl w:val="0"/>
          <w:numId w:val="1043"/>
        </w:numPr>
      </w:pPr>
      <w:r>
        <w:rPr>
          <w:b/>
          <w:bCs/>
        </w:rPr>
        <w:t xml:space="preserve">Links</w:t>
      </w:r>
      <w:r>
        <w:t xml:space="preserve"> </w:t>
      </w:r>
      <w:r>
        <w:t xml:space="preserve">to TongueBridge (local languages) and DataGuild (language data).</w:t>
      </w:r>
    </w:p>
    <w:p>
      <w:pPr>
        <w:pStyle w:val="Compact"/>
        <w:numPr>
          <w:ilvl w:val="0"/>
          <w:numId w:val="1043"/>
        </w:numPr>
      </w:pPr>
      <w:r>
        <w:rPr>
          <w:b/>
          <w:bCs/>
        </w:rPr>
        <w:t xml:space="preserve">Inverts:</w:t>
      </w:r>
      <w:r>
        <w:t xml:space="preserve"> </w:t>
      </w:r>
      <w:r>
        <w:t xml:space="preserve">the dark twin, AI cheating mills, does students’ work for them. TutorGrid is designed to make students do the thinking.</w:t>
      </w:r>
    </w:p>
    <w:p>
      <w:pPr>
        <w:pStyle w:val="FirstParagraph"/>
      </w:pPr>
      <w:r>
        <w:rPr>
          <w:b/>
          <w:bCs/>
        </w:rPr>
        <w:t xml:space="preserve">How it works</w:t>
      </w:r>
    </w:p>
    <w:p>
      <w:pPr>
        <w:pStyle w:val="Compact"/>
        <w:numPr>
          <w:ilvl w:val="0"/>
          <w:numId w:val="1044"/>
        </w:numPr>
      </w:pPr>
      <w:r>
        <w:rPr>
          <w:b/>
          <w:bCs/>
        </w:rPr>
        <w:t xml:space="preserve">Teacher-led sessions.</w:t>
      </w:r>
      <w:r>
        <w:t xml:space="preserve"> </w:t>
      </w:r>
      <w:r>
        <w:t xml:space="preserve">Teachers run AI tutoring sessions in school labs or on shared tablets, starting each with a guided prompt, as in the Edo trial.</w:t>
      </w:r>
    </w:p>
    <w:p>
      <w:pPr>
        <w:pStyle w:val="Compact"/>
        <w:numPr>
          <w:ilvl w:val="0"/>
          <w:numId w:val="1044"/>
        </w:numPr>
      </w:pPr>
      <w:r>
        <w:rPr>
          <w:b/>
          <w:bCs/>
        </w:rPr>
        <w:t xml:space="preserve">Phones at home.</w:t>
      </w:r>
      <w:r>
        <w:t xml:space="preserve"> </w:t>
      </w:r>
      <w:r>
        <w:t xml:space="preserve">Practice by WhatsApp and voice for feature phones, with low data use.</w:t>
      </w:r>
    </w:p>
    <w:p>
      <w:pPr>
        <w:pStyle w:val="Compact"/>
        <w:numPr>
          <w:ilvl w:val="0"/>
          <w:numId w:val="1044"/>
        </w:numPr>
      </w:pPr>
      <w:r>
        <w:rPr>
          <w:b/>
          <w:bCs/>
        </w:rPr>
        <w:t xml:space="preserve">Local languages.</w:t>
      </w:r>
      <w:r>
        <w:t xml:space="preserve"> </w:t>
      </w:r>
      <w:r>
        <w:t xml:space="preserve">Explanations in the language children think in, alongside the language of instruction.</w:t>
      </w:r>
    </w:p>
    <w:p>
      <w:pPr>
        <w:pStyle w:val="Compact"/>
        <w:numPr>
          <w:ilvl w:val="0"/>
          <w:numId w:val="1044"/>
        </w:numPr>
      </w:pPr>
      <w:r>
        <w:rPr>
          <w:b/>
          <w:bCs/>
        </w:rPr>
        <w:t xml:space="preserve">Curriculum alignment.</w:t>
      </w:r>
      <w:r>
        <w:t xml:space="preserve"> </w:t>
      </w:r>
      <w:r>
        <w:t xml:space="preserve">Content mapped to national curricula and exams.</w:t>
      </w:r>
    </w:p>
    <w:p>
      <w:pPr>
        <w:pStyle w:val="Compact"/>
        <w:numPr>
          <w:ilvl w:val="0"/>
          <w:numId w:val="1044"/>
        </w:numPr>
      </w:pPr>
      <w:r>
        <w:rPr>
          <w:b/>
          <w:bCs/>
        </w:rPr>
        <w:t xml:space="preserve">Anti-cheating design.</w:t>
      </w:r>
      <w:r>
        <w:t xml:space="preserve"> </w:t>
      </w:r>
      <w:r>
        <w:t xml:space="preserve">Socratic tutoring that asks questions rather than giving answers; teacher dashboards.</w:t>
      </w:r>
    </w:p>
    <w:p>
      <w:pPr>
        <w:pStyle w:val="Compact"/>
        <w:numPr>
          <w:ilvl w:val="0"/>
          <w:numId w:val="1044"/>
        </w:numPr>
      </w:pPr>
      <w:r>
        <w:rPr>
          <w:b/>
          <w:bCs/>
        </w:rPr>
        <w:t xml:space="preserve">Outcome measurement.</w:t>
      </w:r>
      <w:r>
        <w:t xml:space="preserve"> </w:t>
      </w:r>
      <w:r>
        <w:t xml:space="preserve">Regular assessments; results shared with schools and states.</w:t>
      </w:r>
    </w:p>
    <w:p>
      <w:pPr>
        <w:pStyle w:val="Compact"/>
        <w:numPr>
          <w:ilvl w:val="0"/>
          <w:numId w:val="1044"/>
        </w:numPr>
      </w:pPr>
      <w:r>
        <w:rPr>
          <w:b/>
          <w:bCs/>
        </w:rPr>
        <w:t xml:space="preserve">Outcome-based contracts.</w:t>
      </w:r>
      <w:r>
        <w:t xml:space="preserve"> </w:t>
      </w:r>
      <w:r>
        <w:t xml:space="preserve">States and donors pay per measured learning gain.</w:t>
      </w:r>
    </w:p>
    <w:p>
      <w:pPr>
        <w:pStyle w:val="FirstParagraph"/>
      </w:pPr>
      <w:r>
        <w:rPr>
          <w:b/>
          <w:bCs/>
        </w:rPr>
        <w:t xml:space="preserve">From spread to moat.</w:t>
      </w:r>
      <w:r>
        <w:t xml:space="preserve"> </w:t>
      </w:r>
      <w:r>
        <w:t xml:space="preserve">When AI tutors are everywhere, TutorGrid holds curriculum alignment, teacher networks, state contracts, local-language content and the evidence of what works.</w:t>
      </w:r>
      <w:r>
        <w:t xml:space="preserve"> </w:t>
      </w:r>
      <w:r>
        <w:rPr>
          <w:b/>
          <w:bCs/>
        </w:rPr>
        <w:t xml:space="preserve">Who shares the spread:</w:t>
      </w:r>
      <w:r>
        <w:t xml:space="preserve"> </w:t>
      </w:r>
      <w:r>
        <w:t xml:space="preserve">students and families (free or low-cost access) and teachers (training and tools).</w:t>
      </w:r>
    </w:p>
    <w:p>
      <w:pPr>
        <w:pStyle w:val="BodyText"/>
      </w:pPr>
      <w:r>
        <w:rPr>
          <w:b/>
          <w:bCs/>
        </w:rPr>
        <w:t xml:space="preserve">System dynamics</w:t>
      </w:r>
    </w:p>
    <w:p>
      <w:pPr>
        <w:pStyle w:val="Compact"/>
        <w:numPr>
          <w:ilvl w:val="0"/>
          <w:numId w:val="1045"/>
        </w:numPr>
      </w:pPr>
      <w:r>
        <w:rPr>
          <w:b/>
          <w:bCs/>
        </w:rPr>
        <w:t xml:space="preserve">R1, the evidence loop:</w:t>
      </w:r>
      <w:r>
        <w:t xml:space="preserve"> </w:t>
      </w:r>
      <w:r>
        <w:t xml:space="preserve">measured gains → state contracts → more schools → more evidence.</w:t>
      </w:r>
    </w:p>
    <w:p>
      <w:pPr>
        <w:pStyle w:val="Compact"/>
        <w:numPr>
          <w:ilvl w:val="0"/>
          <w:numId w:val="1045"/>
        </w:numPr>
      </w:pPr>
      <w:r>
        <w:rPr>
          <w:b/>
          <w:bCs/>
        </w:rPr>
        <w:t xml:space="preserve">R2, the teacher loop:</w:t>
      </w:r>
      <w:r>
        <w:t xml:space="preserve"> </w:t>
      </w:r>
      <w:r>
        <w:t xml:space="preserve">trained teachers → better sessions → better results → more teacher buy-in.</w:t>
      </w:r>
    </w:p>
    <w:p>
      <w:pPr>
        <w:pStyle w:val="Compact"/>
        <w:numPr>
          <w:ilvl w:val="0"/>
          <w:numId w:val="1045"/>
        </w:numPr>
      </w:pPr>
      <w:r>
        <w:rPr>
          <w:b/>
          <w:bCs/>
        </w:rPr>
        <w:t xml:space="preserve">B1, novelty fade:</w:t>
      </w:r>
      <w:r>
        <w:t xml:space="preserve"> </w:t>
      </w:r>
      <w:r>
        <w:t xml:space="preserve">engagement drops after the novelty wears off. Teacher-led structure and group sessions contain it.</w:t>
      </w:r>
    </w:p>
    <w:p>
      <w:pPr>
        <w:pStyle w:val="Compact"/>
        <w:numPr>
          <w:ilvl w:val="0"/>
          <w:numId w:val="1045"/>
        </w:numPr>
      </w:pPr>
      <w:r>
        <w:rPr>
          <w:b/>
          <w:bCs/>
        </w:rPr>
        <w:t xml:space="preserve">Leverage point:</w:t>
      </w:r>
      <w:r>
        <w:t xml:space="preserve"> </w:t>
      </w:r>
      <w:r>
        <w:t xml:space="preserve">goals (learning gains, not screen time) and information flows (outcome data).</w:t>
      </w:r>
    </w:p>
    <w:p>
      <w:pPr>
        <w:pStyle w:val="FirstParagraph"/>
      </w:pPr>
      <w:r>
        <w:rPr>
          <w:b/>
          <w:bCs/>
        </w:rPr>
        <w:t xml:space="preserve">Design thinking</w:t>
      </w:r>
    </w:p>
    <w:p>
      <w:pPr>
        <w:pStyle w:val="Compact"/>
        <w:numPr>
          <w:ilvl w:val="0"/>
          <w:numId w:val="1046"/>
        </w:numPr>
      </w:pPr>
      <w:r>
        <w:rPr>
          <w:i/>
          <w:iCs/>
        </w:rPr>
        <w:t xml:space="preserve">Personas:</w:t>
      </w:r>
      <w:r>
        <w:t xml:space="preserve"> </w:t>
      </w:r>
      <w:r>
        <w:rPr>
          <w:b/>
          <w:bCs/>
        </w:rPr>
        <w:t xml:space="preserve">Amara</w:t>
      </w:r>
      <w:r>
        <w:t xml:space="preserve">, 15, in a class of 80 in Benin City.</w:t>
      </w:r>
      <w:r>
        <w:t xml:space="preserve"> </w:t>
      </w:r>
      <w:r>
        <w:rPr>
          <w:b/>
          <w:bCs/>
        </w:rPr>
        <w:t xml:space="preserve">Mr Osagie</w:t>
      </w:r>
      <w:r>
        <w:t xml:space="preserve">, her English teacher, sceptical of technology.</w:t>
      </w:r>
      <w:r>
        <w:t xml:space="preserve"> </w:t>
      </w:r>
      <w:r>
        <w:rPr>
          <w:b/>
          <w:bCs/>
        </w:rPr>
        <w:t xml:space="preserve">A state commissioner for education</w:t>
      </w:r>
      <w:r>
        <w:t xml:space="preserve"> </w:t>
      </w:r>
      <w:r>
        <w:t xml:space="preserve">who must show results.</w:t>
      </w:r>
    </w:p>
    <w:p>
      <w:pPr>
        <w:pStyle w:val="Compact"/>
        <w:numPr>
          <w:ilvl w:val="0"/>
          <w:numId w:val="1046"/>
        </w:numPr>
      </w:pPr>
      <w:r>
        <w:rPr>
          <w:i/>
          <w:iCs/>
        </w:rPr>
        <w:t xml:space="preserve">How might</w:t>
      </w:r>
      <w:r>
        <w:t xml:space="preserve"> </w:t>
      </w:r>
      <w:r>
        <w:t xml:space="preserve">every child have a patient tutor who speaks their language?</w:t>
      </w:r>
    </w:p>
    <w:p>
      <w:pPr>
        <w:pStyle w:val="Compact"/>
        <w:numPr>
          <w:ilvl w:val="0"/>
          <w:numId w:val="1046"/>
        </w:numPr>
      </w:pPr>
      <w:r>
        <w:rPr>
          <w:i/>
          <w:iCs/>
        </w:rPr>
        <w:t xml:space="preserve">Moment of truth:</w:t>
      </w:r>
      <w:r>
        <w:t xml:space="preserve"> </w:t>
      </w:r>
      <w:r>
        <w:t xml:space="preserve">Amara explains a grammar rule to her classmates, in Edo and in English, that she could not grasp six weeks earlier.</w:t>
      </w:r>
    </w:p>
    <w:p>
      <w:pPr>
        <w:pStyle w:val="FirstParagraph"/>
      </w:pPr>
      <w:r>
        <w:rPr>
          <w:b/>
          <w:bCs/>
        </w:rPr>
        <w:t xml:space="preserve">Business model.</w:t>
      </w:r>
      <w:r>
        <w:t xml:space="preserve"> </w:t>
      </w:r>
      <w:r>
        <w:t xml:space="preserve">Outcome-based contracts with states and donors; school subscriptions; low-cost family plans. Free access for the poorest students.</w:t>
      </w:r>
    </w:p>
    <w:tbl>
      <w:tblPr>
        <w:tblStyle w:val="Table"/>
        <w:tblW w:w="9360" w:type="dxa"/>
        <w:jc w:val="left"/>
        <w:tblLayout w:type="fixed"/>
        <w:tblLook w:firstRow="1" w:lastRow="0" w:firstColumn="0" w:lastColumn="0" w:noHBand="0" w:noVBand="0" w:val="0020"/>
      </w:tblPr>
      <w:tblGrid>
        <w:gridCol w:w="2529"/>
        <w:gridCol w:w="6831"/>
      </w:tblGrid>
      <w:tr>
        <w:trPr>
          <w:cantSplit/>
          <w:tblHeader w:val="true"/>
        </w:trPr>
        <w:tc>
          <w:tcPr>
            <w:tcW w:w="2529" w:type="dxa"/>
          </w:tcPr>
          <w:p>
            <w:pPr>
              <w:pStyle w:val="TableText"/>
              <w:jc w:val="left"/>
            </w:pPr>
            <w:r>
              <w:t xml:space="preserve">Risk</w:t>
            </w:r>
          </w:p>
        </w:tc>
        <w:tc>
          <w:tcPr>
            <w:tcW w:w="6831" w:type="dxa"/>
          </w:tcPr>
          <w:p>
            <w:pPr>
              <w:pStyle w:val="TableText"/>
              <w:jc w:val="left"/>
            </w:pPr>
            <w:r>
              <w:t xml:space="preserve">Safeguard</w:t>
            </w:r>
          </w:p>
        </w:tc>
      </w:tr>
      <w:tr>
        <w:trPr>
          <w:cantSplit/>
        </w:trPr>
        <w:tc>
          <w:tcPr>
            <w:tcW w:w="2529" w:type="dxa"/>
          </w:tcPr>
          <w:p>
            <w:pPr>
              <w:pStyle w:val="TableText"/>
              <w:jc w:val="left"/>
            </w:pPr>
            <w:r>
              <w:t xml:space="preserve">Cheating (dark twin)</w:t>
            </w:r>
          </w:p>
        </w:tc>
        <w:tc>
          <w:tcPr>
            <w:tcW w:w="6831" w:type="dxa"/>
          </w:tcPr>
          <w:p>
            <w:pPr>
              <w:pStyle w:val="TableText"/>
              <w:jc w:val="left"/>
            </w:pPr>
            <w:r>
              <w:t xml:space="preserve">Socratic design; teacher oversight; no answer-giving mode</w:t>
            </w:r>
          </w:p>
        </w:tc>
      </w:tr>
      <w:tr>
        <w:trPr>
          <w:cantSplit/>
        </w:trPr>
        <w:tc>
          <w:tcPr>
            <w:tcW w:w="2529" w:type="dxa"/>
          </w:tcPr>
          <w:p>
            <w:pPr>
              <w:pStyle w:val="TableText"/>
              <w:jc w:val="left"/>
            </w:pPr>
            <w:r>
              <w:t xml:space="preserve">Unequal access</w:t>
            </w:r>
          </w:p>
        </w:tc>
        <w:tc>
          <w:tcPr>
            <w:tcW w:w="6831" w:type="dxa"/>
          </w:tcPr>
          <w:p>
            <w:pPr>
              <w:pStyle w:val="TableText"/>
              <w:jc w:val="left"/>
            </w:pPr>
            <w:r>
              <w:t xml:space="preserve">School-based sessions; feature-phone mode; free tiers</w:t>
            </w:r>
          </w:p>
        </w:tc>
      </w:tr>
      <w:tr>
        <w:trPr>
          <w:cantSplit/>
        </w:trPr>
        <w:tc>
          <w:tcPr>
            <w:tcW w:w="2529" w:type="dxa"/>
          </w:tcPr>
          <w:p>
            <w:pPr>
              <w:pStyle w:val="TableText"/>
              <w:jc w:val="left"/>
            </w:pPr>
            <w:r>
              <w:t xml:space="preserve">Over-claiming results</w:t>
            </w:r>
          </w:p>
        </w:tc>
        <w:tc>
          <w:tcPr>
            <w:tcW w:w="6831" w:type="dxa"/>
          </w:tcPr>
          <w:p>
            <w:pPr>
              <w:pStyle w:val="TableText"/>
              <w:jc w:val="left"/>
            </w:pPr>
            <w:r>
              <w:t xml:space="preserve">Independent evaluation; publish all results</w:t>
            </w:r>
          </w:p>
        </w:tc>
      </w:tr>
      <w:tr>
        <w:trPr>
          <w:cantSplit/>
        </w:trPr>
        <w:tc>
          <w:tcPr>
            <w:tcW w:w="2529" w:type="dxa"/>
          </w:tcPr>
          <w:p>
            <w:pPr>
              <w:pStyle w:val="TableText"/>
              <w:jc w:val="left"/>
            </w:pPr>
            <w:r>
              <w:t xml:space="preserve">Child data protection</w:t>
            </w:r>
          </w:p>
        </w:tc>
        <w:tc>
          <w:tcPr>
            <w:tcW w:w="6831" w:type="dxa"/>
          </w:tcPr>
          <w:p>
            <w:pPr>
              <w:pStyle w:val="TableText"/>
              <w:jc w:val="left"/>
            </w:pPr>
            <w:r>
              <w:t xml:space="preserve">Minimal data; parental consent; strict privacy</w:t>
            </w:r>
          </w:p>
        </w:tc>
      </w:tr>
    </w:tbl>
    <w:p>
      <w:pPr>
        <w:pStyle w:val="BodyText"/>
        <w:spacing w:before="160"/>
      </w:pPr>
      <w:r>
        <w:rPr>
          <w:b/>
          <w:bCs/>
        </w:rPr>
        <w:t xml:space="preserve">First 100 days.</w:t>
      </w:r>
      <w:r>
        <w:t xml:space="preserve"> </w:t>
      </w:r>
      <w:r>
        <w:t xml:space="preserve">Twenty secondary schools in one state; English and mathematics; teacher training; pre- and post-assessment with a comparison group.</w:t>
      </w:r>
    </w:p>
    <w:p>
      <w:pPr>
        <w:pStyle w:val="BodyText"/>
      </w:pPr>
      <w:r>
        <w:rPr>
          <w:b/>
          <w:bCs/>
        </w:rPr>
        <w:t xml:space="preserve">Scores.</w:t>
      </w:r>
      <w:r>
        <w:t xml:space="preserve"> </w:t>
      </w:r>
      <w:r>
        <w:t xml:space="preserve">Spread Quality</w:t>
      </w:r>
      <w:r>
        <w:t xml:space="preserve"> </w:t>
      </w:r>
      <w:r>
        <w:rPr>
          <w:b/>
          <w:bCs/>
        </w:rPr>
        <w:t xml:space="preserve">23/25</w:t>
      </w:r>
      <w:r>
        <w:t xml:space="preserve"> </w:t>
      </w:r>
      <w:r>
        <w:t xml:space="preserve">(S5 · H4 · P5 · M4 · F5). Double Decagon</w:t>
      </w:r>
      <w:r>
        <w:t xml:space="preserve"> </w:t>
      </w:r>
      <w:r>
        <w:rPr>
          <w:b/>
          <w:bCs/>
        </w:rPr>
        <w:t xml:space="preserve">87/100</w:t>
      </w:r>
      <w:r>
        <w:t xml:space="preserve">: Inner 45/50 (V1 5 · V2 5 · V3 4 · V4 4 · V5 5 · V6 4 · V7 4 · V8 5 · V9 5 · V10 4); Future-Fitness 42/50 (F1 4 · F2 4 · F3 4 · F4 4 · F5 4 · F6 4 · F7 5 · F8 4 · F9 5 · F10 4).</w:t>
      </w:r>
    </w:p>
    <w:bookmarkEnd w:id="59"/>
    <w:bookmarkStart w:id="60" w:name="X0e76691f48c8de10b491fd8b4b106956722398d"/>
    <w:p>
      <w:pPr>
        <w:pStyle w:val="Heading2"/>
      </w:pPr>
      <w:r>
        <w:t xml:space="preserve">Venture 8: FAIRSCORE, fair credit for people with no credit file</w:t>
      </w:r>
    </w:p>
    <w:p>
      <w:pPr>
        <w:pStyle w:val="BlockText"/>
      </w:pPr>
      <w:r>
        <w:rPr>
          <w:b/>
          <w:bCs/>
        </w:rPr>
        <w:t xml:space="preserve">Thesis.</w:t>
      </w:r>
      <w:r>
        <w:t xml:space="preserve"> </w:t>
      </w:r>
      <w:r>
        <w:t xml:space="preserve">Millions of creditworthy traders, farmers and workers are excluded from credit or charged punishing rates because lenders cannot see their records. In Nigeria, the gap was filled partly by abusive loan apps, which prompted strict new rules in 2025. FairScore is consent-based AI credit scoring built on verified records: trading records from OfficePilot, warehouse receipts from HarvestGrid, verified building stages from BuildBridge. It is sold to licensed lenders and cooperatives with explainability, fairness audits and rate caps.</w:t>
      </w:r>
    </w:p>
    <w:tbl>
      <w:tblPr>
        <w:tblStyle w:val="Table"/>
        <w:tblW w:w="9360" w:type="dxa"/>
        <w:jc w:val="left"/>
        <w:tblLayout w:type="fixed"/>
        <w:tblLook w:firstRow="1" w:lastRow="0" w:firstColumn="0" w:lastColumn="0" w:noHBand="0" w:noVBand="0" w:val="0020"/>
      </w:tblPr>
      <w:tblGrid>
        <w:gridCol w:w="1601"/>
        <w:gridCol w:w="7759"/>
      </w:tblGrid>
      <w:tr>
        <w:trPr>
          <w:cantSplit/>
          <w:tblHeader w:val="true"/>
        </w:trPr>
        <w:tc>
          <w:tcPr>
            <w:tcW w:w="1601" w:type="dxa"/>
          </w:tcPr>
          <w:p>
            <w:pPr>
              <w:pStyle w:val="TableText"/>
              <w:jc w:val="left"/>
            </w:pPr>
            <w:r>
              <w:t xml:space="preserve">Spread code</w:t>
            </w:r>
          </w:p>
        </w:tc>
        <w:tc>
          <w:tcPr>
            <w:tcW w:w="7759" w:type="dxa"/>
          </w:tcPr>
          <w:p>
            <w:pPr>
              <w:pStyle w:val="TableText"/>
            </w:pPr>
          </w:p>
        </w:tc>
      </w:tr>
      <w:tr>
        <w:trPr>
          <w:cantSplit/>
        </w:trPr>
        <w:tc>
          <w:tcPr>
            <w:tcW w:w="1601" w:type="dxa"/>
          </w:tcPr>
          <w:p>
            <w:pPr>
              <w:pStyle w:val="TableText"/>
              <w:jc w:val="left"/>
            </w:pPr>
            <w:r>
              <w:t xml:space="preserve">Spread</w:t>
            </w:r>
          </w:p>
        </w:tc>
        <w:tc>
          <w:tcPr>
            <w:tcW w:w="7759" w:type="dxa"/>
          </w:tcPr>
          <w:p>
            <w:pPr>
              <w:pStyle w:val="TableText"/>
              <w:jc w:val="left"/>
            </w:pPr>
            <w:r>
              <w:rPr>
                <w:b/>
                <w:bCs/>
              </w:rPr>
              <w:t xml:space="preserve">S8 Risk pricing</w:t>
            </w:r>
          </w:p>
        </w:tc>
      </w:tr>
      <w:tr>
        <w:trPr>
          <w:cantSplit/>
        </w:trPr>
        <w:tc>
          <w:tcPr>
            <w:tcW w:w="1601" w:type="dxa"/>
          </w:tcPr>
          <w:p>
            <w:pPr>
              <w:pStyle w:val="TableText"/>
              <w:jc w:val="left"/>
            </w:pPr>
            <w:r>
              <w:t xml:space="preserve">Value side</w:t>
            </w:r>
          </w:p>
        </w:tc>
        <w:tc>
          <w:tcPr>
            <w:tcW w:w="7759" w:type="dxa"/>
          </w:tcPr>
          <w:p>
            <w:pPr>
              <w:pStyle w:val="TableText"/>
              <w:jc w:val="left"/>
            </w:pPr>
            <w:r>
              <w:t xml:space="preserve">The difference between the risk lenders assume and the true risk of good borrowers</w:t>
            </w:r>
          </w:p>
        </w:tc>
      </w:tr>
      <w:tr>
        <w:trPr>
          <w:cantSplit/>
        </w:trPr>
        <w:tc>
          <w:tcPr>
            <w:tcW w:w="1601" w:type="dxa"/>
          </w:tcPr>
          <w:p>
            <w:pPr>
              <w:pStyle w:val="TableText"/>
              <w:jc w:val="left"/>
            </w:pPr>
            <w:r>
              <w:t xml:space="preserve">Cost side</w:t>
            </w:r>
          </w:p>
        </w:tc>
        <w:tc>
          <w:tcPr>
            <w:tcW w:w="7759" w:type="dxa"/>
          </w:tcPr>
          <w:p>
            <w:pPr>
              <w:pStyle w:val="TableText"/>
              <w:jc w:val="left"/>
            </w:pPr>
            <w:r>
              <w:t xml:space="preserve">AI scoring on consented, verified data</w:t>
            </w:r>
          </w:p>
        </w:tc>
      </w:tr>
      <w:tr>
        <w:trPr>
          <w:cantSplit/>
        </w:trPr>
        <w:tc>
          <w:tcPr>
            <w:tcW w:w="1601" w:type="dxa"/>
          </w:tcPr>
          <w:p>
            <w:pPr>
              <w:pStyle w:val="TableText"/>
              <w:jc w:val="left"/>
            </w:pPr>
            <w:r>
              <w:t xml:space="preserve">Main friction</w:t>
            </w:r>
          </w:p>
        </w:tc>
        <w:tc>
          <w:tcPr>
            <w:tcW w:w="7759" w:type="dxa"/>
          </w:tcPr>
          <w:p>
            <w:pPr>
              <w:pStyle w:val="TableText"/>
              <w:jc w:val="left"/>
            </w:pPr>
            <w:r>
              <w:t xml:space="preserve">Consent and data protection; regulation; lender adoption</w:t>
            </w:r>
          </w:p>
        </w:tc>
      </w:tr>
      <w:tr>
        <w:trPr>
          <w:cantSplit/>
        </w:trPr>
        <w:tc>
          <w:tcPr>
            <w:tcW w:w="1601" w:type="dxa"/>
          </w:tcPr>
          <w:p>
            <w:pPr>
              <w:pStyle w:val="TableText"/>
              <w:jc w:val="left"/>
            </w:pPr>
            <w:r>
              <w:t xml:space="preserve">Half-life</w:t>
            </w:r>
          </w:p>
        </w:tc>
        <w:tc>
          <w:tcPr>
            <w:tcW w:w="7759" w:type="dxa"/>
          </w:tcPr>
          <w:p>
            <w:pPr>
              <w:pStyle w:val="TableText"/>
              <w:jc w:val="left"/>
            </w:pPr>
            <w:r>
              <w:t xml:space="preserve">Medium: credit bureaus and lenders will improve, but consented, verified data networks are slow to build</w:t>
            </w:r>
          </w:p>
        </w:tc>
      </w:tr>
      <w:tr>
        <w:trPr>
          <w:cantSplit/>
        </w:trPr>
        <w:tc>
          <w:tcPr>
            <w:tcW w:w="1601" w:type="dxa"/>
          </w:tcPr>
          <w:p>
            <w:pPr>
              <w:pStyle w:val="TableText"/>
              <w:jc w:val="left"/>
            </w:pPr>
            <w:r>
              <w:t xml:space="preserve">Moats</w:t>
            </w:r>
          </w:p>
        </w:tc>
        <w:tc>
          <w:tcPr>
            <w:tcW w:w="7759" w:type="dxa"/>
          </w:tcPr>
          <w:p>
            <w:pPr>
              <w:pStyle w:val="TableText"/>
              <w:jc w:val="left"/>
            </w:pPr>
            <w:r>
              <w:t xml:space="preserve">Consented data network; regulatory standing; lender integrations; fairness reputation</w:t>
            </w:r>
          </w:p>
        </w:tc>
      </w:tr>
      <w:tr>
        <w:trPr>
          <w:cantSplit/>
        </w:trPr>
        <w:tc>
          <w:tcPr>
            <w:tcW w:w="1601" w:type="dxa"/>
          </w:tcPr>
          <w:p>
            <w:pPr>
              <w:pStyle w:val="TableText"/>
              <w:jc w:val="left"/>
            </w:pPr>
            <w:r>
              <w:t xml:space="preserve">Archetype and governance</w:t>
            </w:r>
          </w:p>
        </w:tc>
        <w:tc>
          <w:tcPr>
            <w:tcW w:w="7759" w:type="dxa"/>
          </w:tcPr>
          <w:p>
            <w:pPr>
              <w:pStyle w:val="TableText"/>
              <w:jc w:val="left"/>
            </w:pPr>
            <w:r>
              <w:t xml:space="preserve">A7 data trust (borrowers’ data held for them) + A8 protocol; steward-owned, with a borrower advisory council</w:t>
            </w:r>
          </w:p>
        </w:tc>
      </w:tr>
    </w:tbl>
    <w:p>
      <w:pPr>
        <w:pStyle w:val="BodyText"/>
        <w:spacing w:before="160"/>
      </w:pPr>
      <w:r>
        <w:rPr>
          <w:b/>
          <w:bCs/>
        </w:rPr>
        <w:t xml:space="preserve">The gap</w:t>
      </w:r>
    </w:p>
    <w:p>
      <w:pPr>
        <w:pStyle w:val="Compact"/>
        <w:numPr>
          <w:ilvl w:val="0"/>
          <w:numId w:val="1047"/>
        </w:numPr>
      </w:pPr>
      <w:r>
        <w:t xml:space="preserve">Nigeria’s consumer-protection regulator introduced digital lending regulations in 2025 after widespread abuses by loan apps, including harassment and misuse of borrowers’ contacts and photos. Fines reach ₦100m or 1% of turnover, and apps may not access contact lists or photos. A court ruling in July 2026 upheld the regulator’s authority.</w:t>
      </w:r>
    </w:p>
    <w:p>
      <w:pPr>
        <w:pStyle w:val="Compact"/>
        <w:numPr>
          <w:ilvl w:val="0"/>
          <w:numId w:val="1047"/>
        </w:numPr>
      </w:pPr>
      <w:r>
        <w:t xml:space="preserve">Formal lenders often cannot assess informal businesses, so good borrowers are refused or overcharged.</w:t>
      </w:r>
    </w:p>
    <w:p>
      <w:pPr>
        <w:pStyle w:val="Compact"/>
        <w:numPr>
          <w:ilvl w:val="0"/>
          <w:numId w:val="1047"/>
        </w:numPr>
      </w:pPr>
      <w:r>
        <w:t xml:space="preserve">Verified data already exists in fragments: mobile-money histories, trading records, warehouse receipts, building milestones.</w:t>
      </w:r>
    </w:p>
    <w:p>
      <w:pPr>
        <w:pStyle w:val="FirstParagraph"/>
      </w:pPr>
      <w:r>
        <w:rPr>
          <w:b/>
          <w:bCs/>
        </w:rPr>
        <w:t xml:space="preserve">Benchmarks: borrowed and inverted</w:t>
      </w:r>
    </w:p>
    <w:p>
      <w:pPr>
        <w:pStyle w:val="Compact"/>
        <w:numPr>
          <w:ilvl w:val="0"/>
          <w:numId w:val="1048"/>
        </w:numPr>
      </w:pPr>
      <w:r>
        <w:rPr>
          <w:b/>
          <w:bCs/>
        </w:rPr>
        <w:t xml:space="preserve">From Airbnb:</w:t>
      </w:r>
      <w:r>
        <w:t xml:space="preserve"> </w:t>
      </w:r>
      <w:r>
        <w:t xml:space="preserve">reputations built from verified transactions.</w:t>
      </w:r>
    </w:p>
    <w:p>
      <w:pPr>
        <w:pStyle w:val="Compact"/>
        <w:numPr>
          <w:ilvl w:val="0"/>
          <w:numId w:val="1048"/>
        </w:numPr>
      </w:pPr>
      <w:r>
        <w:rPr>
          <w:b/>
          <w:bCs/>
        </w:rPr>
        <w:t xml:space="preserve">From Volume I’s DataGuild:</w:t>
      </w:r>
      <w:r>
        <w:t xml:space="preserve"> </w:t>
      </w:r>
      <w:r>
        <w:t xml:space="preserve">a data trust that holds data on behalf of the people it describes.</w:t>
      </w:r>
    </w:p>
    <w:p>
      <w:pPr>
        <w:pStyle w:val="Compact"/>
        <w:numPr>
          <w:ilvl w:val="0"/>
          <w:numId w:val="1048"/>
        </w:numPr>
      </w:pPr>
      <w:r>
        <w:rPr>
          <w:b/>
          <w:bCs/>
        </w:rPr>
        <w:t xml:space="preserve">Links</w:t>
      </w:r>
      <w:r>
        <w:t xml:space="preserve"> </w:t>
      </w:r>
      <w:r>
        <w:t xml:space="preserve">to OfficePilot, HarvestGrid, BuildBridge and Bastion (insurance).</w:t>
      </w:r>
    </w:p>
    <w:p>
      <w:pPr>
        <w:pStyle w:val="Compact"/>
        <w:numPr>
          <w:ilvl w:val="0"/>
          <w:numId w:val="1048"/>
        </w:numPr>
      </w:pPr>
      <w:r>
        <w:rPr>
          <w:b/>
          <w:bCs/>
        </w:rPr>
        <w:t xml:space="preserve">Inverts:</w:t>
      </w:r>
      <w:r>
        <w:t xml:space="preserve"> </w:t>
      </w:r>
      <w:r>
        <w:t xml:space="preserve">the dark twin, predatory app lending, profits from desperation and data abuse. FairScore profits only when borrowers succeed.</w:t>
      </w:r>
    </w:p>
    <w:p>
      <w:pPr>
        <w:pStyle w:val="FirstParagraph"/>
      </w:pPr>
      <w:r>
        <w:rPr>
          <w:b/>
          <w:bCs/>
        </w:rPr>
        <w:t xml:space="preserve">How it works</w:t>
      </w:r>
    </w:p>
    <w:p>
      <w:pPr>
        <w:pStyle w:val="Compact"/>
        <w:numPr>
          <w:ilvl w:val="0"/>
          <w:numId w:val="1049"/>
        </w:numPr>
      </w:pPr>
      <w:r>
        <w:rPr>
          <w:b/>
          <w:bCs/>
        </w:rPr>
        <w:t xml:space="preserve">Consent.</w:t>
      </w:r>
      <w:r>
        <w:t xml:space="preserve"> </w:t>
      </w:r>
      <w:r>
        <w:t xml:space="preserve">Borrowers choose which records to share, for what purpose and for how long, and can revoke consent.</w:t>
      </w:r>
    </w:p>
    <w:p>
      <w:pPr>
        <w:pStyle w:val="Compact"/>
        <w:numPr>
          <w:ilvl w:val="0"/>
          <w:numId w:val="1049"/>
        </w:numPr>
      </w:pPr>
      <w:r>
        <w:rPr>
          <w:b/>
          <w:bCs/>
        </w:rPr>
        <w:t xml:space="preserve">Verified data.</w:t>
      </w:r>
      <w:r>
        <w:t xml:space="preserve"> </w:t>
      </w:r>
      <w:r>
        <w:t xml:space="preserve">Records come from verified sources (OfficePilot books, mobile-money statements, HarvestGrid receipts, BuildBridge milestones), not phone contacts or photos.</w:t>
      </w:r>
    </w:p>
    <w:p>
      <w:pPr>
        <w:pStyle w:val="Compact"/>
        <w:numPr>
          <w:ilvl w:val="0"/>
          <w:numId w:val="1049"/>
        </w:numPr>
      </w:pPr>
      <w:r>
        <w:rPr>
          <w:b/>
          <w:bCs/>
        </w:rPr>
        <w:t xml:space="preserve">Explainable scoring.</w:t>
      </w:r>
      <w:r>
        <w:t xml:space="preserve"> </w:t>
      </w:r>
      <w:r>
        <w:t xml:space="preserve">AI models produce scores with plain-language reasons and tips for improving.</w:t>
      </w:r>
    </w:p>
    <w:p>
      <w:pPr>
        <w:pStyle w:val="Compact"/>
        <w:numPr>
          <w:ilvl w:val="0"/>
          <w:numId w:val="1049"/>
        </w:numPr>
      </w:pPr>
      <w:r>
        <w:rPr>
          <w:b/>
          <w:bCs/>
        </w:rPr>
        <w:t xml:space="preserve">Fairness audits.</w:t>
      </w:r>
      <w:r>
        <w:t xml:space="preserve"> </w:t>
      </w:r>
      <w:r>
        <w:t xml:space="preserve">Regular audits for bias by gender, region and ethnicity, published annually.</w:t>
      </w:r>
    </w:p>
    <w:p>
      <w:pPr>
        <w:pStyle w:val="Compact"/>
        <w:numPr>
          <w:ilvl w:val="0"/>
          <w:numId w:val="1049"/>
        </w:numPr>
      </w:pPr>
      <w:r>
        <w:rPr>
          <w:b/>
          <w:bCs/>
        </w:rPr>
        <w:t xml:space="preserve">Licensed lenders only.</w:t>
      </w:r>
      <w:r>
        <w:t xml:space="preserve"> </w:t>
      </w:r>
      <w:r>
        <w:t xml:space="preserve">Scores are sold only to licensed, compliant lenders and cooperatives that accept rate caps and fair-collection standards.</w:t>
      </w:r>
    </w:p>
    <w:p>
      <w:pPr>
        <w:pStyle w:val="Compact"/>
        <w:numPr>
          <w:ilvl w:val="0"/>
          <w:numId w:val="1049"/>
        </w:numPr>
      </w:pPr>
      <w:r>
        <w:rPr>
          <w:b/>
          <w:bCs/>
        </w:rPr>
        <w:t xml:space="preserve">Borrower benefits.</w:t>
      </w:r>
      <w:r>
        <w:t xml:space="preserve"> </w:t>
      </w:r>
      <w:r>
        <w:t xml:space="preserve">Good repayment builds a portable reputation that lowers rates over time.</w:t>
      </w:r>
    </w:p>
    <w:p>
      <w:pPr>
        <w:pStyle w:val="FirstParagraph"/>
      </w:pPr>
      <w:r>
        <w:rPr>
          <w:b/>
          <w:bCs/>
        </w:rPr>
        <w:t xml:space="preserve">From spread to moat.</w:t>
      </w:r>
      <w:r>
        <w:t xml:space="preserve"> </w:t>
      </w:r>
      <w:r>
        <w:t xml:space="preserve">When credit scoring becomes common, FairScore keeps its consented, verified data network, its regulator relationships and its fairness reputation.</w:t>
      </w:r>
      <w:r>
        <w:t xml:space="preserve"> </w:t>
      </w:r>
      <w:r>
        <w:rPr>
          <w:b/>
          <w:bCs/>
        </w:rPr>
        <w:t xml:space="preserve">Who shares the spread:</w:t>
      </w:r>
      <w:r>
        <w:t xml:space="preserve"> </w:t>
      </w:r>
      <w:r>
        <w:t xml:space="preserve">borrowers through lower rates and access to credit.</w:t>
      </w:r>
    </w:p>
    <w:p>
      <w:pPr>
        <w:pStyle w:val="BodyText"/>
      </w:pPr>
      <w:r>
        <w:rPr>
          <w:b/>
          <w:bCs/>
        </w:rPr>
        <w:t xml:space="preserve">System dynamics</w:t>
      </w:r>
    </w:p>
    <w:p>
      <w:pPr>
        <w:pStyle w:val="Compact"/>
        <w:numPr>
          <w:ilvl w:val="0"/>
          <w:numId w:val="1050"/>
        </w:numPr>
      </w:pPr>
      <w:r>
        <w:rPr>
          <w:b/>
          <w:bCs/>
        </w:rPr>
        <w:t xml:space="preserve">R1, the reputation loop:</w:t>
      </w:r>
      <w:r>
        <w:t xml:space="preserve"> </w:t>
      </w:r>
      <w:r>
        <w:t xml:space="preserve">fair loans → successful repayment → better scores → lower rates → more borrowers.</w:t>
      </w:r>
    </w:p>
    <w:p>
      <w:pPr>
        <w:pStyle w:val="Compact"/>
        <w:numPr>
          <w:ilvl w:val="0"/>
          <w:numId w:val="1050"/>
        </w:numPr>
      </w:pPr>
      <w:r>
        <w:rPr>
          <w:b/>
          <w:bCs/>
        </w:rPr>
        <w:t xml:space="preserve">R2, the data-network loop:</w:t>
      </w:r>
      <w:r>
        <w:t xml:space="preserve"> </w:t>
      </w:r>
      <w:r>
        <w:t xml:space="preserve">more data sources → better accuracy → more lenders.</w:t>
      </w:r>
    </w:p>
    <w:p>
      <w:pPr>
        <w:pStyle w:val="Compact"/>
        <w:numPr>
          <w:ilvl w:val="0"/>
          <w:numId w:val="1050"/>
        </w:numPr>
      </w:pPr>
      <w:r>
        <w:rPr>
          <w:b/>
          <w:bCs/>
        </w:rPr>
        <w:t xml:space="preserve">B1, over-lending risk:</w:t>
      </w:r>
      <w:r>
        <w:t xml:space="preserve"> </w:t>
      </w:r>
      <w:r>
        <w:t xml:space="preserve">easy credit can trap borrowers. Affordability checks and caps contain it.</w:t>
      </w:r>
    </w:p>
    <w:p>
      <w:pPr>
        <w:pStyle w:val="Compact"/>
        <w:numPr>
          <w:ilvl w:val="0"/>
          <w:numId w:val="1050"/>
        </w:numPr>
      </w:pPr>
      <w:r>
        <w:rPr>
          <w:b/>
          <w:bCs/>
        </w:rPr>
        <w:t xml:space="preserve">Leverage point:</w:t>
      </w:r>
      <w:r>
        <w:t xml:space="preserve"> </w:t>
      </w:r>
      <w:r>
        <w:t xml:space="preserve">rules (consent and fair-lending standards) and information (explainable scores).</w:t>
      </w:r>
    </w:p>
    <w:p>
      <w:pPr>
        <w:pStyle w:val="FirstParagraph"/>
      </w:pPr>
      <w:r>
        <w:rPr>
          <w:b/>
          <w:bCs/>
        </w:rPr>
        <w:t xml:space="preserve">Design thinking</w:t>
      </w:r>
    </w:p>
    <w:p>
      <w:pPr>
        <w:pStyle w:val="Compact"/>
        <w:numPr>
          <w:ilvl w:val="0"/>
          <w:numId w:val="1051"/>
        </w:numPr>
      </w:pPr>
      <w:r>
        <w:rPr>
          <w:i/>
          <w:iCs/>
        </w:rPr>
        <w:t xml:space="preserve">Personas:</w:t>
      </w:r>
      <w:r>
        <w:t xml:space="preserve"> </w:t>
      </w:r>
      <w:r>
        <w:rPr>
          <w:b/>
          <w:bCs/>
        </w:rPr>
        <w:t xml:space="preserve">Mama Nkechi</w:t>
      </w:r>
      <w:r>
        <w:t xml:space="preserve"> </w:t>
      </w:r>
      <w:r>
        <w:t xml:space="preserve">(from OfficePilot), refused by her bank.</w:t>
      </w:r>
      <w:r>
        <w:t xml:space="preserve"> </w:t>
      </w:r>
      <w:r>
        <w:rPr>
          <w:b/>
          <w:bCs/>
        </w:rPr>
        <w:t xml:space="preserve">Ibrahim</w:t>
      </w:r>
      <w:r>
        <w:t xml:space="preserve">, a farmer with warehouse receipts but no collateral.</w:t>
      </w:r>
      <w:r>
        <w:t xml:space="preserve"> </w:t>
      </w:r>
      <w:r>
        <w:rPr>
          <w:b/>
          <w:bCs/>
        </w:rPr>
        <w:t xml:space="preserve">A cooperative lender</w:t>
      </w:r>
      <w:r>
        <w:t xml:space="preserve"> </w:t>
      </w:r>
      <w:r>
        <w:t xml:space="preserve">that wants to lend more but fears defaults.</w:t>
      </w:r>
    </w:p>
    <w:p>
      <w:pPr>
        <w:pStyle w:val="Compact"/>
        <w:numPr>
          <w:ilvl w:val="0"/>
          <w:numId w:val="1051"/>
        </w:numPr>
      </w:pPr>
      <w:r>
        <w:rPr>
          <w:i/>
          <w:iCs/>
        </w:rPr>
        <w:t xml:space="preserve">How might</w:t>
      </w:r>
      <w:r>
        <w:t xml:space="preserve"> </w:t>
      </w:r>
      <w:r>
        <w:t xml:space="preserve">a trader’s honest records become her best collateral?</w:t>
      </w:r>
    </w:p>
    <w:p>
      <w:pPr>
        <w:pStyle w:val="Compact"/>
        <w:numPr>
          <w:ilvl w:val="0"/>
          <w:numId w:val="1051"/>
        </w:numPr>
      </w:pPr>
      <w:r>
        <w:rPr>
          <w:i/>
          <w:iCs/>
        </w:rPr>
        <w:t xml:space="preserve">Moment of truth:</w:t>
      </w:r>
      <w:r>
        <w:t xml:space="preserve"> </w:t>
      </w:r>
      <w:r>
        <w:t xml:space="preserve">Mama Nkechi gets a loan at a fair rate, with a clear explanation of why, and no one ever touches her phone contacts.</w:t>
      </w:r>
    </w:p>
    <w:p>
      <w:pPr>
        <w:pStyle w:val="FirstParagraph"/>
      </w:pPr>
      <w:r>
        <w:rPr>
          <w:b/>
          <w:bCs/>
        </w:rPr>
        <w:t xml:space="preserve">Business model.</w:t>
      </w:r>
      <w:r>
        <w:t xml:space="preserve"> </w:t>
      </w:r>
      <w:r>
        <w:t xml:space="preserve">Per-score fees paid by lenders; subscription analytics for cooperatives; portfolio monitoring; no fees charged to borrowers.</w:t>
      </w:r>
    </w:p>
    <w:tbl>
      <w:tblPr>
        <w:tblStyle w:val="Table"/>
        <w:tblW w:w="9360" w:type="dxa"/>
        <w:jc w:val="left"/>
        <w:tblLayout w:type="fixed"/>
        <w:tblLook w:firstRow="1" w:lastRow="0" w:firstColumn="0" w:lastColumn="0" w:noHBand="0" w:noVBand="0" w:val="0020"/>
      </w:tblPr>
      <w:tblGrid>
        <w:gridCol w:w="2131"/>
        <w:gridCol w:w="7229"/>
      </w:tblGrid>
      <w:tr>
        <w:trPr>
          <w:cantSplit/>
          <w:tblHeader w:val="true"/>
        </w:trPr>
        <w:tc>
          <w:tcPr>
            <w:tcW w:w="2131" w:type="dxa"/>
          </w:tcPr>
          <w:p>
            <w:pPr>
              <w:pStyle w:val="TableText"/>
              <w:jc w:val="left"/>
            </w:pPr>
            <w:r>
              <w:t xml:space="preserve">Risk</w:t>
            </w:r>
          </w:p>
        </w:tc>
        <w:tc>
          <w:tcPr>
            <w:tcW w:w="7229" w:type="dxa"/>
          </w:tcPr>
          <w:p>
            <w:pPr>
              <w:pStyle w:val="TableText"/>
              <w:jc w:val="left"/>
            </w:pPr>
            <w:r>
              <w:t xml:space="preserve">Safeguard</w:t>
            </w:r>
          </w:p>
        </w:tc>
      </w:tr>
      <w:tr>
        <w:trPr>
          <w:cantSplit/>
        </w:trPr>
        <w:tc>
          <w:tcPr>
            <w:tcW w:w="2131" w:type="dxa"/>
          </w:tcPr>
          <w:p>
            <w:pPr>
              <w:pStyle w:val="TableText"/>
              <w:jc w:val="left"/>
            </w:pPr>
            <w:r>
              <w:t xml:space="preserve">Predatory use (dark twin)</w:t>
            </w:r>
          </w:p>
        </w:tc>
        <w:tc>
          <w:tcPr>
            <w:tcW w:w="7229" w:type="dxa"/>
          </w:tcPr>
          <w:p>
            <w:pPr>
              <w:pStyle w:val="TableText"/>
              <w:jc w:val="left"/>
            </w:pPr>
            <w:r>
              <w:t xml:space="preserve">Licensed lenders only; rate caps; fair-collection standards; contract termination for abuse</w:t>
            </w:r>
          </w:p>
        </w:tc>
      </w:tr>
      <w:tr>
        <w:trPr>
          <w:cantSplit/>
        </w:trPr>
        <w:tc>
          <w:tcPr>
            <w:tcW w:w="2131" w:type="dxa"/>
          </w:tcPr>
          <w:p>
            <w:pPr>
              <w:pStyle w:val="TableText"/>
              <w:jc w:val="left"/>
            </w:pPr>
            <w:r>
              <w:t xml:space="preserve">Bias and discrimination</w:t>
            </w:r>
          </w:p>
        </w:tc>
        <w:tc>
          <w:tcPr>
            <w:tcW w:w="7229" w:type="dxa"/>
          </w:tcPr>
          <w:p>
            <w:pPr>
              <w:pStyle w:val="TableText"/>
              <w:jc w:val="left"/>
            </w:pPr>
            <w:r>
              <w:t xml:space="preserve">Fairness audits; explainability; borrower appeals</w:t>
            </w:r>
          </w:p>
        </w:tc>
      </w:tr>
      <w:tr>
        <w:trPr>
          <w:cantSplit/>
        </w:trPr>
        <w:tc>
          <w:tcPr>
            <w:tcW w:w="2131" w:type="dxa"/>
          </w:tcPr>
          <w:p>
            <w:pPr>
              <w:pStyle w:val="TableText"/>
              <w:jc w:val="left"/>
            </w:pPr>
            <w:r>
              <w:t xml:space="preserve">Data breaches</w:t>
            </w:r>
          </w:p>
        </w:tc>
        <w:tc>
          <w:tcPr>
            <w:tcW w:w="7229" w:type="dxa"/>
          </w:tcPr>
          <w:p>
            <w:pPr>
              <w:pStyle w:val="TableText"/>
              <w:jc w:val="left"/>
            </w:pPr>
            <w:r>
              <w:t xml:space="preserve">Encryption; data minimization; consent logs</w:t>
            </w:r>
          </w:p>
        </w:tc>
      </w:tr>
      <w:tr>
        <w:trPr>
          <w:cantSplit/>
        </w:trPr>
        <w:tc>
          <w:tcPr>
            <w:tcW w:w="2131" w:type="dxa"/>
          </w:tcPr>
          <w:p>
            <w:pPr>
              <w:pStyle w:val="TableText"/>
              <w:jc w:val="left"/>
            </w:pPr>
            <w:r>
              <w:t xml:space="preserve">Regulatory change</w:t>
            </w:r>
          </w:p>
        </w:tc>
        <w:tc>
          <w:tcPr>
            <w:tcW w:w="7229" w:type="dxa"/>
          </w:tcPr>
          <w:p>
            <w:pPr>
              <w:pStyle w:val="TableText"/>
              <w:jc w:val="left"/>
            </w:pPr>
            <w:r>
              <w:t xml:space="preserve">Close engagement with regulators; compliance by design</w:t>
            </w:r>
          </w:p>
        </w:tc>
      </w:tr>
    </w:tbl>
    <w:p>
      <w:pPr>
        <w:pStyle w:val="BodyText"/>
        <w:spacing w:before="160"/>
      </w:pPr>
      <w:r>
        <w:rPr>
          <w:b/>
          <w:bCs/>
        </w:rPr>
        <w:t xml:space="preserve">First 100 days.</w:t>
      </w:r>
      <w:r>
        <w:t xml:space="preserve"> </w:t>
      </w:r>
      <w:r>
        <w:t xml:space="preserve">One cooperative lender and one microfinance bank; 1,000 OfficePilot traders and 500 HarvestGrid farmers who consent; first loans; track repayment.</w:t>
      </w:r>
    </w:p>
    <w:p>
      <w:pPr>
        <w:pStyle w:val="BodyText"/>
      </w:pPr>
      <w:r>
        <w:rPr>
          <w:b/>
          <w:bCs/>
        </w:rPr>
        <w:t xml:space="preserve">Scores.</w:t>
      </w:r>
      <w:r>
        <w:t xml:space="preserve"> </w:t>
      </w:r>
      <w:r>
        <w:t xml:space="preserve">Spread Quality</w:t>
      </w:r>
      <w:r>
        <w:t xml:space="preserve"> </w:t>
      </w:r>
      <w:r>
        <w:rPr>
          <w:b/>
          <w:bCs/>
        </w:rPr>
        <w:t xml:space="preserve">20/25</w:t>
      </w:r>
      <w:r>
        <w:t xml:space="preserve"> </w:t>
      </w:r>
      <w:r>
        <w:t xml:space="preserve">(S4 · H4 · P4 · M4 · F4). Double Decagon</w:t>
      </w:r>
      <w:r>
        <w:t xml:space="preserve"> </w:t>
      </w:r>
      <w:r>
        <w:rPr>
          <w:b/>
          <w:bCs/>
        </w:rPr>
        <w:t xml:space="preserve">83/100</w:t>
      </w:r>
      <w:r>
        <w:t xml:space="preserve">: Inner 42/50 (V1 4 · V2 5 · V3 5 · V4 3 · V5 5 · V6 4 · V7 4 · V8 4 · V9 4 · V10 4); Future-Fitness 41/50 (F1 4 · F2 4 · F3 4 · F4 5 · F5 4 · F6 4 · F7 5 · F8 3 · F9 4 · F10 4).</w:t>
      </w:r>
    </w:p>
    <w:bookmarkEnd w:id="60"/>
    <w:bookmarkStart w:id="61" w:name="X5caca09e6b775e9de6df38bb714be8df444409c"/>
    <w:p>
      <w:pPr>
        <w:pStyle w:val="Heading2"/>
      </w:pPr>
      <w:r>
        <w:t xml:space="preserve">Venture 9: BACKLOGZERO, clearing the public sector’s paperwork mountain</w:t>
      </w:r>
    </w:p>
    <w:p>
      <w:pPr>
        <w:pStyle w:val="BlockText"/>
      </w:pPr>
      <w:r>
        <w:rPr>
          <w:b/>
          <w:bCs/>
        </w:rPr>
        <w:t xml:space="preserve">Thesis.</w:t>
      </w:r>
      <w:r>
        <w:t xml:space="preserve"> </w:t>
      </w:r>
      <w:r>
        <w:t xml:space="preserve">Across many countries, citizens wait months or years for land titles, building permits, business registrations, pension verifications and court records. Most of the delay is paperwork: finding files, checking documents, matching records. BacklogZero combines AI document processing with trained human clerks to clear public-sector backlogs under outcome-based contracts, with public dashboards so citizens can see progress.</w:t>
      </w:r>
    </w:p>
    <w:tbl>
      <w:tblPr>
        <w:tblStyle w:val="Table"/>
        <w:tblW w:w="9360" w:type="dxa"/>
        <w:jc w:val="left"/>
        <w:tblLayout w:type="fixed"/>
        <w:tblLook w:firstRow="1" w:lastRow="0" w:firstColumn="0" w:lastColumn="0" w:noHBand="0" w:noVBand="0" w:val="0020"/>
      </w:tblPr>
      <w:tblGrid>
        <w:gridCol w:w="1953"/>
        <w:gridCol w:w="7407"/>
      </w:tblGrid>
      <w:tr>
        <w:trPr>
          <w:cantSplit/>
          <w:tblHeader w:val="true"/>
        </w:trPr>
        <w:tc>
          <w:tcPr>
            <w:tcW w:w="1953" w:type="dxa"/>
          </w:tcPr>
          <w:p>
            <w:pPr>
              <w:pStyle w:val="TableText"/>
              <w:jc w:val="left"/>
            </w:pPr>
            <w:r>
              <w:t xml:space="preserve">Spread code</w:t>
            </w:r>
          </w:p>
        </w:tc>
        <w:tc>
          <w:tcPr>
            <w:tcW w:w="7407" w:type="dxa"/>
          </w:tcPr>
          <w:p>
            <w:pPr>
              <w:pStyle w:val="TableText"/>
            </w:pPr>
          </w:p>
        </w:tc>
      </w:tr>
      <w:tr>
        <w:trPr>
          <w:cantSplit/>
        </w:trPr>
        <w:tc>
          <w:tcPr>
            <w:tcW w:w="1953" w:type="dxa"/>
          </w:tcPr>
          <w:p>
            <w:pPr>
              <w:pStyle w:val="TableText"/>
              <w:jc w:val="left"/>
            </w:pPr>
            <w:r>
              <w:t xml:space="preserve">Spread</w:t>
            </w:r>
          </w:p>
        </w:tc>
        <w:tc>
          <w:tcPr>
            <w:tcW w:w="7407" w:type="dxa"/>
          </w:tcPr>
          <w:p>
            <w:pPr>
              <w:pStyle w:val="TableText"/>
              <w:jc w:val="left"/>
            </w:pPr>
            <w:r>
              <w:rPr>
                <w:b/>
                <w:bCs/>
              </w:rPr>
              <w:t xml:space="preserve">S9 Backlog</w:t>
            </w:r>
          </w:p>
        </w:tc>
      </w:tr>
      <w:tr>
        <w:trPr>
          <w:cantSplit/>
        </w:trPr>
        <w:tc>
          <w:tcPr>
            <w:tcW w:w="1953" w:type="dxa"/>
          </w:tcPr>
          <w:p>
            <w:pPr>
              <w:pStyle w:val="TableText"/>
              <w:jc w:val="left"/>
            </w:pPr>
            <w:r>
              <w:t xml:space="preserve">Value side</w:t>
            </w:r>
          </w:p>
        </w:tc>
        <w:tc>
          <w:tcPr>
            <w:tcW w:w="7407" w:type="dxa"/>
          </w:tcPr>
          <w:p>
            <w:pPr>
              <w:pStyle w:val="TableText"/>
              <w:jc w:val="left"/>
            </w:pPr>
            <w:r>
              <w:t xml:space="preserve">The cost of delay to citizens, businesses and investors; revenue governments forgo</w:t>
            </w:r>
          </w:p>
        </w:tc>
      </w:tr>
      <w:tr>
        <w:trPr>
          <w:cantSplit/>
        </w:trPr>
        <w:tc>
          <w:tcPr>
            <w:tcW w:w="1953" w:type="dxa"/>
          </w:tcPr>
          <w:p>
            <w:pPr>
              <w:pStyle w:val="TableText"/>
              <w:jc w:val="left"/>
            </w:pPr>
            <w:r>
              <w:t xml:space="preserve">Cost side</w:t>
            </w:r>
          </w:p>
        </w:tc>
        <w:tc>
          <w:tcPr>
            <w:tcW w:w="7407" w:type="dxa"/>
          </w:tcPr>
          <w:p>
            <w:pPr>
              <w:pStyle w:val="TableText"/>
              <w:jc w:val="left"/>
            </w:pPr>
            <w:r>
              <w:t xml:space="preserve">AI processing plus human verification</w:t>
            </w:r>
          </w:p>
        </w:tc>
      </w:tr>
      <w:tr>
        <w:trPr>
          <w:cantSplit/>
        </w:trPr>
        <w:tc>
          <w:tcPr>
            <w:tcW w:w="1953" w:type="dxa"/>
          </w:tcPr>
          <w:p>
            <w:pPr>
              <w:pStyle w:val="TableText"/>
              <w:jc w:val="left"/>
            </w:pPr>
            <w:r>
              <w:t xml:space="preserve">Main friction</w:t>
            </w:r>
          </w:p>
        </w:tc>
        <w:tc>
          <w:tcPr>
            <w:tcW w:w="7407" w:type="dxa"/>
          </w:tcPr>
          <w:p>
            <w:pPr>
              <w:pStyle w:val="TableText"/>
              <w:jc w:val="left"/>
            </w:pPr>
            <w:r>
              <w:t xml:space="preserve">Procurement; data access; political will; integrity</w:t>
            </w:r>
          </w:p>
        </w:tc>
      </w:tr>
      <w:tr>
        <w:trPr>
          <w:cantSplit/>
        </w:trPr>
        <w:tc>
          <w:tcPr>
            <w:tcW w:w="1953" w:type="dxa"/>
          </w:tcPr>
          <w:p>
            <w:pPr>
              <w:pStyle w:val="TableText"/>
              <w:jc w:val="left"/>
            </w:pPr>
            <w:r>
              <w:t xml:space="preserve">Half-life</w:t>
            </w:r>
          </w:p>
        </w:tc>
        <w:tc>
          <w:tcPr>
            <w:tcW w:w="7407" w:type="dxa"/>
          </w:tcPr>
          <w:p>
            <w:pPr>
              <w:pStyle w:val="TableText"/>
              <w:jc w:val="left"/>
            </w:pPr>
            <w:r>
              <w:t xml:space="preserve">Long: backlogs regenerate, and public trust builds slowly</w:t>
            </w:r>
          </w:p>
        </w:tc>
      </w:tr>
      <w:tr>
        <w:trPr>
          <w:cantSplit/>
        </w:trPr>
        <w:tc>
          <w:tcPr>
            <w:tcW w:w="1953" w:type="dxa"/>
          </w:tcPr>
          <w:p>
            <w:pPr>
              <w:pStyle w:val="TableText"/>
              <w:jc w:val="left"/>
            </w:pPr>
            <w:r>
              <w:t xml:space="preserve">Moats</w:t>
            </w:r>
          </w:p>
        </w:tc>
        <w:tc>
          <w:tcPr>
            <w:tcW w:w="7407" w:type="dxa"/>
          </w:tcPr>
          <w:p>
            <w:pPr>
              <w:pStyle w:val="TableText"/>
              <w:jc w:val="left"/>
            </w:pPr>
            <w:r>
              <w:t xml:space="preserve">Government contracts and integrations; integrity reputation; regulatory standing</w:t>
            </w:r>
          </w:p>
        </w:tc>
      </w:tr>
      <w:tr>
        <w:trPr>
          <w:cantSplit/>
        </w:trPr>
        <w:tc>
          <w:tcPr>
            <w:tcW w:w="1953" w:type="dxa"/>
          </w:tcPr>
          <w:p>
            <w:pPr>
              <w:pStyle w:val="TableText"/>
              <w:jc w:val="left"/>
            </w:pPr>
            <w:r>
              <w:t xml:space="preserve">Archetype and governance</w:t>
            </w:r>
          </w:p>
        </w:tc>
        <w:tc>
          <w:tcPr>
            <w:tcW w:w="7407" w:type="dxa"/>
          </w:tcPr>
          <w:p>
            <w:pPr>
              <w:pStyle w:val="TableText"/>
              <w:jc w:val="left"/>
            </w:pPr>
            <w:r>
              <w:t xml:space="preserve">A8 protocol (open public records) + public–private partnership; steward-owned</w:t>
            </w:r>
          </w:p>
        </w:tc>
      </w:tr>
    </w:tbl>
    <w:p>
      <w:pPr>
        <w:pStyle w:val="BodyText"/>
        <w:spacing w:before="160"/>
      </w:pPr>
      <w:r>
        <w:rPr>
          <w:b/>
          <w:bCs/>
        </w:rPr>
        <w:t xml:space="preserve">The gap</w:t>
      </w:r>
    </w:p>
    <w:p>
      <w:pPr>
        <w:pStyle w:val="Compact"/>
        <w:numPr>
          <w:ilvl w:val="0"/>
          <w:numId w:val="1052"/>
        </w:numPr>
      </w:pPr>
      <w:r>
        <w:t xml:space="preserve">Large backlogs in land registries, permits and courts are common across Africa and beyond. Only a small share of land in sub-Saharan Africa is formally registered, which limits credit and invites disputes.</w:t>
      </w:r>
    </w:p>
    <w:p>
      <w:pPr>
        <w:pStyle w:val="Compact"/>
        <w:numPr>
          <w:ilvl w:val="0"/>
          <w:numId w:val="1052"/>
        </w:numPr>
      </w:pPr>
      <w:r>
        <w:t xml:space="preserve">Delays impose real costs: idle capital, lost investment, disputes, and opportunities for corruption.</w:t>
      </w:r>
    </w:p>
    <w:p>
      <w:pPr>
        <w:pStyle w:val="Compact"/>
        <w:numPr>
          <w:ilvl w:val="0"/>
          <w:numId w:val="1052"/>
        </w:numPr>
      </w:pPr>
      <w:r>
        <w:t xml:space="preserve">AI can now read, classify and cross-check scanned documents at very low cost, while final decisions remain with officials.</w:t>
      </w:r>
    </w:p>
    <w:p>
      <w:pPr>
        <w:pStyle w:val="FirstParagraph"/>
      </w:pPr>
      <w:r>
        <w:rPr>
          <w:b/>
          <w:bCs/>
        </w:rPr>
        <w:t xml:space="preserve">Benchmarks: borrowed and inverted</w:t>
      </w:r>
    </w:p>
    <w:p>
      <w:pPr>
        <w:pStyle w:val="Compact"/>
        <w:numPr>
          <w:ilvl w:val="0"/>
          <w:numId w:val="1053"/>
        </w:numPr>
      </w:pPr>
      <w:r>
        <w:rPr>
          <w:b/>
          <w:bCs/>
        </w:rPr>
        <w:t xml:space="preserve">From Uber:</w:t>
      </w:r>
      <w:r>
        <w:t xml:space="preserve"> </w:t>
      </w:r>
      <w:r>
        <w:t xml:space="preserve">turning invisible waiting into visible, tracked progress, like watching the car approach on the map.</w:t>
      </w:r>
    </w:p>
    <w:p>
      <w:pPr>
        <w:pStyle w:val="Compact"/>
        <w:numPr>
          <w:ilvl w:val="0"/>
          <w:numId w:val="1053"/>
        </w:numPr>
      </w:pPr>
      <w:r>
        <w:rPr>
          <w:b/>
          <w:bCs/>
        </w:rPr>
        <w:t xml:space="preserve">Links</w:t>
      </w:r>
      <w:r>
        <w:t xml:space="preserve"> </w:t>
      </w:r>
      <w:r>
        <w:t xml:space="preserve">to BuildBridge and WildLedger (land records), FairScore (titles as collateral) and GroundTruth (verification).</w:t>
      </w:r>
    </w:p>
    <w:p>
      <w:pPr>
        <w:pStyle w:val="Compact"/>
        <w:numPr>
          <w:ilvl w:val="0"/>
          <w:numId w:val="1053"/>
        </w:numPr>
      </w:pPr>
      <w:r>
        <w:rPr>
          <w:b/>
          <w:bCs/>
        </w:rPr>
        <w:t xml:space="preserve">Inverts:</w:t>
      </w:r>
      <w:r>
        <w:t xml:space="preserve"> </w:t>
      </w:r>
      <w:r>
        <w:t xml:space="preserve">delay that once created room for bribes becomes transparent progress that citizens can track.</w:t>
      </w:r>
    </w:p>
    <w:p>
      <w:pPr>
        <w:pStyle w:val="FirstParagraph"/>
      </w:pPr>
      <w:r>
        <w:rPr>
          <w:b/>
          <w:bCs/>
        </w:rPr>
        <w:t xml:space="preserve">How it works</w:t>
      </w:r>
    </w:p>
    <w:p>
      <w:pPr>
        <w:pStyle w:val="Compact"/>
        <w:numPr>
          <w:ilvl w:val="0"/>
          <w:numId w:val="1054"/>
        </w:numPr>
      </w:pPr>
      <w:r>
        <w:rPr>
          <w:b/>
          <w:bCs/>
        </w:rPr>
        <w:t xml:space="preserve">Digitize.</w:t>
      </w:r>
      <w:r>
        <w:t xml:space="preserve"> </w:t>
      </w:r>
      <w:r>
        <w:t xml:space="preserve">Paper files are scanned; AI extracts and classifies data.</w:t>
      </w:r>
    </w:p>
    <w:p>
      <w:pPr>
        <w:pStyle w:val="Compact"/>
        <w:numPr>
          <w:ilvl w:val="0"/>
          <w:numId w:val="1054"/>
        </w:numPr>
      </w:pPr>
      <w:r>
        <w:rPr>
          <w:b/>
          <w:bCs/>
        </w:rPr>
        <w:t xml:space="preserve">Cross-check.</w:t>
      </w:r>
      <w:r>
        <w:t xml:space="preserve"> </w:t>
      </w:r>
      <w:r>
        <w:t xml:space="preserve">AI checks documents for completeness, consistency and conflicts (for example, overlapping land claims).</w:t>
      </w:r>
    </w:p>
    <w:p>
      <w:pPr>
        <w:pStyle w:val="Compact"/>
        <w:numPr>
          <w:ilvl w:val="0"/>
          <w:numId w:val="1054"/>
        </w:numPr>
      </w:pPr>
      <w:r>
        <w:rPr>
          <w:b/>
          <w:bCs/>
        </w:rPr>
        <w:t xml:space="preserve">Human verification.</w:t>
      </w:r>
      <w:r>
        <w:t xml:space="preserve"> </w:t>
      </w:r>
      <w:r>
        <w:t xml:space="preserve">Trained clerks, many of them existing civil servants retrained, verify flagged cases.</w:t>
      </w:r>
    </w:p>
    <w:p>
      <w:pPr>
        <w:pStyle w:val="Compact"/>
        <w:numPr>
          <w:ilvl w:val="0"/>
          <w:numId w:val="1054"/>
        </w:numPr>
      </w:pPr>
      <w:r>
        <w:rPr>
          <w:b/>
          <w:bCs/>
        </w:rPr>
        <w:t xml:space="preserve">Official decision.</w:t>
      </w:r>
      <w:r>
        <w:t xml:space="preserve"> </w:t>
      </w:r>
      <w:r>
        <w:t xml:space="preserve">Decisions remain with authorized officials. BacklogZero prepares; officials decide.</w:t>
      </w:r>
    </w:p>
    <w:p>
      <w:pPr>
        <w:pStyle w:val="Compact"/>
        <w:numPr>
          <w:ilvl w:val="0"/>
          <w:numId w:val="1054"/>
        </w:numPr>
      </w:pPr>
      <w:r>
        <w:rPr>
          <w:b/>
          <w:bCs/>
        </w:rPr>
        <w:t xml:space="preserve">Public dashboard.</w:t>
      </w:r>
      <w:r>
        <w:t xml:space="preserve"> </w:t>
      </w:r>
      <w:r>
        <w:t xml:space="preserve">Citizens track their applications; average processing times are published.</w:t>
      </w:r>
    </w:p>
    <w:p>
      <w:pPr>
        <w:pStyle w:val="Compact"/>
        <w:numPr>
          <w:ilvl w:val="0"/>
          <w:numId w:val="1054"/>
        </w:numPr>
      </w:pPr>
      <w:r>
        <w:rPr>
          <w:b/>
          <w:bCs/>
        </w:rPr>
        <w:t xml:space="preserve">Outcome-based payment.</w:t>
      </w:r>
      <w:r>
        <w:t xml:space="preserve"> </w:t>
      </w:r>
      <w:r>
        <w:t xml:space="preserve">Governments pay per case cleared to a verified standard.</w:t>
      </w:r>
    </w:p>
    <w:p>
      <w:pPr>
        <w:pStyle w:val="FirstParagraph"/>
      </w:pPr>
      <w:r>
        <w:rPr>
          <w:b/>
          <w:bCs/>
        </w:rPr>
        <w:t xml:space="preserve">From spread to moat.</w:t>
      </w:r>
      <w:r>
        <w:t xml:space="preserve"> </w:t>
      </w:r>
      <w:r>
        <w:t xml:space="preserve">When AI document tools are everywhere, BacklogZero keeps its government integrations, integrity track record and trained workforce.</w:t>
      </w:r>
      <w:r>
        <w:t xml:space="preserve"> </w:t>
      </w:r>
      <w:r>
        <w:rPr>
          <w:b/>
          <w:bCs/>
        </w:rPr>
        <w:t xml:space="preserve">Who shares the spread:</w:t>
      </w:r>
      <w:r>
        <w:t xml:space="preserve"> </w:t>
      </w:r>
      <w:r>
        <w:t xml:space="preserve">citizens (time saved), governments (revenue and trust) and clerks (retraining and better jobs).</w:t>
      </w:r>
    </w:p>
    <w:p>
      <w:pPr>
        <w:pStyle w:val="BodyText"/>
      </w:pPr>
      <w:r>
        <w:rPr>
          <w:b/>
          <w:bCs/>
        </w:rPr>
        <w:t xml:space="preserve">System dynamics</w:t>
      </w:r>
    </w:p>
    <w:p>
      <w:pPr>
        <w:pStyle w:val="Compact"/>
        <w:numPr>
          <w:ilvl w:val="0"/>
          <w:numId w:val="1055"/>
        </w:numPr>
      </w:pPr>
      <w:r>
        <w:rPr>
          <w:b/>
          <w:bCs/>
        </w:rPr>
        <w:t xml:space="preserve">R1, the trust loop:</w:t>
      </w:r>
      <w:r>
        <w:t xml:space="preserve"> </w:t>
      </w:r>
      <w:r>
        <w:t xml:space="preserve">cases cleared → visible progress → public trust → more government contracts.</w:t>
      </w:r>
    </w:p>
    <w:p>
      <w:pPr>
        <w:pStyle w:val="Compact"/>
        <w:numPr>
          <w:ilvl w:val="0"/>
          <w:numId w:val="1055"/>
        </w:numPr>
      </w:pPr>
      <w:r>
        <w:rPr>
          <w:b/>
          <w:bCs/>
        </w:rPr>
        <w:t xml:space="preserve">B1, vested interests:</w:t>
      </w:r>
      <w:r>
        <w:t xml:space="preserve"> </w:t>
      </w:r>
      <w:r>
        <w:t xml:space="preserve">those who benefit from delay resist. Transparency, political sponsorship and outcome contracts contain it.</w:t>
      </w:r>
    </w:p>
    <w:p>
      <w:pPr>
        <w:pStyle w:val="Compact"/>
        <w:numPr>
          <w:ilvl w:val="0"/>
          <w:numId w:val="1055"/>
        </w:numPr>
      </w:pPr>
      <w:r>
        <w:rPr>
          <w:b/>
          <w:bCs/>
        </w:rPr>
        <w:t xml:space="preserve">B2, data-quality limits:</w:t>
      </w:r>
      <w:r>
        <w:t xml:space="preserve"> </w:t>
      </w:r>
      <w:r>
        <w:t xml:space="preserve">poor original records slow progress. Field verification (with GroundTruth) helps.</w:t>
      </w:r>
    </w:p>
    <w:p>
      <w:pPr>
        <w:pStyle w:val="Compact"/>
        <w:numPr>
          <w:ilvl w:val="0"/>
          <w:numId w:val="1055"/>
        </w:numPr>
      </w:pPr>
      <w:r>
        <w:rPr>
          <w:b/>
          <w:bCs/>
        </w:rPr>
        <w:t xml:space="preserve">Leverage point:</w:t>
      </w:r>
      <w:r>
        <w:t xml:space="preserve"> </w:t>
      </w:r>
      <w:r>
        <w:t xml:space="preserve">information flows (public dashboards) and delays.</w:t>
      </w:r>
    </w:p>
    <w:p>
      <w:pPr>
        <w:pStyle w:val="FirstParagraph"/>
      </w:pPr>
      <w:r>
        <w:rPr>
          <w:b/>
          <w:bCs/>
        </w:rPr>
        <w:t xml:space="preserve">Design thinking</w:t>
      </w:r>
    </w:p>
    <w:p>
      <w:pPr>
        <w:pStyle w:val="Compact"/>
        <w:numPr>
          <w:ilvl w:val="0"/>
          <w:numId w:val="1056"/>
        </w:numPr>
      </w:pPr>
      <w:r>
        <w:rPr>
          <w:i/>
          <w:iCs/>
        </w:rPr>
        <w:t xml:space="preserve">Personas:</w:t>
      </w:r>
      <w:r>
        <w:t xml:space="preserve"> </w:t>
      </w:r>
      <w:r>
        <w:rPr>
          <w:b/>
          <w:bCs/>
        </w:rPr>
        <w:t xml:space="preserve">Mr Adeyemi</w:t>
      </w:r>
      <w:r>
        <w:t xml:space="preserve"> </w:t>
      </w:r>
      <w:r>
        <w:t xml:space="preserve">(from Hearth), who has waited three years for a land title.</w:t>
      </w:r>
      <w:r>
        <w:t xml:space="preserve"> </w:t>
      </w:r>
      <w:r>
        <w:rPr>
          <w:b/>
          <w:bCs/>
        </w:rPr>
        <w:t xml:space="preserve">A registry director</w:t>
      </w:r>
      <w:r>
        <w:t xml:space="preserve"> </w:t>
      </w:r>
      <w:r>
        <w:t xml:space="preserve">who wants to clear the backlog but has no budget for staff.</w:t>
      </w:r>
      <w:r>
        <w:t xml:space="preserve"> </w:t>
      </w:r>
      <w:r>
        <w:rPr>
          <w:b/>
          <w:bCs/>
        </w:rPr>
        <w:t xml:space="preserve">A clerk</w:t>
      </w:r>
      <w:r>
        <w:t xml:space="preserve"> </w:t>
      </w:r>
      <w:r>
        <w:t xml:space="preserve">worried about losing her job.</w:t>
      </w:r>
    </w:p>
    <w:p>
      <w:pPr>
        <w:pStyle w:val="Compact"/>
        <w:numPr>
          <w:ilvl w:val="0"/>
          <w:numId w:val="1056"/>
        </w:numPr>
      </w:pPr>
      <w:r>
        <w:rPr>
          <w:i/>
          <w:iCs/>
        </w:rPr>
        <w:t xml:space="preserve">How might</w:t>
      </w:r>
      <w:r>
        <w:t xml:space="preserve"> </w:t>
      </w:r>
      <w:r>
        <w:t xml:space="preserve">a three-year wait become a three-week wait, visible to everyone?</w:t>
      </w:r>
    </w:p>
    <w:p>
      <w:pPr>
        <w:pStyle w:val="Compact"/>
        <w:numPr>
          <w:ilvl w:val="0"/>
          <w:numId w:val="1056"/>
        </w:numPr>
      </w:pPr>
      <w:r>
        <w:rPr>
          <w:i/>
          <w:iCs/>
        </w:rPr>
        <w:t xml:space="preserve">Moment of truth:</w:t>
      </w:r>
      <w:r>
        <w:t xml:space="preserve"> </w:t>
      </w:r>
      <w:r>
        <w:t xml:space="preserve">Mr Adeyemi receives a text that his title is approved, and his bank accepts it as collateral the same month.</w:t>
      </w:r>
    </w:p>
    <w:p>
      <w:pPr>
        <w:pStyle w:val="FirstParagraph"/>
      </w:pPr>
      <w:r>
        <w:rPr>
          <w:b/>
          <w:bCs/>
        </w:rPr>
        <w:t xml:space="preserve">Business model.</w:t>
      </w:r>
      <w:r>
        <w:t xml:space="preserve"> </w:t>
      </w:r>
      <w:r>
        <w:t xml:space="preserve">Outcome-based contracts per case cleared; implementation fees; training services. Prices are capped and published.</w:t>
      </w:r>
    </w:p>
    <w:tbl>
      <w:tblPr>
        <w:tblStyle w:val="Table"/>
        <w:tblW w:w="9360" w:type="dxa"/>
        <w:jc w:val="left"/>
        <w:tblLayout w:type="fixed"/>
        <w:tblLook w:firstRow="1" w:lastRow="0" w:firstColumn="0" w:lastColumn="0" w:noHBand="0" w:noVBand="0" w:val="0020"/>
      </w:tblPr>
      <w:tblGrid>
        <w:gridCol w:w="2688"/>
        <w:gridCol w:w="6672"/>
      </w:tblGrid>
      <w:tr>
        <w:trPr>
          <w:cantSplit/>
          <w:tblHeader w:val="true"/>
        </w:trPr>
        <w:tc>
          <w:tcPr>
            <w:tcW w:w="2688" w:type="dxa"/>
          </w:tcPr>
          <w:p>
            <w:pPr>
              <w:pStyle w:val="TableText"/>
              <w:jc w:val="left"/>
            </w:pPr>
            <w:r>
              <w:t xml:space="preserve">Risk</w:t>
            </w:r>
          </w:p>
        </w:tc>
        <w:tc>
          <w:tcPr>
            <w:tcW w:w="6672" w:type="dxa"/>
          </w:tcPr>
          <w:p>
            <w:pPr>
              <w:pStyle w:val="TableText"/>
              <w:jc w:val="left"/>
            </w:pPr>
            <w:r>
              <w:t xml:space="preserve">Safeguard</w:t>
            </w:r>
          </w:p>
        </w:tc>
      </w:tr>
      <w:tr>
        <w:trPr>
          <w:cantSplit/>
        </w:trPr>
        <w:tc>
          <w:tcPr>
            <w:tcW w:w="2688" w:type="dxa"/>
          </w:tcPr>
          <w:p>
            <w:pPr>
              <w:pStyle w:val="TableText"/>
              <w:jc w:val="left"/>
            </w:pPr>
            <w:r>
              <w:t xml:space="preserve">Privacy and data misuse</w:t>
            </w:r>
          </w:p>
        </w:tc>
        <w:tc>
          <w:tcPr>
            <w:tcW w:w="6672" w:type="dxa"/>
          </w:tcPr>
          <w:p>
            <w:pPr>
              <w:pStyle w:val="TableText"/>
              <w:jc w:val="left"/>
            </w:pPr>
            <w:r>
              <w:t xml:space="preserve">Government data stays under government control; strict access rules</w:t>
            </w:r>
          </w:p>
        </w:tc>
      </w:tr>
      <w:tr>
        <w:trPr>
          <w:cantSplit/>
        </w:trPr>
        <w:tc>
          <w:tcPr>
            <w:tcW w:w="2688" w:type="dxa"/>
          </w:tcPr>
          <w:p>
            <w:pPr>
              <w:pStyle w:val="TableText"/>
              <w:jc w:val="left"/>
            </w:pPr>
            <w:r>
              <w:t xml:space="preserve">Corruption and capture</w:t>
            </w:r>
          </w:p>
        </w:tc>
        <w:tc>
          <w:tcPr>
            <w:tcW w:w="6672" w:type="dxa"/>
          </w:tcPr>
          <w:p>
            <w:pPr>
              <w:pStyle w:val="TableText"/>
              <w:jc w:val="left"/>
            </w:pPr>
            <w:r>
              <w:t xml:space="preserve">Transparent dashboards; audits; random quality checks</w:t>
            </w:r>
          </w:p>
        </w:tc>
      </w:tr>
      <w:tr>
        <w:trPr>
          <w:cantSplit/>
        </w:trPr>
        <w:tc>
          <w:tcPr>
            <w:tcW w:w="2688" w:type="dxa"/>
          </w:tcPr>
          <w:p>
            <w:pPr>
              <w:pStyle w:val="TableText"/>
              <w:jc w:val="left"/>
            </w:pPr>
            <w:r>
              <w:t xml:space="preserve">Job losses for clerks</w:t>
            </w:r>
          </w:p>
        </w:tc>
        <w:tc>
          <w:tcPr>
            <w:tcW w:w="6672" w:type="dxa"/>
          </w:tcPr>
          <w:p>
            <w:pPr>
              <w:pStyle w:val="TableText"/>
              <w:jc w:val="left"/>
            </w:pPr>
            <w:r>
              <w:t xml:space="preserve">Retraining as verifiers; agreements with unions</w:t>
            </w:r>
          </w:p>
        </w:tc>
      </w:tr>
      <w:tr>
        <w:trPr>
          <w:cantSplit/>
        </w:trPr>
        <w:tc>
          <w:tcPr>
            <w:tcW w:w="2688" w:type="dxa"/>
          </w:tcPr>
          <w:p>
            <w:pPr>
              <w:pStyle w:val="TableText"/>
              <w:jc w:val="left"/>
            </w:pPr>
            <w:r>
              <w:t xml:space="preserve">Unfair automated decisions</w:t>
            </w:r>
          </w:p>
        </w:tc>
        <w:tc>
          <w:tcPr>
            <w:tcW w:w="6672" w:type="dxa"/>
          </w:tcPr>
          <w:p>
            <w:pPr>
              <w:pStyle w:val="TableText"/>
              <w:jc w:val="left"/>
            </w:pPr>
            <w:r>
              <w:t xml:space="preserve">Officials decide; AI only prepares; appeal rights</w:t>
            </w:r>
          </w:p>
        </w:tc>
      </w:tr>
    </w:tbl>
    <w:p>
      <w:pPr>
        <w:pStyle w:val="BodyText"/>
        <w:spacing w:before="160"/>
      </w:pPr>
      <w:r>
        <w:rPr>
          <w:b/>
          <w:bCs/>
        </w:rPr>
        <w:t xml:space="preserve">First 100 days.</w:t>
      </w:r>
      <w:r>
        <w:t xml:space="preserve"> </w:t>
      </w:r>
      <w:r>
        <w:t xml:space="preserve">One state land registry; 10,000 backlogged files; a public dashboard; measure clearance rate and processing time.</w:t>
      </w:r>
    </w:p>
    <w:p>
      <w:pPr>
        <w:pStyle w:val="BodyText"/>
      </w:pPr>
      <w:r>
        <w:rPr>
          <w:b/>
          <w:bCs/>
        </w:rPr>
        <w:t xml:space="preserve">Scores.</w:t>
      </w:r>
      <w:r>
        <w:t xml:space="preserve"> </w:t>
      </w:r>
      <w:r>
        <w:t xml:space="preserve">Spread Quality</w:t>
      </w:r>
      <w:r>
        <w:t xml:space="preserve"> </w:t>
      </w:r>
      <w:r>
        <w:rPr>
          <w:b/>
          <w:bCs/>
        </w:rPr>
        <w:t xml:space="preserve">21/25</w:t>
      </w:r>
      <w:r>
        <w:t xml:space="preserve"> </w:t>
      </w:r>
      <w:r>
        <w:t xml:space="preserve">(S5 · H4 · P5 · M3 · F4). Double Decagon</w:t>
      </w:r>
      <w:r>
        <w:t xml:space="preserve"> </w:t>
      </w:r>
      <w:r>
        <w:rPr>
          <w:b/>
          <w:bCs/>
        </w:rPr>
        <w:t xml:space="preserve">82/100</w:t>
      </w:r>
      <w:r>
        <w:t xml:space="preserve">: Inner 43/50 (V1 5 · V2 5 · V3 4 · V4 3 · V5 5 · V6 4 · V7 4 · V8 4 · V9 5 · V10 4); Future-Fitness 39/50 (F1 4 · F2 4 · F3 3 · F4 4 · F5 4 · F6 5 · F7 4 · F8 3 · F9 4 · F10 4).</w:t>
      </w:r>
    </w:p>
    <w:bookmarkEnd w:id="61"/>
    <w:bookmarkStart w:id="62" w:name="Xb92cedfb6fa87451705a7d31196e2f24f93e053"/>
    <w:p>
      <w:pPr>
        <w:pStyle w:val="Heading2"/>
      </w:pPr>
      <w:r>
        <w:t xml:space="preserve">Venture 10: EXPORTREADY, compliance that keeps smallholders in global trade</w:t>
      </w:r>
    </w:p>
    <w:p>
      <w:pPr>
        <w:pStyle w:val="BlockText"/>
      </w:pPr>
      <w:r>
        <w:rPr>
          <w:b/>
          <w:bCs/>
        </w:rPr>
        <w:t xml:space="preserve">Thesis.</w:t>
      </w:r>
      <w:r>
        <w:t xml:space="preserve"> </w:t>
      </w:r>
      <w:r>
        <w:t xml:space="preserve">New rules in export markets require proof that products are deforestation-free, safe, traceable and of legitimate origin. The EU deforestation regulation applies from 30 December 2026 for most operators and from 30 June 2027 for micro and small ones. Large firms can afford compliance; smallholders and small exporters often cannot, and risk being cut out. ExportReady uses AI, satellite data and farmer-owned records to make compliance cheap. The farm data belongs to farmers’ cooperatives.</w:t>
      </w:r>
    </w:p>
    <w:tbl>
      <w:tblPr>
        <w:tblStyle w:val="Table"/>
        <w:tblW w:w="9360" w:type="dxa"/>
        <w:jc w:val="left"/>
        <w:tblLayout w:type="fixed"/>
        <w:tblLook w:firstRow="1" w:lastRow="0" w:firstColumn="0" w:lastColumn="0" w:noHBand="0" w:noVBand="0" w:val="0020"/>
      </w:tblPr>
      <w:tblGrid>
        <w:gridCol w:w="1759"/>
        <w:gridCol w:w="7601"/>
      </w:tblGrid>
      <w:tr>
        <w:trPr>
          <w:cantSplit/>
          <w:tblHeader w:val="true"/>
        </w:trPr>
        <w:tc>
          <w:tcPr>
            <w:tcW w:w="1759" w:type="dxa"/>
          </w:tcPr>
          <w:p>
            <w:pPr>
              <w:pStyle w:val="TableText"/>
              <w:jc w:val="left"/>
            </w:pPr>
            <w:r>
              <w:t xml:space="preserve">Spread code</w:t>
            </w:r>
          </w:p>
        </w:tc>
        <w:tc>
          <w:tcPr>
            <w:tcW w:w="7601" w:type="dxa"/>
          </w:tcPr>
          <w:p>
            <w:pPr>
              <w:pStyle w:val="TableText"/>
            </w:pPr>
          </w:p>
        </w:tc>
      </w:tr>
      <w:tr>
        <w:trPr>
          <w:cantSplit/>
        </w:trPr>
        <w:tc>
          <w:tcPr>
            <w:tcW w:w="1759" w:type="dxa"/>
          </w:tcPr>
          <w:p>
            <w:pPr>
              <w:pStyle w:val="TableText"/>
              <w:jc w:val="left"/>
            </w:pPr>
            <w:r>
              <w:t xml:space="preserve">Spread</w:t>
            </w:r>
          </w:p>
        </w:tc>
        <w:tc>
          <w:tcPr>
            <w:tcW w:w="7601" w:type="dxa"/>
          </w:tcPr>
          <w:p>
            <w:pPr>
              <w:pStyle w:val="TableText"/>
              <w:jc w:val="left"/>
            </w:pPr>
            <w:r>
              <w:rPr>
                <w:b/>
                <w:bCs/>
              </w:rPr>
              <w:t xml:space="preserve">S10 Compliance</w:t>
            </w:r>
          </w:p>
        </w:tc>
      </w:tr>
      <w:tr>
        <w:trPr>
          <w:cantSplit/>
        </w:trPr>
        <w:tc>
          <w:tcPr>
            <w:tcW w:w="1759" w:type="dxa"/>
          </w:tcPr>
          <w:p>
            <w:pPr>
              <w:pStyle w:val="TableText"/>
              <w:jc w:val="left"/>
            </w:pPr>
            <w:r>
              <w:t xml:space="preserve">Value side</w:t>
            </w:r>
          </w:p>
        </w:tc>
        <w:tc>
          <w:tcPr>
            <w:tcW w:w="7601" w:type="dxa"/>
          </w:tcPr>
          <w:p>
            <w:pPr>
              <w:pStyle w:val="TableText"/>
              <w:jc w:val="left"/>
            </w:pPr>
            <w:r>
              <w:t xml:space="preserve">Continued market access and price premiums for compliant produce</w:t>
            </w:r>
          </w:p>
        </w:tc>
      </w:tr>
      <w:tr>
        <w:trPr>
          <w:cantSplit/>
        </w:trPr>
        <w:tc>
          <w:tcPr>
            <w:tcW w:w="1759" w:type="dxa"/>
          </w:tcPr>
          <w:p>
            <w:pPr>
              <w:pStyle w:val="TableText"/>
              <w:jc w:val="left"/>
            </w:pPr>
            <w:r>
              <w:t xml:space="preserve">Cost side</w:t>
            </w:r>
          </w:p>
        </w:tc>
        <w:tc>
          <w:tcPr>
            <w:tcW w:w="7601" w:type="dxa"/>
          </w:tcPr>
          <w:p>
            <w:pPr>
              <w:pStyle w:val="TableText"/>
              <w:jc w:val="left"/>
            </w:pPr>
            <w:r>
              <w:t xml:space="preserve">AI document preparation; satellite checks; shared cooperative systems</w:t>
            </w:r>
          </w:p>
        </w:tc>
      </w:tr>
      <w:tr>
        <w:trPr>
          <w:cantSplit/>
        </w:trPr>
        <w:tc>
          <w:tcPr>
            <w:tcW w:w="1759" w:type="dxa"/>
          </w:tcPr>
          <w:p>
            <w:pPr>
              <w:pStyle w:val="TableText"/>
              <w:jc w:val="left"/>
            </w:pPr>
            <w:r>
              <w:t xml:space="preserve">Main friction</w:t>
            </w:r>
          </w:p>
        </w:tc>
        <w:tc>
          <w:tcPr>
            <w:tcW w:w="7601" w:type="dxa"/>
          </w:tcPr>
          <w:p>
            <w:pPr>
              <w:pStyle w:val="TableText"/>
              <w:jc w:val="left"/>
            </w:pPr>
            <w:r>
              <w:t xml:space="preserve">Farm mapping; data quality; buyer acceptance; trust</w:t>
            </w:r>
          </w:p>
        </w:tc>
      </w:tr>
      <w:tr>
        <w:trPr>
          <w:cantSplit/>
        </w:trPr>
        <w:tc>
          <w:tcPr>
            <w:tcW w:w="1759" w:type="dxa"/>
          </w:tcPr>
          <w:p>
            <w:pPr>
              <w:pStyle w:val="TableText"/>
              <w:jc w:val="left"/>
            </w:pPr>
            <w:r>
              <w:t xml:space="preserve">Half-life</w:t>
            </w:r>
          </w:p>
        </w:tc>
        <w:tc>
          <w:tcPr>
            <w:tcW w:w="7601" w:type="dxa"/>
          </w:tcPr>
          <w:p>
            <w:pPr>
              <w:pStyle w:val="TableText"/>
              <w:jc w:val="left"/>
            </w:pPr>
            <w:r>
              <w:t xml:space="preserve">Medium to long: standards keep rising and multiplying</w:t>
            </w:r>
          </w:p>
        </w:tc>
      </w:tr>
      <w:tr>
        <w:trPr>
          <w:cantSplit/>
        </w:trPr>
        <w:tc>
          <w:tcPr>
            <w:tcW w:w="1759" w:type="dxa"/>
          </w:tcPr>
          <w:p>
            <w:pPr>
              <w:pStyle w:val="TableText"/>
              <w:jc w:val="left"/>
            </w:pPr>
            <w:r>
              <w:t xml:space="preserve">Moats</w:t>
            </w:r>
          </w:p>
        </w:tc>
        <w:tc>
          <w:tcPr>
            <w:tcW w:w="7601" w:type="dxa"/>
          </w:tcPr>
          <w:p>
            <w:pPr>
              <w:pStyle w:val="TableText"/>
              <w:jc w:val="left"/>
            </w:pPr>
            <w:r>
              <w:t xml:space="preserve">Verified farm data (farmer-owned); buyer and certifier integrations; regulatory standing</w:t>
            </w:r>
          </w:p>
        </w:tc>
      </w:tr>
      <w:tr>
        <w:trPr>
          <w:cantSplit/>
        </w:trPr>
        <w:tc>
          <w:tcPr>
            <w:tcW w:w="1759" w:type="dxa"/>
          </w:tcPr>
          <w:p>
            <w:pPr>
              <w:pStyle w:val="TableText"/>
              <w:jc w:val="left"/>
            </w:pPr>
            <w:r>
              <w:t xml:space="preserve">Archetype and governance</w:t>
            </w:r>
          </w:p>
        </w:tc>
        <w:tc>
          <w:tcPr>
            <w:tcW w:w="7601" w:type="dxa"/>
          </w:tcPr>
          <w:p>
            <w:pPr>
              <w:pStyle w:val="TableText"/>
              <w:jc w:val="left"/>
            </w:pPr>
            <w:r>
              <w:t xml:space="preserve">A7 data trust (farmer-owned) + A8 protocol; cooperative ownership with a steward-owned operator</w:t>
            </w:r>
          </w:p>
        </w:tc>
      </w:tr>
    </w:tbl>
    <w:p>
      <w:pPr>
        <w:pStyle w:val="BodyText"/>
        <w:spacing w:before="160"/>
      </w:pPr>
      <w:r>
        <w:rPr>
          <w:b/>
          <w:bCs/>
        </w:rPr>
        <w:t xml:space="preserve">The gap</w:t>
      </w:r>
    </w:p>
    <w:p>
      <w:pPr>
        <w:pStyle w:val="Compact"/>
        <w:numPr>
          <w:ilvl w:val="0"/>
          <w:numId w:val="1057"/>
        </w:numPr>
      </w:pPr>
      <w:r>
        <w:t xml:space="preserve">The EU deforestation regulation requires geolocation and due-diligence evidence for commodities including cocoa, coffee, palm oil, soy, cattle, rubber and wood. After two delays, it applies from 30 December 2026, and from 30 June 2027 for micro and small operators.</w:t>
      </w:r>
    </w:p>
    <w:p>
      <w:pPr>
        <w:pStyle w:val="Compact"/>
        <w:numPr>
          <w:ilvl w:val="0"/>
          <w:numId w:val="1057"/>
        </w:numPr>
      </w:pPr>
      <w:r>
        <w:t xml:space="preserve">Ghana and Côte d’Ivoire produce more than half of the world’s cocoa, much of it from smallholders. Analysts warn that land registries and digital mapping may not be ready in time.</w:t>
      </w:r>
    </w:p>
    <w:p>
      <w:pPr>
        <w:pStyle w:val="Compact"/>
        <w:numPr>
          <w:ilvl w:val="0"/>
          <w:numId w:val="1057"/>
        </w:numPr>
      </w:pPr>
      <w:r>
        <w:t xml:space="preserve">Exporters also face food-safety standards, rules of origin under the African Continental Free Trade Area, and carbon-related border measures.</w:t>
      </w:r>
    </w:p>
    <w:p>
      <w:pPr>
        <w:pStyle w:val="FirstParagraph"/>
      </w:pPr>
      <w:r>
        <w:rPr>
          <w:b/>
          <w:bCs/>
        </w:rPr>
        <w:t xml:space="preserve">Benchmarks: borrowed and inverted</w:t>
      </w:r>
    </w:p>
    <w:p>
      <w:pPr>
        <w:pStyle w:val="Compact"/>
        <w:numPr>
          <w:ilvl w:val="0"/>
          <w:numId w:val="1058"/>
        </w:numPr>
      </w:pPr>
      <w:r>
        <w:rPr>
          <w:b/>
          <w:bCs/>
        </w:rPr>
        <w:t xml:space="preserve">From Airbnb:</w:t>
      </w:r>
      <w:r>
        <w:t xml:space="preserve"> </w:t>
      </w:r>
      <w:r>
        <w:t xml:space="preserve">verified listings, here verified farms.</w:t>
      </w:r>
    </w:p>
    <w:p>
      <w:pPr>
        <w:pStyle w:val="Compact"/>
        <w:numPr>
          <w:ilvl w:val="0"/>
          <w:numId w:val="1058"/>
        </w:numPr>
      </w:pPr>
      <w:r>
        <w:rPr>
          <w:b/>
          <w:bCs/>
        </w:rPr>
        <w:t xml:space="preserve">Links</w:t>
      </w:r>
      <w:r>
        <w:t xml:space="preserve"> </w:t>
      </w:r>
      <w:r>
        <w:t xml:space="preserve">to WildLedger (satellite and stewardship data), GroundTruth (field verification), HarvestGrid (supply chains) and FairScore (compliance as creditworthiness).</w:t>
      </w:r>
    </w:p>
    <w:p>
      <w:pPr>
        <w:pStyle w:val="Compact"/>
        <w:numPr>
          <w:ilvl w:val="0"/>
          <w:numId w:val="1058"/>
        </w:numPr>
      </w:pPr>
      <w:r>
        <w:rPr>
          <w:b/>
          <w:bCs/>
        </w:rPr>
        <w:t xml:space="preserve">Inverts:</w:t>
      </w:r>
      <w:r>
        <w:t xml:space="preserve"> </w:t>
      </w:r>
      <w:r>
        <w:t xml:space="preserve">compliance, often a barrier that concentrates trade in big firms, becomes an asset smallholders own.</w:t>
      </w:r>
    </w:p>
    <w:p>
      <w:pPr>
        <w:pStyle w:val="FirstParagraph"/>
      </w:pPr>
      <w:r>
        <w:rPr>
          <w:b/>
          <w:bCs/>
        </w:rPr>
        <w:t xml:space="preserve">How it works</w:t>
      </w:r>
    </w:p>
    <w:p>
      <w:pPr>
        <w:pStyle w:val="Compact"/>
        <w:numPr>
          <w:ilvl w:val="0"/>
          <w:numId w:val="1059"/>
        </w:numPr>
      </w:pPr>
      <w:r>
        <w:rPr>
          <w:b/>
          <w:bCs/>
        </w:rPr>
        <w:t xml:space="preserve">Farm mapping.</w:t>
      </w:r>
      <w:r>
        <w:t xml:space="preserve"> </w:t>
      </w:r>
      <w:r>
        <w:t xml:space="preserve">Farmers and cooperatives map plots with phones; satellite imagery confirms boundaries and forest cover.</w:t>
      </w:r>
    </w:p>
    <w:p>
      <w:pPr>
        <w:pStyle w:val="Compact"/>
        <w:numPr>
          <w:ilvl w:val="0"/>
          <w:numId w:val="1059"/>
        </w:numPr>
      </w:pPr>
      <w:r>
        <w:rPr>
          <w:b/>
          <w:bCs/>
        </w:rPr>
        <w:t xml:space="preserve">Deforestation check.</w:t>
      </w:r>
      <w:r>
        <w:t xml:space="preserve"> </w:t>
      </w:r>
      <w:r>
        <w:t xml:space="preserve">AI compares plots with historical satellite data against regulatory cut-off dates.</w:t>
      </w:r>
    </w:p>
    <w:p>
      <w:pPr>
        <w:pStyle w:val="Compact"/>
        <w:numPr>
          <w:ilvl w:val="0"/>
          <w:numId w:val="1059"/>
        </w:numPr>
      </w:pPr>
      <w:r>
        <w:rPr>
          <w:b/>
          <w:bCs/>
        </w:rPr>
        <w:t xml:space="preserve">Document automation.</w:t>
      </w:r>
      <w:r>
        <w:t xml:space="preserve"> </w:t>
      </w:r>
      <w:r>
        <w:t xml:space="preserve">Due-diligence statements, food-safety records and certificates of origin are prepared automatically from verified data.</w:t>
      </w:r>
    </w:p>
    <w:p>
      <w:pPr>
        <w:pStyle w:val="Compact"/>
        <w:numPr>
          <w:ilvl w:val="0"/>
          <w:numId w:val="1059"/>
        </w:numPr>
      </w:pPr>
      <w:r>
        <w:rPr>
          <w:b/>
          <w:bCs/>
        </w:rPr>
        <w:t xml:space="preserve">Field verification.</w:t>
      </w:r>
      <w:r>
        <w:t xml:space="preserve"> </w:t>
      </w:r>
      <w:r>
        <w:t xml:space="preserve">Random checks by independent verifiers (GroundTruth).</w:t>
      </w:r>
    </w:p>
    <w:p>
      <w:pPr>
        <w:pStyle w:val="Compact"/>
        <w:numPr>
          <w:ilvl w:val="0"/>
          <w:numId w:val="1059"/>
        </w:numPr>
      </w:pPr>
      <w:r>
        <w:rPr>
          <w:b/>
          <w:bCs/>
        </w:rPr>
        <w:t xml:space="preserve">Farmer-owned data.</w:t>
      </w:r>
      <w:r>
        <w:t xml:space="preserve"> </w:t>
      </w:r>
      <w:r>
        <w:t xml:space="preserve">The cooperative owns the farm data and licenses it to buyers and certifiers.</w:t>
      </w:r>
    </w:p>
    <w:p>
      <w:pPr>
        <w:pStyle w:val="Compact"/>
        <w:numPr>
          <w:ilvl w:val="0"/>
          <w:numId w:val="1059"/>
        </w:numPr>
      </w:pPr>
      <w:r>
        <w:rPr>
          <w:b/>
          <w:bCs/>
        </w:rPr>
        <w:t xml:space="preserve">Market link.</w:t>
      </w:r>
      <w:r>
        <w:t xml:space="preserve"> </w:t>
      </w:r>
      <w:r>
        <w:t xml:space="preserve">Buyers access verified, compliant supply; farmers receive price premiums where available.</w:t>
      </w:r>
    </w:p>
    <w:p>
      <w:pPr>
        <w:pStyle w:val="FirstParagraph"/>
      </w:pPr>
      <w:r>
        <w:rPr>
          <w:b/>
          <w:bCs/>
        </w:rPr>
        <w:t xml:space="preserve">From spread to moat.</w:t>
      </w:r>
      <w:r>
        <w:t xml:space="preserve"> </w:t>
      </w:r>
      <w:r>
        <w:t xml:space="preserve">When compliance software becomes common, ExportReady keeps its verified, farmer-owned data network, its buyer and certifier integrations and its standing with regulators.</w:t>
      </w:r>
      <w:r>
        <w:t xml:space="preserve"> </w:t>
      </w:r>
      <w:r>
        <w:rPr>
          <w:b/>
          <w:bCs/>
        </w:rPr>
        <w:t xml:space="preserve">Who shares the spread:</w:t>
      </w:r>
      <w:r>
        <w:t xml:space="preserve"> </w:t>
      </w:r>
      <w:r>
        <w:t xml:space="preserve">farmers and cooperatives (market access, premiums, data royalties).</w:t>
      </w:r>
    </w:p>
    <w:p>
      <w:pPr>
        <w:pStyle w:val="BodyText"/>
      </w:pPr>
      <w:r>
        <w:rPr>
          <w:b/>
          <w:bCs/>
        </w:rPr>
        <w:t xml:space="preserve">System dynamics</w:t>
      </w:r>
    </w:p>
    <w:p>
      <w:pPr>
        <w:pStyle w:val="Compact"/>
        <w:numPr>
          <w:ilvl w:val="0"/>
          <w:numId w:val="1060"/>
        </w:numPr>
      </w:pPr>
      <w:r>
        <w:rPr>
          <w:b/>
          <w:bCs/>
        </w:rPr>
        <w:t xml:space="preserve">R1, the market-access loop:</w:t>
      </w:r>
      <w:r>
        <w:t xml:space="preserve"> </w:t>
      </w:r>
      <w:r>
        <w:t xml:space="preserve">verified farms → buyer demand → premiums → more farms join.</w:t>
      </w:r>
    </w:p>
    <w:p>
      <w:pPr>
        <w:pStyle w:val="Compact"/>
        <w:numPr>
          <w:ilvl w:val="0"/>
          <w:numId w:val="1060"/>
        </w:numPr>
      </w:pPr>
      <w:r>
        <w:rPr>
          <w:b/>
          <w:bCs/>
        </w:rPr>
        <w:t xml:space="preserve">R2, the data loop:</w:t>
      </w:r>
      <w:r>
        <w:t xml:space="preserve"> </w:t>
      </w:r>
      <w:r>
        <w:t xml:space="preserve">more plots verified → better models → cheaper verification.</w:t>
      </w:r>
    </w:p>
    <w:p>
      <w:pPr>
        <w:pStyle w:val="Compact"/>
        <w:numPr>
          <w:ilvl w:val="0"/>
          <w:numId w:val="1060"/>
        </w:numPr>
      </w:pPr>
      <w:r>
        <w:rPr>
          <w:b/>
          <w:bCs/>
        </w:rPr>
        <w:t xml:space="preserve">B1, exclusion risk:</w:t>
      </w:r>
      <w:r>
        <w:t xml:space="preserve"> </w:t>
      </w:r>
      <w:r>
        <w:t xml:space="preserve">farms that cannot be mapped or verified risk exclusion. Field support and grace processes help them qualify.</w:t>
      </w:r>
    </w:p>
    <w:p>
      <w:pPr>
        <w:pStyle w:val="Compact"/>
        <w:numPr>
          <w:ilvl w:val="0"/>
          <w:numId w:val="1060"/>
        </w:numPr>
      </w:pPr>
      <w:r>
        <w:rPr>
          <w:b/>
          <w:bCs/>
        </w:rPr>
        <w:t xml:space="preserve">Leverage point:</w:t>
      </w:r>
      <w:r>
        <w:t xml:space="preserve"> </w:t>
      </w:r>
      <w:r>
        <w:t xml:space="preserve">rules (data ownership) and information (verifiable proof).</w:t>
      </w:r>
    </w:p>
    <w:p>
      <w:pPr>
        <w:pStyle w:val="FirstParagraph"/>
      </w:pPr>
      <w:r>
        <w:rPr>
          <w:b/>
          <w:bCs/>
        </w:rPr>
        <w:t xml:space="preserve">Design thinking</w:t>
      </w:r>
    </w:p>
    <w:p>
      <w:pPr>
        <w:pStyle w:val="Compact"/>
        <w:numPr>
          <w:ilvl w:val="0"/>
          <w:numId w:val="1061"/>
        </w:numPr>
      </w:pPr>
      <w:r>
        <w:rPr>
          <w:i/>
          <w:iCs/>
        </w:rPr>
        <w:t xml:space="preserve">Personas:</w:t>
      </w:r>
      <w:r>
        <w:t xml:space="preserve"> </w:t>
      </w:r>
      <w:r>
        <w:rPr>
          <w:b/>
          <w:bCs/>
        </w:rPr>
        <w:t xml:space="preserve">Kofi</w:t>
      </w:r>
      <w:r>
        <w:t xml:space="preserve">, a cocoa farmer in Ghana’s Western Region with three hectares and no maps.</w:t>
      </w:r>
      <w:r>
        <w:t xml:space="preserve"> </w:t>
      </w:r>
      <w:r>
        <w:rPr>
          <w:b/>
          <w:bCs/>
        </w:rPr>
        <w:t xml:space="preserve">A cooperative manager</w:t>
      </w:r>
      <w:r>
        <w:t xml:space="preserve"> </w:t>
      </w:r>
      <w:r>
        <w:t xml:space="preserve">in Ondo State facing new buyer demands.</w:t>
      </w:r>
      <w:r>
        <w:t xml:space="preserve"> </w:t>
      </w:r>
      <w:r>
        <w:rPr>
          <w:b/>
          <w:bCs/>
        </w:rPr>
        <w:t xml:space="preserve">A European chocolate maker</w:t>
      </w:r>
      <w:r>
        <w:t xml:space="preserve"> </w:t>
      </w:r>
      <w:r>
        <w:t xml:space="preserve">that must prove its supply chain.</w:t>
      </w:r>
    </w:p>
    <w:p>
      <w:pPr>
        <w:pStyle w:val="Compact"/>
        <w:numPr>
          <w:ilvl w:val="0"/>
          <w:numId w:val="1061"/>
        </w:numPr>
      </w:pPr>
      <w:r>
        <w:rPr>
          <w:i/>
          <w:iCs/>
        </w:rPr>
        <w:t xml:space="preserve">How might</w:t>
      </w:r>
      <w:r>
        <w:t xml:space="preserve"> </w:t>
      </w:r>
      <w:r>
        <w:t xml:space="preserve">the smallest farmer prove what the biggest exporter can prove?</w:t>
      </w:r>
    </w:p>
    <w:p>
      <w:pPr>
        <w:pStyle w:val="Compact"/>
        <w:numPr>
          <w:ilvl w:val="0"/>
          <w:numId w:val="1061"/>
        </w:numPr>
      </w:pPr>
      <w:r>
        <w:rPr>
          <w:i/>
          <w:iCs/>
        </w:rPr>
        <w:t xml:space="preserve">Moment of truth:</w:t>
      </w:r>
      <w:r>
        <w:t xml:space="preserve"> </w:t>
      </w:r>
      <w:r>
        <w:t xml:space="preserve">Kofi’s cocoa ships with a verified compliance record, and the cooperative’s data licence pays a royalty.</w:t>
      </w:r>
    </w:p>
    <w:p>
      <w:pPr>
        <w:pStyle w:val="FirstParagraph"/>
      </w:pPr>
      <w:r>
        <w:rPr>
          <w:b/>
          <w:bCs/>
        </w:rPr>
        <w:t xml:space="preserve">Business model.</w:t>
      </w:r>
      <w:r>
        <w:t xml:space="preserve"> </w:t>
      </w:r>
      <w:r>
        <w:t xml:space="preserve">Per-plot verification fees (paid largely by buyers); compliance-document services for exporters; data licences paid to cooperatives; certification partnerships.</w:t>
      </w:r>
    </w:p>
    <w:tbl>
      <w:tblPr>
        <w:tblStyle w:val="Table"/>
        <w:tblW w:w="9360" w:type="dxa"/>
        <w:jc w:val="left"/>
        <w:tblLayout w:type="fixed"/>
        <w:tblLook w:firstRow="1" w:lastRow="0" w:firstColumn="0" w:lastColumn="0" w:noHBand="0" w:noVBand="0" w:val="0020"/>
      </w:tblPr>
      <w:tblGrid>
        <w:gridCol w:w="3510"/>
        <w:gridCol w:w="5850"/>
      </w:tblGrid>
      <w:tr>
        <w:trPr>
          <w:cantSplit/>
          <w:tblHeader w:val="true"/>
        </w:trPr>
        <w:tc>
          <w:tcPr>
            <w:tcW w:w="3510" w:type="dxa"/>
          </w:tcPr>
          <w:p>
            <w:pPr>
              <w:pStyle w:val="TableText"/>
              <w:jc w:val="left"/>
            </w:pPr>
            <w:r>
              <w:t xml:space="preserve">Risk</w:t>
            </w:r>
          </w:p>
        </w:tc>
        <w:tc>
          <w:tcPr>
            <w:tcW w:w="5850" w:type="dxa"/>
          </w:tcPr>
          <w:p>
            <w:pPr>
              <w:pStyle w:val="TableText"/>
              <w:jc w:val="left"/>
            </w:pPr>
            <w:r>
              <w:t xml:space="preserve">Safeguard</w:t>
            </w:r>
          </w:p>
        </w:tc>
      </w:tr>
      <w:tr>
        <w:trPr>
          <w:cantSplit/>
        </w:trPr>
        <w:tc>
          <w:tcPr>
            <w:tcW w:w="3510" w:type="dxa"/>
          </w:tcPr>
          <w:p>
            <w:pPr>
              <w:pStyle w:val="TableText"/>
              <w:jc w:val="left"/>
            </w:pPr>
            <w:r>
              <w:t xml:space="preserve">Exclusion of the smallest farmers</w:t>
            </w:r>
          </w:p>
        </w:tc>
        <w:tc>
          <w:tcPr>
            <w:tcW w:w="5850" w:type="dxa"/>
          </w:tcPr>
          <w:p>
            <w:pPr>
              <w:pStyle w:val="TableText"/>
              <w:jc w:val="left"/>
            </w:pPr>
            <w:r>
              <w:t xml:space="preserve">Free field mapping support; cooperative cost-sharing</w:t>
            </w:r>
          </w:p>
        </w:tc>
      </w:tr>
      <w:tr>
        <w:trPr>
          <w:cantSplit/>
        </w:trPr>
        <w:tc>
          <w:tcPr>
            <w:tcW w:w="3510" w:type="dxa"/>
          </w:tcPr>
          <w:p>
            <w:pPr>
              <w:pStyle w:val="TableText"/>
              <w:jc w:val="left"/>
            </w:pPr>
            <w:r>
              <w:t xml:space="preserve">Data ownership disputes</w:t>
            </w:r>
          </w:p>
        </w:tc>
        <w:tc>
          <w:tcPr>
            <w:tcW w:w="5850" w:type="dxa"/>
          </w:tcPr>
          <w:p>
            <w:pPr>
              <w:pStyle w:val="TableText"/>
              <w:jc w:val="left"/>
            </w:pPr>
            <w:r>
              <w:t xml:space="preserve">Farmer-owned data trust; clear licences</w:t>
            </w:r>
          </w:p>
        </w:tc>
      </w:tr>
      <w:tr>
        <w:trPr>
          <w:cantSplit/>
        </w:trPr>
        <w:tc>
          <w:tcPr>
            <w:tcW w:w="3510" w:type="dxa"/>
          </w:tcPr>
          <w:p>
            <w:pPr>
              <w:pStyle w:val="TableText"/>
              <w:jc w:val="left"/>
            </w:pPr>
            <w:r>
              <w:t xml:space="preserve">Regulatory changes</w:t>
            </w:r>
          </w:p>
        </w:tc>
        <w:tc>
          <w:tcPr>
            <w:tcW w:w="5850" w:type="dxa"/>
          </w:tcPr>
          <w:p>
            <w:pPr>
              <w:pStyle w:val="TableText"/>
              <w:jc w:val="left"/>
            </w:pPr>
            <w:r>
              <w:t xml:space="preserve">Modular compliance engine; monitoring of rule changes</w:t>
            </w:r>
          </w:p>
        </w:tc>
      </w:tr>
      <w:tr>
        <w:trPr>
          <w:cantSplit/>
        </w:trPr>
        <w:tc>
          <w:tcPr>
            <w:tcW w:w="3510" w:type="dxa"/>
          </w:tcPr>
          <w:p>
            <w:pPr>
              <w:pStyle w:val="TableText"/>
              <w:jc w:val="left"/>
            </w:pPr>
            <w:r>
              <w:t xml:space="preserve">False compliance claims</w:t>
            </w:r>
          </w:p>
        </w:tc>
        <w:tc>
          <w:tcPr>
            <w:tcW w:w="5850" w:type="dxa"/>
          </w:tcPr>
          <w:p>
            <w:pPr>
              <w:pStyle w:val="TableText"/>
              <w:jc w:val="left"/>
            </w:pPr>
            <w:r>
              <w:t xml:space="preserve">Independent verification; audit trails</w:t>
            </w:r>
          </w:p>
        </w:tc>
      </w:tr>
    </w:tbl>
    <w:p>
      <w:pPr>
        <w:pStyle w:val="BodyText"/>
        <w:spacing w:before="160"/>
      </w:pPr>
      <w:r>
        <w:rPr>
          <w:b/>
          <w:bCs/>
        </w:rPr>
        <w:t xml:space="preserve">First 100 days.</w:t>
      </w:r>
      <w:r>
        <w:t xml:space="preserve"> </w:t>
      </w:r>
      <w:r>
        <w:t xml:space="preserve">Two cooperatives (one cocoa in Ghana, one in Nigeria); 3,000 farms mapped and verified; due-diligence documents for one buyer.</w:t>
      </w:r>
    </w:p>
    <w:p>
      <w:pPr>
        <w:pStyle w:val="BodyText"/>
      </w:pPr>
      <w:r>
        <w:rPr>
          <w:b/>
          <w:bCs/>
        </w:rPr>
        <w:t xml:space="preserve">Scores.</w:t>
      </w:r>
      <w:r>
        <w:t xml:space="preserve"> </w:t>
      </w:r>
      <w:r>
        <w:t xml:space="preserve">Spread Quality</w:t>
      </w:r>
      <w:r>
        <w:t xml:space="preserve"> </w:t>
      </w:r>
      <w:r>
        <w:rPr>
          <w:b/>
          <w:bCs/>
        </w:rPr>
        <w:t xml:space="preserve">21/25</w:t>
      </w:r>
      <w:r>
        <w:t xml:space="preserve"> </w:t>
      </w:r>
      <w:r>
        <w:t xml:space="preserve">(S4 · H4 · P5 · M4 · F4). Double Decagon</w:t>
      </w:r>
      <w:r>
        <w:t xml:space="preserve"> </w:t>
      </w:r>
      <w:r>
        <w:rPr>
          <w:b/>
          <w:bCs/>
        </w:rPr>
        <w:t xml:space="preserve">88/100</w:t>
      </w:r>
      <w:r>
        <w:t xml:space="preserve">: Inner 44/50 (V1 4 · V2 5 · V3 5 · V4 4 · V5 4 · V6 4 · V7 5 · V8 5 · V9 4 · V10 4); Future-Fitness 44/50 (F1 3 · F2 4 · F3 5 · F4 5 · F5 4 · F6 4 · F7 5 · F8 4 · F9 5 · F10 5).</w:t>
      </w:r>
    </w:p>
    <w:bookmarkEnd w:id="62"/>
    <w:bookmarkEnd w:id="63"/>
    <w:bookmarkStart w:id="76" w:name="X54d68372ec63eeb5b39b0904f69b36598cc2fd1"/>
    <w:p>
      <w:pPr>
        <w:pStyle w:val="Heading1"/>
      </w:pPr>
      <w:r>
        <w:t xml:space="preserve">Part 5: Portfolio, Strategy and Closing Philosophy</w:t>
      </w:r>
    </w:p>
    <w:bookmarkStart w:id="64" w:name="the-scoreboard"/>
    <w:p>
      <w:pPr>
        <w:pStyle w:val="Heading2"/>
      </w:pPr>
      <w:r>
        <w:t xml:space="preserve">5.1 The scoreboard</w:t>
      </w:r>
    </w:p>
    <w:tbl>
      <w:tblPr>
        <w:tblStyle w:val="Table"/>
        <w:tblW w:w="9360" w:type="dxa"/>
        <w:jc w:val="left"/>
        <w:tblLayout w:type="fixed"/>
        <w:tblLook w:firstRow="1" w:lastRow="0" w:firstColumn="0" w:lastColumn="0" w:noHBand="0" w:noVBand="0" w:val="0020"/>
      </w:tblPr>
      <w:tblGrid>
        <w:gridCol w:w="1668"/>
        <w:gridCol w:w="1575"/>
        <w:gridCol w:w="1390"/>
        <w:gridCol w:w="1019"/>
        <w:gridCol w:w="1019"/>
        <w:gridCol w:w="1668"/>
        <w:gridCol w:w="1021"/>
      </w:tblGrid>
      <w:tr>
        <w:trPr>
          <w:cantSplit/>
          <w:tblHeader w:val="true"/>
        </w:trPr>
        <w:tc>
          <w:tcPr>
            <w:tcW w:w="1668" w:type="dxa"/>
          </w:tcPr>
          <w:p>
            <w:pPr>
              <w:pStyle w:val="TableText"/>
              <w:jc w:val="left"/>
            </w:pPr>
            <w:r>
              <w:t xml:space="preserve">Venture</w:t>
            </w:r>
          </w:p>
        </w:tc>
        <w:tc>
          <w:tcPr>
            <w:tcW w:w="1575" w:type="dxa"/>
          </w:tcPr>
          <w:p>
            <w:pPr>
              <w:pStyle w:val="TableText"/>
              <w:jc w:val="left"/>
            </w:pPr>
            <w:r>
              <w:t xml:space="preserve">Spread</w:t>
            </w:r>
          </w:p>
        </w:tc>
        <w:tc>
          <w:tcPr>
            <w:tcW w:w="1390" w:type="dxa"/>
          </w:tcPr>
          <w:p>
            <w:pPr>
              <w:pStyle w:val="TableText"/>
              <w:jc w:val="left"/>
            </w:pPr>
            <w:r>
              <w:t xml:space="preserve">Half-life</w:t>
            </w:r>
          </w:p>
        </w:tc>
        <w:tc>
          <w:tcPr>
            <w:tcW w:w="1019" w:type="dxa"/>
          </w:tcPr>
          <w:p>
            <w:pPr>
              <w:pStyle w:val="TableText"/>
              <w:jc w:val="left"/>
            </w:pPr>
            <w:r>
              <w:t xml:space="preserve">Spread Quality (/25)</w:t>
            </w:r>
          </w:p>
        </w:tc>
        <w:tc>
          <w:tcPr>
            <w:tcW w:w="1019" w:type="dxa"/>
          </w:tcPr>
          <w:p>
            <w:pPr>
              <w:pStyle w:val="TableText"/>
              <w:jc w:val="left"/>
            </w:pPr>
            <w:r>
              <w:t xml:space="preserve">Inner Decagon (/50)</w:t>
            </w:r>
          </w:p>
        </w:tc>
        <w:tc>
          <w:tcPr>
            <w:tcW w:w="1668" w:type="dxa"/>
          </w:tcPr>
          <w:p>
            <w:pPr>
              <w:pStyle w:val="TableText"/>
              <w:jc w:val="left"/>
            </w:pPr>
            <w:r>
              <w:t xml:space="preserve">Future-Fitness (/50)</w:t>
            </w:r>
          </w:p>
        </w:tc>
        <w:tc>
          <w:tcPr>
            <w:tcW w:w="1021" w:type="dxa"/>
          </w:tcPr>
          <w:p>
            <w:pPr>
              <w:pStyle w:val="TableText"/>
              <w:jc w:val="left"/>
            </w:pPr>
            <w:r>
              <w:t xml:space="preserve">Double Decagon Index (/100)</w:t>
            </w:r>
          </w:p>
        </w:tc>
      </w:tr>
      <w:tr>
        <w:trPr>
          <w:cantSplit/>
        </w:trPr>
        <w:tc>
          <w:tcPr>
            <w:tcW w:w="1668" w:type="dxa"/>
          </w:tcPr>
          <w:p>
            <w:pPr>
              <w:pStyle w:val="TableText"/>
              <w:jc w:val="left"/>
            </w:pPr>
            <w:r>
              <w:t xml:space="preserve">StrandedWatts</w:t>
            </w:r>
          </w:p>
        </w:tc>
        <w:tc>
          <w:tcPr>
            <w:tcW w:w="1575" w:type="dxa"/>
          </w:tcPr>
          <w:p>
            <w:pPr>
              <w:pStyle w:val="TableText"/>
              <w:jc w:val="left"/>
            </w:pPr>
            <w:r>
              <w:t xml:space="preserve">S1 Energy–compute</w:t>
            </w:r>
          </w:p>
        </w:tc>
        <w:tc>
          <w:tcPr>
            <w:tcW w:w="1390" w:type="dxa"/>
          </w:tcPr>
          <w:p>
            <w:pPr>
              <w:pStyle w:val="TableText"/>
              <w:jc w:val="left"/>
            </w:pPr>
            <w:r>
              <w:t xml:space="preserve">Long</w:t>
            </w:r>
          </w:p>
        </w:tc>
        <w:tc>
          <w:tcPr>
            <w:tcW w:w="1019" w:type="dxa"/>
          </w:tcPr>
          <w:p>
            <w:pPr>
              <w:pStyle w:val="TableText"/>
              <w:jc w:val="left"/>
            </w:pPr>
            <w:r>
              <w:t xml:space="preserve">22</w:t>
            </w:r>
          </w:p>
        </w:tc>
        <w:tc>
          <w:tcPr>
            <w:tcW w:w="1019" w:type="dxa"/>
          </w:tcPr>
          <w:p>
            <w:pPr>
              <w:pStyle w:val="TableText"/>
              <w:jc w:val="left"/>
            </w:pPr>
            <w:r>
              <w:t xml:space="preserve">37</w:t>
            </w:r>
          </w:p>
        </w:tc>
        <w:tc>
          <w:tcPr>
            <w:tcW w:w="1668" w:type="dxa"/>
          </w:tcPr>
          <w:p>
            <w:pPr>
              <w:pStyle w:val="TableText"/>
              <w:jc w:val="left"/>
            </w:pPr>
            <w:r>
              <w:t xml:space="preserve">37</w:t>
            </w:r>
          </w:p>
        </w:tc>
        <w:tc>
          <w:tcPr>
            <w:tcW w:w="1021" w:type="dxa"/>
          </w:tcPr>
          <w:p>
            <w:pPr>
              <w:pStyle w:val="TableText"/>
              <w:jc w:val="left"/>
            </w:pPr>
            <w:r>
              <w:rPr>
                <w:b/>
                <w:bCs/>
              </w:rPr>
              <w:t xml:space="preserve">74</w:t>
            </w:r>
          </w:p>
        </w:tc>
      </w:tr>
      <w:tr>
        <w:trPr>
          <w:cantSplit/>
        </w:trPr>
        <w:tc>
          <w:tcPr>
            <w:tcW w:w="1668" w:type="dxa"/>
          </w:tcPr>
          <w:p>
            <w:pPr>
              <w:pStyle w:val="TableText"/>
              <w:jc w:val="left"/>
            </w:pPr>
            <w:r>
              <w:t xml:space="preserve">ComputeCoop</w:t>
            </w:r>
          </w:p>
        </w:tc>
        <w:tc>
          <w:tcPr>
            <w:tcW w:w="1575" w:type="dxa"/>
          </w:tcPr>
          <w:p>
            <w:pPr>
              <w:pStyle w:val="TableText"/>
              <w:jc w:val="left"/>
            </w:pPr>
            <w:r>
              <w:t xml:space="preserve">S2 Model price</w:t>
            </w:r>
          </w:p>
        </w:tc>
        <w:tc>
          <w:tcPr>
            <w:tcW w:w="1390" w:type="dxa"/>
          </w:tcPr>
          <w:p>
            <w:pPr>
              <w:pStyle w:val="TableText"/>
              <w:jc w:val="left"/>
            </w:pPr>
            <w:r>
              <w:t xml:space="preserve">Short</w:t>
            </w:r>
          </w:p>
        </w:tc>
        <w:tc>
          <w:tcPr>
            <w:tcW w:w="1019" w:type="dxa"/>
          </w:tcPr>
          <w:p>
            <w:pPr>
              <w:pStyle w:val="TableText"/>
              <w:jc w:val="left"/>
            </w:pPr>
            <w:r>
              <w:t xml:space="preserve">18</w:t>
            </w:r>
          </w:p>
        </w:tc>
        <w:tc>
          <w:tcPr>
            <w:tcW w:w="1019" w:type="dxa"/>
          </w:tcPr>
          <w:p>
            <w:pPr>
              <w:pStyle w:val="TableText"/>
              <w:jc w:val="left"/>
            </w:pPr>
            <w:r>
              <w:t xml:space="preserve">42</w:t>
            </w:r>
          </w:p>
        </w:tc>
        <w:tc>
          <w:tcPr>
            <w:tcW w:w="1668" w:type="dxa"/>
          </w:tcPr>
          <w:p>
            <w:pPr>
              <w:pStyle w:val="TableText"/>
              <w:jc w:val="left"/>
            </w:pPr>
            <w:r>
              <w:t xml:space="preserve">42</w:t>
            </w:r>
          </w:p>
        </w:tc>
        <w:tc>
          <w:tcPr>
            <w:tcW w:w="1021" w:type="dxa"/>
          </w:tcPr>
          <w:p>
            <w:pPr>
              <w:pStyle w:val="TableText"/>
              <w:jc w:val="left"/>
            </w:pPr>
            <w:r>
              <w:rPr>
                <w:b/>
                <w:bCs/>
              </w:rPr>
              <w:t xml:space="preserve">84</w:t>
            </w:r>
          </w:p>
        </w:tc>
      </w:tr>
      <w:tr>
        <w:trPr>
          <w:cantSplit/>
        </w:trPr>
        <w:tc>
          <w:tcPr>
            <w:tcW w:w="1668" w:type="dxa"/>
          </w:tcPr>
          <w:p>
            <w:pPr>
              <w:pStyle w:val="TableText"/>
              <w:jc w:val="left"/>
            </w:pPr>
            <w:r>
              <w:t xml:space="preserve">OfficePilot</w:t>
            </w:r>
          </w:p>
        </w:tc>
        <w:tc>
          <w:tcPr>
            <w:tcW w:w="1575" w:type="dxa"/>
          </w:tcPr>
          <w:p>
            <w:pPr>
              <w:pStyle w:val="TableText"/>
              <w:jc w:val="left"/>
            </w:pPr>
            <w:r>
              <w:t xml:space="preserve">S3 Adoption</w:t>
            </w:r>
          </w:p>
        </w:tc>
        <w:tc>
          <w:tcPr>
            <w:tcW w:w="1390" w:type="dxa"/>
          </w:tcPr>
          <w:p>
            <w:pPr>
              <w:pStyle w:val="TableText"/>
              <w:jc w:val="left"/>
            </w:pPr>
            <w:r>
              <w:t xml:space="preserve">Medium</w:t>
            </w:r>
          </w:p>
        </w:tc>
        <w:tc>
          <w:tcPr>
            <w:tcW w:w="1019" w:type="dxa"/>
          </w:tcPr>
          <w:p>
            <w:pPr>
              <w:pStyle w:val="TableText"/>
              <w:jc w:val="left"/>
            </w:pPr>
            <w:r>
              <w:t xml:space="preserve">20</w:t>
            </w:r>
          </w:p>
        </w:tc>
        <w:tc>
          <w:tcPr>
            <w:tcW w:w="1019" w:type="dxa"/>
          </w:tcPr>
          <w:p>
            <w:pPr>
              <w:pStyle w:val="TableText"/>
              <w:jc w:val="left"/>
            </w:pPr>
            <w:r>
              <w:t xml:space="preserve">43</w:t>
            </w:r>
          </w:p>
        </w:tc>
        <w:tc>
          <w:tcPr>
            <w:tcW w:w="1668" w:type="dxa"/>
          </w:tcPr>
          <w:p>
            <w:pPr>
              <w:pStyle w:val="TableText"/>
              <w:jc w:val="left"/>
            </w:pPr>
            <w:r>
              <w:t xml:space="preserve">40</w:t>
            </w:r>
          </w:p>
        </w:tc>
        <w:tc>
          <w:tcPr>
            <w:tcW w:w="1021" w:type="dxa"/>
          </w:tcPr>
          <w:p>
            <w:pPr>
              <w:pStyle w:val="TableText"/>
              <w:jc w:val="left"/>
            </w:pPr>
            <w:r>
              <w:rPr>
                <w:b/>
                <w:bCs/>
              </w:rPr>
              <w:t xml:space="preserve">83</w:t>
            </w:r>
          </w:p>
        </w:tc>
      </w:tr>
      <w:tr>
        <w:trPr>
          <w:cantSplit/>
        </w:trPr>
        <w:tc>
          <w:tcPr>
            <w:tcW w:w="1668" w:type="dxa"/>
          </w:tcPr>
          <w:p>
            <w:pPr>
              <w:pStyle w:val="TableText"/>
              <w:jc w:val="left"/>
            </w:pPr>
            <w:r>
              <w:t xml:space="preserve">TongueBridge</w:t>
            </w:r>
          </w:p>
        </w:tc>
        <w:tc>
          <w:tcPr>
            <w:tcW w:w="1575" w:type="dxa"/>
          </w:tcPr>
          <w:p>
            <w:pPr>
              <w:pStyle w:val="TableText"/>
              <w:jc w:val="left"/>
            </w:pPr>
            <w:r>
              <w:t xml:space="preserve">S4 Language</w:t>
            </w:r>
          </w:p>
        </w:tc>
        <w:tc>
          <w:tcPr>
            <w:tcW w:w="1390" w:type="dxa"/>
          </w:tcPr>
          <w:p>
            <w:pPr>
              <w:pStyle w:val="TableText"/>
              <w:jc w:val="left"/>
            </w:pPr>
            <w:r>
              <w:t xml:space="preserve">Medium</w:t>
            </w:r>
          </w:p>
        </w:tc>
        <w:tc>
          <w:tcPr>
            <w:tcW w:w="1019" w:type="dxa"/>
          </w:tcPr>
          <w:p>
            <w:pPr>
              <w:pStyle w:val="TableText"/>
              <w:jc w:val="left"/>
            </w:pPr>
            <w:r>
              <w:t xml:space="preserve">19</w:t>
            </w:r>
          </w:p>
        </w:tc>
        <w:tc>
          <w:tcPr>
            <w:tcW w:w="1019" w:type="dxa"/>
          </w:tcPr>
          <w:p>
            <w:pPr>
              <w:pStyle w:val="TableText"/>
              <w:jc w:val="left"/>
            </w:pPr>
            <w:r>
              <w:t xml:space="preserve">43</w:t>
            </w:r>
          </w:p>
        </w:tc>
        <w:tc>
          <w:tcPr>
            <w:tcW w:w="1668" w:type="dxa"/>
          </w:tcPr>
          <w:p>
            <w:pPr>
              <w:pStyle w:val="TableText"/>
              <w:jc w:val="left"/>
            </w:pPr>
            <w:r>
              <w:t xml:space="preserve">37</w:t>
            </w:r>
          </w:p>
        </w:tc>
        <w:tc>
          <w:tcPr>
            <w:tcW w:w="1021" w:type="dxa"/>
          </w:tcPr>
          <w:p>
            <w:pPr>
              <w:pStyle w:val="TableText"/>
              <w:jc w:val="left"/>
            </w:pPr>
            <w:r>
              <w:rPr>
                <w:b/>
                <w:bCs/>
              </w:rPr>
              <w:t xml:space="preserve">80</w:t>
            </w:r>
          </w:p>
        </w:tc>
      </w:tr>
      <w:tr>
        <w:trPr>
          <w:cantSplit/>
        </w:trPr>
        <w:tc>
          <w:tcPr>
            <w:tcW w:w="1668" w:type="dxa"/>
          </w:tcPr>
          <w:p>
            <w:pPr>
              <w:pStyle w:val="TableText"/>
              <w:jc w:val="left"/>
            </w:pPr>
            <w:r>
              <w:t xml:space="preserve">OutcomeWorks</w:t>
            </w:r>
          </w:p>
        </w:tc>
        <w:tc>
          <w:tcPr>
            <w:tcW w:w="1575" w:type="dxa"/>
          </w:tcPr>
          <w:p>
            <w:pPr>
              <w:pStyle w:val="TableText"/>
              <w:jc w:val="left"/>
            </w:pPr>
            <w:r>
              <w:t xml:space="preserve">S5 Labour and skill</w:t>
            </w:r>
          </w:p>
        </w:tc>
        <w:tc>
          <w:tcPr>
            <w:tcW w:w="1390" w:type="dxa"/>
          </w:tcPr>
          <w:p>
            <w:pPr>
              <w:pStyle w:val="TableText"/>
              <w:jc w:val="left"/>
            </w:pPr>
            <w:r>
              <w:t xml:space="preserve">Short–medium</w:t>
            </w:r>
          </w:p>
        </w:tc>
        <w:tc>
          <w:tcPr>
            <w:tcW w:w="1019" w:type="dxa"/>
          </w:tcPr>
          <w:p>
            <w:pPr>
              <w:pStyle w:val="TableText"/>
              <w:jc w:val="left"/>
            </w:pPr>
            <w:r>
              <w:t xml:space="preserve">18</w:t>
            </w:r>
          </w:p>
        </w:tc>
        <w:tc>
          <w:tcPr>
            <w:tcW w:w="1019" w:type="dxa"/>
          </w:tcPr>
          <w:p>
            <w:pPr>
              <w:pStyle w:val="TableText"/>
              <w:jc w:val="left"/>
            </w:pPr>
            <w:r>
              <w:t xml:space="preserve">41</w:t>
            </w:r>
          </w:p>
        </w:tc>
        <w:tc>
          <w:tcPr>
            <w:tcW w:w="1668" w:type="dxa"/>
          </w:tcPr>
          <w:p>
            <w:pPr>
              <w:pStyle w:val="TableText"/>
              <w:jc w:val="left"/>
            </w:pPr>
            <w:r>
              <w:t xml:space="preserve">38</w:t>
            </w:r>
          </w:p>
        </w:tc>
        <w:tc>
          <w:tcPr>
            <w:tcW w:w="1021" w:type="dxa"/>
          </w:tcPr>
          <w:p>
            <w:pPr>
              <w:pStyle w:val="TableText"/>
              <w:jc w:val="left"/>
            </w:pPr>
            <w:r>
              <w:rPr>
                <w:b/>
                <w:bCs/>
              </w:rPr>
              <w:t xml:space="preserve">79</w:t>
            </w:r>
          </w:p>
        </w:tc>
      </w:tr>
      <w:tr>
        <w:trPr>
          <w:cantSplit/>
        </w:trPr>
        <w:tc>
          <w:tcPr>
            <w:tcW w:w="1668" w:type="dxa"/>
          </w:tcPr>
          <w:p>
            <w:pPr>
              <w:pStyle w:val="TableText"/>
              <w:jc w:val="left"/>
            </w:pPr>
            <w:r>
              <w:t xml:space="preserve">ScanBridge</w:t>
            </w:r>
          </w:p>
        </w:tc>
        <w:tc>
          <w:tcPr>
            <w:tcW w:w="1575" w:type="dxa"/>
          </w:tcPr>
          <w:p>
            <w:pPr>
              <w:pStyle w:val="TableText"/>
              <w:jc w:val="left"/>
            </w:pPr>
            <w:r>
              <w:t xml:space="preserve">S6 Expertise</w:t>
            </w:r>
          </w:p>
        </w:tc>
        <w:tc>
          <w:tcPr>
            <w:tcW w:w="1390" w:type="dxa"/>
          </w:tcPr>
          <w:p>
            <w:pPr>
              <w:pStyle w:val="TableText"/>
              <w:jc w:val="left"/>
            </w:pPr>
            <w:r>
              <w:t xml:space="preserve">Long</w:t>
            </w:r>
          </w:p>
        </w:tc>
        <w:tc>
          <w:tcPr>
            <w:tcW w:w="1019" w:type="dxa"/>
          </w:tcPr>
          <w:p>
            <w:pPr>
              <w:pStyle w:val="TableText"/>
              <w:jc w:val="left"/>
            </w:pPr>
            <w:r>
              <w:t xml:space="preserve">23</w:t>
            </w:r>
          </w:p>
        </w:tc>
        <w:tc>
          <w:tcPr>
            <w:tcW w:w="1019" w:type="dxa"/>
          </w:tcPr>
          <w:p>
            <w:pPr>
              <w:pStyle w:val="TableText"/>
              <w:jc w:val="left"/>
            </w:pPr>
            <w:r>
              <w:t xml:space="preserve">44</w:t>
            </w:r>
          </w:p>
        </w:tc>
        <w:tc>
          <w:tcPr>
            <w:tcW w:w="1668" w:type="dxa"/>
          </w:tcPr>
          <w:p>
            <w:pPr>
              <w:pStyle w:val="TableText"/>
              <w:jc w:val="left"/>
            </w:pPr>
            <w:r>
              <w:t xml:space="preserve">41</w:t>
            </w:r>
          </w:p>
        </w:tc>
        <w:tc>
          <w:tcPr>
            <w:tcW w:w="1021" w:type="dxa"/>
          </w:tcPr>
          <w:p>
            <w:pPr>
              <w:pStyle w:val="TableText"/>
              <w:jc w:val="left"/>
            </w:pPr>
            <w:r>
              <w:rPr>
                <w:b/>
                <w:bCs/>
              </w:rPr>
              <w:t xml:space="preserve">85</w:t>
            </w:r>
          </w:p>
        </w:tc>
      </w:tr>
      <w:tr>
        <w:trPr>
          <w:cantSplit/>
        </w:trPr>
        <w:tc>
          <w:tcPr>
            <w:tcW w:w="1668" w:type="dxa"/>
          </w:tcPr>
          <w:p>
            <w:pPr>
              <w:pStyle w:val="TableText"/>
              <w:jc w:val="left"/>
            </w:pPr>
            <w:r>
              <w:t xml:space="preserve">TutorGrid</w:t>
            </w:r>
          </w:p>
        </w:tc>
        <w:tc>
          <w:tcPr>
            <w:tcW w:w="1575" w:type="dxa"/>
          </w:tcPr>
          <w:p>
            <w:pPr>
              <w:pStyle w:val="TableText"/>
              <w:jc w:val="left"/>
            </w:pPr>
            <w:r>
              <w:t xml:space="preserve">S7 Learning</w:t>
            </w:r>
          </w:p>
        </w:tc>
        <w:tc>
          <w:tcPr>
            <w:tcW w:w="1390" w:type="dxa"/>
          </w:tcPr>
          <w:p>
            <w:pPr>
              <w:pStyle w:val="TableText"/>
              <w:jc w:val="left"/>
            </w:pPr>
            <w:r>
              <w:t xml:space="preserve">Long</w:t>
            </w:r>
          </w:p>
        </w:tc>
        <w:tc>
          <w:tcPr>
            <w:tcW w:w="1019" w:type="dxa"/>
          </w:tcPr>
          <w:p>
            <w:pPr>
              <w:pStyle w:val="TableText"/>
              <w:jc w:val="left"/>
            </w:pPr>
            <w:r>
              <w:t xml:space="preserve">23</w:t>
            </w:r>
          </w:p>
        </w:tc>
        <w:tc>
          <w:tcPr>
            <w:tcW w:w="1019" w:type="dxa"/>
          </w:tcPr>
          <w:p>
            <w:pPr>
              <w:pStyle w:val="TableText"/>
              <w:jc w:val="left"/>
            </w:pPr>
            <w:r>
              <w:t xml:space="preserve">45</w:t>
            </w:r>
          </w:p>
        </w:tc>
        <w:tc>
          <w:tcPr>
            <w:tcW w:w="1668" w:type="dxa"/>
          </w:tcPr>
          <w:p>
            <w:pPr>
              <w:pStyle w:val="TableText"/>
              <w:jc w:val="left"/>
            </w:pPr>
            <w:r>
              <w:t xml:space="preserve">42</w:t>
            </w:r>
          </w:p>
        </w:tc>
        <w:tc>
          <w:tcPr>
            <w:tcW w:w="1021" w:type="dxa"/>
          </w:tcPr>
          <w:p>
            <w:pPr>
              <w:pStyle w:val="TableText"/>
              <w:jc w:val="left"/>
            </w:pPr>
            <w:r>
              <w:rPr>
                <w:b/>
                <w:bCs/>
              </w:rPr>
              <w:t xml:space="preserve">87</w:t>
            </w:r>
          </w:p>
        </w:tc>
      </w:tr>
      <w:tr>
        <w:trPr>
          <w:cantSplit/>
        </w:trPr>
        <w:tc>
          <w:tcPr>
            <w:tcW w:w="1668" w:type="dxa"/>
          </w:tcPr>
          <w:p>
            <w:pPr>
              <w:pStyle w:val="TableText"/>
              <w:jc w:val="left"/>
            </w:pPr>
            <w:r>
              <w:t xml:space="preserve">FairScore</w:t>
            </w:r>
          </w:p>
        </w:tc>
        <w:tc>
          <w:tcPr>
            <w:tcW w:w="1575" w:type="dxa"/>
          </w:tcPr>
          <w:p>
            <w:pPr>
              <w:pStyle w:val="TableText"/>
              <w:jc w:val="left"/>
            </w:pPr>
            <w:r>
              <w:t xml:space="preserve">S8 Risk pricing</w:t>
            </w:r>
          </w:p>
        </w:tc>
        <w:tc>
          <w:tcPr>
            <w:tcW w:w="1390" w:type="dxa"/>
          </w:tcPr>
          <w:p>
            <w:pPr>
              <w:pStyle w:val="TableText"/>
              <w:jc w:val="left"/>
            </w:pPr>
            <w:r>
              <w:t xml:space="preserve">Medium</w:t>
            </w:r>
          </w:p>
        </w:tc>
        <w:tc>
          <w:tcPr>
            <w:tcW w:w="1019" w:type="dxa"/>
          </w:tcPr>
          <w:p>
            <w:pPr>
              <w:pStyle w:val="TableText"/>
              <w:jc w:val="left"/>
            </w:pPr>
            <w:r>
              <w:t xml:space="preserve">20</w:t>
            </w:r>
          </w:p>
        </w:tc>
        <w:tc>
          <w:tcPr>
            <w:tcW w:w="1019" w:type="dxa"/>
          </w:tcPr>
          <w:p>
            <w:pPr>
              <w:pStyle w:val="TableText"/>
              <w:jc w:val="left"/>
            </w:pPr>
            <w:r>
              <w:t xml:space="preserve">42</w:t>
            </w:r>
          </w:p>
        </w:tc>
        <w:tc>
          <w:tcPr>
            <w:tcW w:w="1668" w:type="dxa"/>
          </w:tcPr>
          <w:p>
            <w:pPr>
              <w:pStyle w:val="TableText"/>
              <w:jc w:val="left"/>
            </w:pPr>
            <w:r>
              <w:t xml:space="preserve">41</w:t>
            </w:r>
          </w:p>
        </w:tc>
        <w:tc>
          <w:tcPr>
            <w:tcW w:w="1021" w:type="dxa"/>
          </w:tcPr>
          <w:p>
            <w:pPr>
              <w:pStyle w:val="TableText"/>
              <w:jc w:val="left"/>
            </w:pPr>
            <w:r>
              <w:rPr>
                <w:b/>
                <w:bCs/>
              </w:rPr>
              <w:t xml:space="preserve">83</w:t>
            </w:r>
          </w:p>
        </w:tc>
      </w:tr>
      <w:tr>
        <w:trPr>
          <w:cantSplit/>
        </w:trPr>
        <w:tc>
          <w:tcPr>
            <w:tcW w:w="1668" w:type="dxa"/>
          </w:tcPr>
          <w:p>
            <w:pPr>
              <w:pStyle w:val="TableText"/>
              <w:jc w:val="left"/>
            </w:pPr>
            <w:r>
              <w:t xml:space="preserve">BacklogZero</w:t>
            </w:r>
          </w:p>
        </w:tc>
        <w:tc>
          <w:tcPr>
            <w:tcW w:w="1575" w:type="dxa"/>
          </w:tcPr>
          <w:p>
            <w:pPr>
              <w:pStyle w:val="TableText"/>
              <w:jc w:val="left"/>
            </w:pPr>
            <w:r>
              <w:t xml:space="preserve">S9 Backlog</w:t>
            </w:r>
          </w:p>
        </w:tc>
        <w:tc>
          <w:tcPr>
            <w:tcW w:w="1390" w:type="dxa"/>
          </w:tcPr>
          <w:p>
            <w:pPr>
              <w:pStyle w:val="TableText"/>
              <w:jc w:val="left"/>
            </w:pPr>
            <w:r>
              <w:t xml:space="preserve">Long</w:t>
            </w:r>
          </w:p>
        </w:tc>
        <w:tc>
          <w:tcPr>
            <w:tcW w:w="1019" w:type="dxa"/>
          </w:tcPr>
          <w:p>
            <w:pPr>
              <w:pStyle w:val="TableText"/>
              <w:jc w:val="left"/>
            </w:pPr>
            <w:r>
              <w:t xml:space="preserve">21</w:t>
            </w:r>
          </w:p>
        </w:tc>
        <w:tc>
          <w:tcPr>
            <w:tcW w:w="1019" w:type="dxa"/>
          </w:tcPr>
          <w:p>
            <w:pPr>
              <w:pStyle w:val="TableText"/>
              <w:jc w:val="left"/>
            </w:pPr>
            <w:r>
              <w:t xml:space="preserve">43</w:t>
            </w:r>
          </w:p>
        </w:tc>
        <w:tc>
          <w:tcPr>
            <w:tcW w:w="1668" w:type="dxa"/>
          </w:tcPr>
          <w:p>
            <w:pPr>
              <w:pStyle w:val="TableText"/>
              <w:jc w:val="left"/>
            </w:pPr>
            <w:r>
              <w:t xml:space="preserve">39</w:t>
            </w:r>
          </w:p>
        </w:tc>
        <w:tc>
          <w:tcPr>
            <w:tcW w:w="1021" w:type="dxa"/>
          </w:tcPr>
          <w:p>
            <w:pPr>
              <w:pStyle w:val="TableText"/>
              <w:jc w:val="left"/>
            </w:pPr>
            <w:r>
              <w:rPr>
                <w:b/>
                <w:bCs/>
              </w:rPr>
              <w:t xml:space="preserve">82</w:t>
            </w:r>
          </w:p>
        </w:tc>
      </w:tr>
      <w:tr>
        <w:trPr>
          <w:cantSplit/>
        </w:trPr>
        <w:tc>
          <w:tcPr>
            <w:tcW w:w="1668" w:type="dxa"/>
          </w:tcPr>
          <w:p>
            <w:pPr>
              <w:pStyle w:val="TableText"/>
              <w:jc w:val="left"/>
            </w:pPr>
            <w:r>
              <w:t xml:space="preserve">ExportReady</w:t>
            </w:r>
          </w:p>
        </w:tc>
        <w:tc>
          <w:tcPr>
            <w:tcW w:w="1575" w:type="dxa"/>
          </w:tcPr>
          <w:p>
            <w:pPr>
              <w:pStyle w:val="TableText"/>
              <w:jc w:val="left"/>
            </w:pPr>
            <w:r>
              <w:t xml:space="preserve">S10 Compliance</w:t>
            </w:r>
          </w:p>
        </w:tc>
        <w:tc>
          <w:tcPr>
            <w:tcW w:w="1390" w:type="dxa"/>
          </w:tcPr>
          <w:p>
            <w:pPr>
              <w:pStyle w:val="TableText"/>
              <w:jc w:val="left"/>
            </w:pPr>
            <w:r>
              <w:t xml:space="preserve">Medium–long</w:t>
            </w:r>
          </w:p>
        </w:tc>
        <w:tc>
          <w:tcPr>
            <w:tcW w:w="1019" w:type="dxa"/>
          </w:tcPr>
          <w:p>
            <w:pPr>
              <w:pStyle w:val="TableText"/>
              <w:jc w:val="left"/>
            </w:pPr>
            <w:r>
              <w:t xml:space="preserve">21</w:t>
            </w:r>
          </w:p>
        </w:tc>
        <w:tc>
          <w:tcPr>
            <w:tcW w:w="1019" w:type="dxa"/>
          </w:tcPr>
          <w:p>
            <w:pPr>
              <w:pStyle w:val="TableText"/>
              <w:jc w:val="left"/>
            </w:pPr>
            <w:r>
              <w:t xml:space="preserve">44</w:t>
            </w:r>
          </w:p>
        </w:tc>
        <w:tc>
          <w:tcPr>
            <w:tcW w:w="1668" w:type="dxa"/>
          </w:tcPr>
          <w:p>
            <w:pPr>
              <w:pStyle w:val="TableText"/>
              <w:jc w:val="left"/>
            </w:pPr>
            <w:r>
              <w:t xml:space="preserve">44</w:t>
            </w:r>
          </w:p>
        </w:tc>
        <w:tc>
          <w:tcPr>
            <w:tcW w:w="1021" w:type="dxa"/>
          </w:tcPr>
          <w:p>
            <w:pPr>
              <w:pStyle w:val="TableText"/>
              <w:jc w:val="left"/>
            </w:pPr>
            <w:r>
              <w:rPr>
                <w:b/>
                <w:bCs/>
              </w:rPr>
              <w:t xml:space="preserve">88</w:t>
            </w:r>
          </w:p>
        </w:tc>
      </w:tr>
      <w:tr>
        <w:trPr>
          <w:cantSplit/>
        </w:trPr>
        <w:tc>
          <w:tcPr>
            <w:tcW w:w="1668" w:type="dxa"/>
          </w:tcPr>
          <w:p>
            <w:pPr>
              <w:pStyle w:val="TableText"/>
              <w:jc w:val="left"/>
            </w:pPr>
            <w:r>
              <w:rPr>
                <w:b/>
                <w:bCs/>
              </w:rPr>
              <w:t xml:space="preserve">Average</w:t>
            </w:r>
          </w:p>
        </w:tc>
        <w:tc>
          <w:tcPr>
            <w:tcW w:w="1575" w:type="dxa"/>
          </w:tcPr>
          <w:p>
            <w:pPr>
              <w:pStyle w:val="TableText"/>
            </w:pPr>
          </w:p>
        </w:tc>
        <w:tc>
          <w:tcPr>
            <w:tcW w:w="1390" w:type="dxa"/>
          </w:tcPr>
          <w:p>
            <w:pPr>
              <w:pStyle w:val="TableText"/>
            </w:pPr>
          </w:p>
        </w:tc>
        <w:tc>
          <w:tcPr>
            <w:tcW w:w="1019" w:type="dxa"/>
          </w:tcPr>
          <w:p>
            <w:pPr>
              <w:pStyle w:val="TableText"/>
              <w:jc w:val="left"/>
            </w:pPr>
            <w:r>
              <w:rPr>
                <w:b/>
                <w:bCs/>
              </w:rPr>
              <w:t xml:space="preserve">20.5</w:t>
            </w:r>
          </w:p>
        </w:tc>
        <w:tc>
          <w:tcPr>
            <w:tcW w:w="1019" w:type="dxa"/>
          </w:tcPr>
          <w:p>
            <w:pPr>
              <w:pStyle w:val="TableText"/>
              <w:jc w:val="left"/>
            </w:pPr>
            <w:r>
              <w:rPr>
                <w:b/>
                <w:bCs/>
              </w:rPr>
              <w:t xml:space="preserve">42.4</w:t>
            </w:r>
          </w:p>
        </w:tc>
        <w:tc>
          <w:tcPr>
            <w:tcW w:w="1668" w:type="dxa"/>
          </w:tcPr>
          <w:p>
            <w:pPr>
              <w:pStyle w:val="TableText"/>
              <w:jc w:val="left"/>
            </w:pPr>
            <w:r>
              <w:rPr>
                <w:b/>
                <w:bCs/>
              </w:rPr>
              <w:t xml:space="preserve">40.1</w:t>
            </w:r>
          </w:p>
        </w:tc>
        <w:tc>
          <w:tcPr>
            <w:tcW w:w="1021" w:type="dxa"/>
          </w:tcPr>
          <w:p>
            <w:pPr>
              <w:pStyle w:val="TableText"/>
              <w:jc w:val="left"/>
            </w:pPr>
            <w:r>
              <w:rPr>
                <w:b/>
                <w:bCs/>
              </w:rPr>
              <w:t xml:space="preserve">82.5</w:t>
            </w:r>
          </w:p>
        </w:tc>
      </w:tr>
      <w:tr>
        <w:trPr>
          <w:cantSplit/>
        </w:trPr>
        <w:tc>
          <w:tcPr>
            <w:tcW w:w="1668" w:type="dxa"/>
          </w:tcPr>
          <w:p>
            <w:pPr>
              <w:pStyle w:val="TableText"/>
              <w:jc w:val="left"/>
            </w:pPr>
            <w:r>
              <w:rPr>
                <w:i/>
                <w:iCs/>
              </w:rPr>
              <w:t xml:space="preserve">Next Decagon (Volume II) average</w:t>
            </w:r>
          </w:p>
        </w:tc>
        <w:tc>
          <w:tcPr>
            <w:tcW w:w="1575" w:type="dxa"/>
          </w:tcPr>
          <w:p>
            <w:pPr>
              <w:pStyle w:val="TableText"/>
            </w:pPr>
          </w:p>
        </w:tc>
        <w:tc>
          <w:tcPr>
            <w:tcW w:w="1390" w:type="dxa"/>
          </w:tcPr>
          <w:p>
            <w:pPr>
              <w:pStyle w:val="TableText"/>
            </w:pPr>
          </w:p>
        </w:tc>
        <w:tc>
          <w:tcPr>
            <w:tcW w:w="1019" w:type="dxa"/>
          </w:tcPr>
          <w:p>
            <w:pPr>
              <w:pStyle w:val="TableText"/>
              <w:jc w:val="left"/>
            </w:pPr>
            <w:r>
              <w:t xml:space="preserve">–</w:t>
            </w:r>
          </w:p>
        </w:tc>
        <w:tc>
          <w:tcPr>
            <w:tcW w:w="1019" w:type="dxa"/>
          </w:tcPr>
          <w:p>
            <w:pPr>
              <w:pStyle w:val="TableText"/>
              <w:jc w:val="left"/>
            </w:pPr>
            <w:r>
              <w:rPr>
                <w:i/>
                <w:iCs/>
              </w:rPr>
              <w:t xml:space="preserve">42.1</w:t>
            </w:r>
          </w:p>
        </w:tc>
        <w:tc>
          <w:tcPr>
            <w:tcW w:w="1668" w:type="dxa"/>
          </w:tcPr>
          <w:p>
            <w:pPr>
              <w:pStyle w:val="TableText"/>
              <w:jc w:val="left"/>
            </w:pPr>
            <w:r>
              <w:rPr>
                <w:i/>
                <w:iCs/>
              </w:rPr>
              <w:t xml:space="preserve">40.7</w:t>
            </w:r>
          </w:p>
        </w:tc>
        <w:tc>
          <w:tcPr>
            <w:tcW w:w="1021" w:type="dxa"/>
          </w:tcPr>
          <w:p>
            <w:pPr>
              <w:pStyle w:val="TableText"/>
              <w:jc w:val="left"/>
            </w:pPr>
            <w:r>
              <w:rPr>
                <w:i/>
                <w:iCs/>
              </w:rPr>
              <w:t xml:space="preserve">82.8</w:t>
            </w:r>
          </w:p>
        </w:tc>
      </w:tr>
      <w:tr>
        <w:trPr>
          <w:cantSplit/>
        </w:trPr>
        <w:tc>
          <w:tcPr>
            <w:tcW w:w="1668" w:type="dxa"/>
          </w:tcPr>
          <w:p>
            <w:pPr>
              <w:pStyle w:val="TableText"/>
              <w:jc w:val="left"/>
            </w:pPr>
            <w:r>
              <w:rPr>
                <w:i/>
                <w:iCs/>
              </w:rPr>
              <w:t xml:space="preserve">Uber c.2012 / Airbnb c.2009 (Spread Quality)</w:t>
            </w:r>
          </w:p>
        </w:tc>
        <w:tc>
          <w:tcPr>
            <w:tcW w:w="1575" w:type="dxa"/>
          </w:tcPr>
          <w:p>
            <w:pPr>
              <w:pStyle w:val="TableText"/>
            </w:pPr>
          </w:p>
        </w:tc>
        <w:tc>
          <w:tcPr>
            <w:tcW w:w="1390" w:type="dxa"/>
          </w:tcPr>
          <w:p>
            <w:pPr>
              <w:pStyle w:val="TableText"/>
            </w:pPr>
          </w:p>
        </w:tc>
        <w:tc>
          <w:tcPr>
            <w:tcW w:w="1019" w:type="dxa"/>
          </w:tcPr>
          <w:p>
            <w:pPr>
              <w:pStyle w:val="TableText"/>
              <w:jc w:val="left"/>
            </w:pPr>
            <w:r>
              <w:rPr>
                <w:i/>
                <w:iCs/>
              </w:rPr>
              <w:t xml:space="preserve">17 / 19</w:t>
            </w:r>
          </w:p>
        </w:tc>
        <w:tc>
          <w:tcPr>
            <w:tcW w:w="1019" w:type="dxa"/>
          </w:tcPr>
          <w:p>
            <w:pPr>
              <w:pStyle w:val="TableText"/>
            </w:pPr>
          </w:p>
        </w:tc>
        <w:tc>
          <w:tcPr>
            <w:tcW w:w="1668" w:type="dxa"/>
          </w:tcPr>
          <w:p>
            <w:pPr>
              <w:pStyle w:val="TableText"/>
            </w:pPr>
          </w:p>
        </w:tc>
        <w:tc>
          <w:tcPr>
            <w:tcW w:w="1021" w:type="dxa"/>
          </w:tcPr>
          <w:p>
            <w:pPr>
              <w:pStyle w:val="TableText"/>
            </w:pPr>
          </w:p>
        </w:tc>
      </w:tr>
    </w:tbl>
    <w:p>
      <w:pPr>
        <w:pStyle w:val="BodyText"/>
        <w:spacing w:before="160"/>
      </w:pPr>
      <w:r>
        <w:rPr>
          <w:i/>
          <w:iCs/>
        </w:rPr>
        <w:t xml:space="preserve">Author’s judgement; design-intent scores. Discount for execution risk.</w:t>
      </w:r>
    </w:p>
    <w:p>
      <w:pPr>
        <w:pStyle w:val="BodyText"/>
      </w:pPr>
      <w:r>
        <w:rPr>
          <w:b/>
          <w:bCs/>
        </w:rPr>
        <w:t xml:space="preserve">What the scoreboard reveals</w:t>
      </w:r>
    </w:p>
    <w:p>
      <w:pPr>
        <w:pStyle w:val="Compact"/>
        <w:numPr>
          <w:ilvl w:val="0"/>
          <w:numId w:val="1062"/>
        </w:numPr>
      </w:pPr>
      <w:r>
        <w:rPr>
          <w:b/>
          <w:bCs/>
        </w:rPr>
        <w:t xml:space="preserve">The best spreads sit at durable bottlenecks.</w:t>
      </w:r>
      <w:r>
        <w:t xml:space="preserve"> </w:t>
      </w:r>
      <w:r>
        <w:t xml:space="preserve">ScanBridge and TutorGrid score highest on spread quality (23) because expertise and learning gaps are large, long-lasting and productive to close.</w:t>
      </w:r>
    </w:p>
    <w:p>
      <w:pPr>
        <w:pStyle w:val="Compact"/>
        <w:numPr>
          <w:ilvl w:val="0"/>
          <w:numId w:val="1062"/>
        </w:numPr>
      </w:pPr>
      <w:r>
        <w:rPr>
          <w:b/>
          <w:bCs/>
        </w:rPr>
        <w:t xml:space="preserve">The biggest spread is not the best venture.</w:t>
      </w:r>
      <w:r>
        <w:t xml:space="preserve"> </w:t>
      </w:r>
      <w:r>
        <w:t xml:space="preserve">StrandedWatts has one of the largest, longest spreads (22) but the lowest Double Decagon Index (74), because its legitimacy and stewardship must be earned site by site. Arbitrage quality and venture quality are different things, which is why both are scored.</w:t>
      </w:r>
    </w:p>
    <w:p>
      <w:pPr>
        <w:pStyle w:val="Compact"/>
        <w:numPr>
          <w:ilvl w:val="0"/>
          <w:numId w:val="1062"/>
        </w:numPr>
      </w:pPr>
      <w:r>
        <w:rPr>
          <w:b/>
          <w:bCs/>
        </w:rPr>
        <w:t xml:space="preserve">Short spreads still matter.</w:t>
      </w:r>
      <w:r>
        <w:t xml:space="preserve"> </w:t>
      </w:r>
      <w:r>
        <w:t xml:space="preserve">ComputeCoop and OutcomeWorks have the shortest half-lives, but they generate early revenue, talent and customer relationships for the rest of the portfolio (Section 5.2).</w:t>
      </w:r>
    </w:p>
    <w:p>
      <w:pPr>
        <w:pStyle w:val="Compact"/>
        <w:numPr>
          <w:ilvl w:val="0"/>
          <w:numId w:val="1062"/>
        </w:numPr>
      </w:pPr>
      <w:r>
        <w:rPr>
          <w:b/>
          <w:bCs/>
        </w:rPr>
        <w:t xml:space="preserve">Regulation-driven spreads can be the most future-fit.</w:t>
      </w:r>
      <w:r>
        <w:t xml:space="preserve"> </w:t>
      </w:r>
      <w:r>
        <w:t xml:space="preserve">ExportReady scores highest overall (88): a deadline creates urgent demand, and farmer-owned data makes the venture fair and durable.</w:t>
      </w:r>
    </w:p>
    <w:bookmarkEnd w:id="64"/>
    <w:bookmarkStart w:id="68" w:name="Xb3401b83225d3ff5b7d2767d855f816a0631461"/>
    <w:p>
      <w:pPr>
        <w:pStyle w:val="Heading2"/>
      </w:pPr>
      <w:r>
        <w:t xml:space="preserve">5.2 Harvest short spreads; invest in long spreads</w:t>
      </w:r>
    </w:p>
    <w:p>
      <w:pPr>
        <w:pStyle w:val="FirstParagraph"/>
      </w:pPr>
      <w:r>
        <w:t xml:space="preserve">Spreads close at different speeds. A portfolio can use this deliberately:</w:t>
      </w:r>
      <w:r>
        <w:t xml:space="preserve"> </w:t>
      </w:r>
      <w:r>
        <w:rPr>
          <w:b/>
          <w:bCs/>
        </w:rPr>
        <w:t xml:space="preserve">short spreads fund long ones.</w:t>
      </w:r>
    </w:p>
    <w:p>
      <w:pPr>
        <w:pStyle w:val="CaptionedFigure"/>
      </w:pPr>
      <w:r>
        <w:drawing>
          <wp:inline>
            <wp:extent cx="2743200" cy="3128443"/>
            <wp:effectExtent b="0" l="0" r="0" t="0"/>
            <wp:docPr descr="Figure 4. Harvest short spreads; invest in long spreads." title="" id="66" name="Picture"/>
            <a:graphic>
              <a:graphicData uri="http://schemas.openxmlformats.org/drawingml/2006/picture">
                <pic:pic>
                  <pic:nvPicPr>
                    <pic:cNvPr descr="/tmp/claude-0/-home-user-Adekunle-Adeniji/db1110ee-95e2-549a-bb3a-dcca8fdc5e35/scratchpad/docx_build/img3_tb/diagram_2.png" id="67" name="Picture"/>
                    <pic:cNvPicPr>
                      <a:picLocks noChangeArrowheads="1" noChangeAspect="1"/>
                    </pic:cNvPicPr>
                  </pic:nvPicPr>
                  <pic:blipFill>
                    <a:blip r:embed="rId65"/>
                    <a:stretch>
                      <a:fillRect/>
                    </a:stretch>
                  </pic:blipFill>
                  <pic:spPr bwMode="auto">
                    <a:xfrm>
                      <a:off x="0" y="0"/>
                      <a:ext cx="2743200" cy="3128443"/>
                    </a:xfrm>
                    <a:prstGeom prst="rect">
                      <a:avLst/>
                    </a:prstGeom>
                    <a:noFill/>
                    <a:ln w="9525">
                      <a:noFill/>
                      <a:headEnd/>
                      <a:tailEnd/>
                    </a:ln>
                  </pic:spPr>
                </pic:pic>
              </a:graphicData>
            </a:graphic>
          </wp:inline>
        </w:drawing>
      </w:r>
    </w:p>
    <w:p>
      <w:pPr>
        <w:pStyle w:val="ImageCaption"/>
      </w:pPr>
      <w:r>
        <w:t xml:space="preserve">Figure 4. Harvest short spreads; invest in long spreads.</w:t>
      </w:r>
    </w:p>
    <w:tbl>
      <w:tblPr>
        <w:tblStyle w:val="Table"/>
        <w:tblW w:w="9360" w:type="dxa"/>
        <w:jc w:val="left"/>
        <w:tblLayout w:type="fixed"/>
        <w:tblLook w:firstRow="1" w:lastRow="0" w:firstColumn="0" w:lastColumn="0" w:noHBand="0" w:noVBand="0" w:val="0020"/>
      </w:tblPr>
      <w:tblGrid>
        <w:gridCol w:w="1802"/>
        <w:gridCol w:w="2575"/>
        <w:gridCol w:w="4983"/>
      </w:tblGrid>
      <w:tr>
        <w:trPr>
          <w:cantSplit/>
          <w:tblHeader w:val="true"/>
        </w:trPr>
        <w:tc>
          <w:tcPr>
            <w:tcW w:w="1802" w:type="dxa"/>
          </w:tcPr>
          <w:p>
            <w:pPr>
              <w:pStyle w:val="TableText"/>
              <w:jc w:val="left"/>
            </w:pPr>
            <w:r>
              <w:t xml:space="preserve">Half-life</w:t>
            </w:r>
          </w:p>
        </w:tc>
        <w:tc>
          <w:tcPr>
            <w:tcW w:w="2575" w:type="dxa"/>
          </w:tcPr>
          <w:p>
            <w:pPr>
              <w:pStyle w:val="TableText"/>
              <w:jc w:val="left"/>
            </w:pPr>
            <w:r>
              <w:t xml:space="preserve">Ventures</w:t>
            </w:r>
          </w:p>
        </w:tc>
        <w:tc>
          <w:tcPr>
            <w:tcW w:w="4983" w:type="dxa"/>
          </w:tcPr>
          <w:p>
            <w:pPr>
              <w:pStyle w:val="TableText"/>
              <w:jc w:val="left"/>
            </w:pPr>
            <w:r>
              <w:t xml:space="preserve">Role in the portfolio</w:t>
            </w:r>
          </w:p>
        </w:tc>
      </w:tr>
      <w:tr>
        <w:trPr>
          <w:cantSplit/>
        </w:trPr>
        <w:tc>
          <w:tcPr>
            <w:tcW w:w="1802" w:type="dxa"/>
          </w:tcPr>
          <w:p>
            <w:pPr>
              <w:pStyle w:val="TableText"/>
              <w:jc w:val="left"/>
            </w:pPr>
            <w:r>
              <w:rPr>
                <w:b/>
                <w:bCs/>
              </w:rPr>
              <w:t xml:space="preserve">Short</w:t>
            </w:r>
            <w:r>
              <w:t xml:space="preserve"> </w:t>
            </w:r>
            <w:r>
              <w:t xml:space="preserve">(months to about two years)</w:t>
            </w:r>
          </w:p>
        </w:tc>
        <w:tc>
          <w:tcPr>
            <w:tcW w:w="2575" w:type="dxa"/>
          </w:tcPr>
          <w:p>
            <w:pPr>
              <w:pStyle w:val="TableText"/>
              <w:jc w:val="left"/>
            </w:pPr>
            <w:r>
              <w:t xml:space="preserve">ComputeCoop, OutcomeWorks</w:t>
            </w:r>
          </w:p>
        </w:tc>
        <w:tc>
          <w:tcPr>
            <w:tcW w:w="4983" w:type="dxa"/>
          </w:tcPr>
          <w:p>
            <w:pPr>
              <w:pStyle w:val="TableText"/>
              <w:jc w:val="left"/>
            </w:pPr>
            <w:r>
              <w:t xml:space="preserve">Generate early revenue; build skills and client relationships; provide cheap AI and trained people to the other ventures</w:t>
            </w:r>
          </w:p>
        </w:tc>
      </w:tr>
      <w:tr>
        <w:trPr>
          <w:cantSplit/>
        </w:trPr>
        <w:tc>
          <w:tcPr>
            <w:tcW w:w="1802" w:type="dxa"/>
          </w:tcPr>
          <w:p>
            <w:pPr>
              <w:pStyle w:val="TableText"/>
              <w:jc w:val="left"/>
            </w:pPr>
            <w:r>
              <w:rPr>
                <w:b/>
                <w:bCs/>
              </w:rPr>
              <w:t xml:space="preserve">Medium</w:t>
            </w:r>
            <w:r>
              <w:t xml:space="preserve"> </w:t>
            </w:r>
            <w:r>
              <w:t xml:space="preserve">(two to five years)</w:t>
            </w:r>
          </w:p>
        </w:tc>
        <w:tc>
          <w:tcPr>
            <w:tcW w:w="2575" w:type="dxa"/>
          </w:tcPr>
          <w:p>
            <w:pPr>
              <w:pStyle w:val="TableText"/>
              <w:jc w:val="left"/>
            </w:pPr>
            <w:r>
              <w:t xml:space="preserve">OfficePilot, TongueBridge, FairScore, ExportReady</w:t>
            </w:r>
          </w:p>
        </w:tc>
        <w:tc>
          <w:tcPr>
            <w:tcW w:w="4983" w:type="dxa"/>
          </w:tcPr>
          <w:p>
            <w:pPr>
              <w:pStyle w:val="TableText"/>
              <w:jc w:val="left"/>
            </w:pPr>
            <w:r>
              <w:t xml:space="preserve">Build consented data, distribution networks and trust that the long-spread ventures need</w:t>
            </w:r>
          </w:p>
        </w:tc>
      </w:tr>
      <w:tr>
        <w:trPr>
          <w:cantSplit/>
        </w:trPr>
        <w:tc>
          <w:tcPr>
            <w:tcW w:w="1802" w:type="dxa"/>
          </w:tcPr>
          <w:p>
            <w:pPr>
              <w:pStyle w:val="TableText"/>
              <w:jc w:val="left"/>
            </w:pPr>
            <w:r>
              <w:rPr>
                <w:b/>
                <w:bCs/>
              </w:rPr>
              <w:t xml:space="preserve">Long</w:t>
            </w:r>
            <w:r>
              <w:t xml:space="preserve"> </w:t>
            </w:r>
            <w:r>
              <w:t xml:space="preserve">(five years or more)</w:t>
            </w:r>
          </w:p>
        </w:tc>
        <w:tc>
          <w:tcPr>
            <w:tcW w:w="2575" w:type="dxa"/>
          </w:tcPr>
          <w:p>
            <w:pPr>
              <w:pStyle w:val="TableText"/>
              <w:jc w:val="left"/>
            </w:pPr>
            <w:r>
              <w:t xml:space="preserve">StrandedWatts, ScanBridge, TutorGrid, BacklogZero</w:t>
            </w:r>
          </w:p>
        </w:tc>
        <w:tc>
          <w:tcPr>
            <w:tcW w:w="4983" w:type="dxa"/>
          </w:tcPr>
          <w:p>
            <w:pPr>
              <w:pStyle w:val="TableText"/>
              <w:jc w:val="left"/>
            </w:pPr>
            <w:r>
              <w:t xml:space="preserve">Build infrastructure and institutions that last decades; the portfolio’s durable core</w:t>
            </w:r>
          </w:p>
        </w:tc>
      </w:tr>
    </w:tbl>
    <w:bookmarkEnd w:id="68"/>
    <w:bookmarkStart w:id="69" w:name="X88401b9f1ebd896be4dc02cbbe4c687a6ca87ac"/>
    <w:p>
      <w:pPr>
        <w:pStyle w:val="Heading2"/>
      </w:pPr>
      <w:r>
        <w:t xml:space="preserve">5.3 How the ten ventures reinforce each other</w:t>
      </w:r>
    </w:p>
    <w:tbl>
      <w:tblPr>
        <w:tblStyle w:val="Table"/>
        <w:tblW w:w="9360" w:type="dxa"/>
        <w:jc w:val="left"/>
        <w:tblLayout w:type="fixed"/>
        <w:tblLook w:firstRow="1" w:lastRow="0" w:firstColumn="0" w:lastColumn="0" w:noHBand="0" w:noVBand="0" w:val="0020"/>
      </w:tblPr>
      <w:tblGrid>
        <w:gridCol w:w="1609"/>
        <w:gridCol w:w="2717"/>
        <w:gridCol w:w="5034"/>
      </w:tblGrid>
      <w:tr>
        <w:trPr>
          <w:cantSplit/>
          <w:tblHeader w:val="true"/>
        </w:trPr>
        <w:tc>
          <w:tcPr>
            <w:tcW w:w="1609" w:type="dxa"/>
          </w:tcPr>
          <w:p>
            <w:pPr>
              <w:pStyle w:val="TableText"/>
              <w:jc w:val="left"/>
            </w:pPr>
            <w:r>
              <w:t xml:space="preserve">From</w:t>
            </w:r>
          </w:p>
        </w:tc>
        <w:tc>
          <w:tcPr>
            <w:tcW w:w="2717" w:type="dxa"/>
          </w:tcPr>
          <w:p>
            <w:pPr>
              <w:pStyle w:val="TableText"/>
              <w:jc w:val="left"/>
            </w:pPr>
            <w:r>
              <w:t xml:space="preserve">To</w:t>
            </w:r>
          </w:p>
        </w:tc>
        <w:tc>
          <w:tcPr>
            <w:tcW w:w="5034" w:type="dxa"/>
          </w:tcPr>
          <w:p>
            <w:pPr>
              <w:pStyle w:val="TableText"/>
              <w:jc w:val="left"/>
            </w:pPr>
            <w:r>
              <w:t xml:space="preserve">What flows</w:t>
            </w:r>
          </w:p>
        </w:tc>
      </w:tr>
      <w:tr>
        <w:trPr>
          <w:cantSplit/>
        </w:trPr>
        <w:tc>
          <w:tcPr>
            <w:tcW w:w="1609" w:type="dxa"/>
          </w:tcPr>
          <w:p>
            <w:pPr>
              <w:pStyle w:val="TableText"/>
              <w:jc w:val="left"/>
            </w:pPr>
            <w:r>
              <w:t xml:space="preserve">OfficePilot</w:t>
            </w:r>
          </w:p>
        </w:tc>
        <w:tc>
          <w:tcPr>
            <w:tcW w:w="2717" w:type="dxa"/>
          </w:tcPr>
          <w:p>
            <w:pPr>
              <w:pStyle w:val="TableText"/>
              <w:jc w:val="left"/>
            </w:pPr>
            <w:r>
              <w:t xml:space="preserve">FairScore</w:t>
            </w:r>
          </w:p>
        </w:tc>
        <w:tc>
          <w:tcPr>
            <w:tcW w:w="5034" w:type="dxa"/>
          </w:tcPr>
          <w:p>
            <w:pPr>
              <w:pStyle w:val="TableText"/>
              <w:jc w:val="left"/>
            </w:pPr>
            <w:r>
              <w:t xml:space="preserve">Consented trading records that become credit histories</w:t>
            </w:r>
          </w:p>
        </w:tc>
      </w:tr>
      <w:tr>
        <w:trPr>
          <w:cantSplit/>
        </w:trPr>
        <w:tc>
          <w:tcPr>
            <w:tcW w:w="1609" w:type="dxa"/>
          </w:tcPr>
          <w:p>
            <w:pPr>
              <w:pStyle w:val="TableText"/>
              <w:jc w:val="left"/>
            </w:pPr>
            <w:r>
              <w:t xml:space="preserve">TongueBridge</w:t>
            </w:r>
          </w:p>
        </w:tc>
        <w:tc>
          <w:tcPr>
            <w:tcW w:w="2717" w:type="dxa"/>
          </w:tcPr>
          <w:p>
            <w:pPr>
              <w:pStyle w:val="TableText"/>
              <w:jc w:val="left"/>
            </w:pPr>
            <w:r>
              <w:t xml:space="preserve">TutorGrid, OfficePilot</w:t>
            </w:r>
          </w:p>
        </w:tc>
        <w:tc>
          <w:tcPr>
            <w:tcW w:w="5034" w:type="dxa"/>
          </w:tcPr>
          <w:p>
            <w:pPr>
              <w:pStyle w:val="TableText"/>
              <w:jc w:val="left"/>
            </w:pPr>
            <w:r>
              <w:t xml:space="preserve">Local-language voice and translation</w:t>
            </w:r>
          </w:p>
        </w:tc>
      </w:tr>
      <w:tr>
        <w:trPr>
          <w:cantSplit/>
        </w:trPr>
        <w:tc>
          <w:tcPr>
            <w:tcW w:w="1609" w:type="dxa"/>
          </w:tcPr>
          <w:p>
            <w:pPr>
              <w:pStyle w:val="TableText"/>
              <w:jc w:val="left"/>
            </w:pPr>
            <w:r>
              <w:t xml:space="preserve">ComputeCoop</w:t>
            </w:r>
          </w:p>
        </w:tc>
        <w:tc>
          <w:tcPr>
            <w:tcW w:w="2717" w:type="dxa"/>
          </w:tcPr>
          <w:p>
            <w:pPr>
              <w:pStyle w:val="TableText"/>
              <w:jc w:val="left"/>
            </w:pPr>
            <w:r>
              <w:t xml:space="preserve">All ventures</w:t>
            </w:r>
          </w:p>
        </w:tc>
        <w:tc>
          <w:tcPr>
            <w:tcW w:w="5034" w:type="dxa"/>
          </w:tcPr>
          <w:p>
            <w:pPr>
              <w:pStyle w:val="TableText"/>
              <w:jc w:val="left"/>
            </w:pPr>
            <w:r>
              <w:t xml:space="preserve">Affordable, compliant AI access</w:t>
            </w:r>
          </w:p>
        </w:tc>
      </w:tr>
      <w:tr>
        <w:trPr>
          <w:cantSplit/>
        </w:trPr>
        <w:tc>
          <w:tcPr>
            <w:tcW w:w="1609" w:type="dxa"/>
          </w:tcPr>
          <w:p>
            <w:pPr>
              <w:pStyle w:val="TableText"/>
              <w:jc w:val="left"/>
            </w:pPr>
            <w:r>
              <w:t xml:space="preserve">StrandedWatts</w:t>
            </w:r>
          </w:p>
        </w:tc>
        <w:tc>
          <w:tcPr>
            <w:tcW w:w="2717" w:type="dxa"/>
          </w:tcPr>
          <w:p>
            <w:pPr>
              <w:pStyle w:val="TableText"/>
              <w:jc w:val="left"/>
            </w:pPr>
            <w:r>
              <w:t xml:space="preserve">ComputeCoop, ScanBridge, TutorGrid</w:t>
            </w:r>
          </w:p>
        </w:tc>
        <w:tc>
          <w:tcPr>
            <w:tcW w:w="5034" w:type="dxa"/>
          </w:tcPr>
          <w:p>
            <w:pPr>
              <w:pStyle w:val="TableText"/>
              <w:jc w:val="left"/>
            </w:pPr>
            <w:r>
              <w:t xml:space="preserve">Local, sovereign compute and power</w:t>
            </w:r>
          </w:p>
        </w:tc>
      </w:tr>
      <w:tr>
        <w:trPr>
          <w:cantSplit/>
        </w:trPr>
        <w:tc>
          <w:tcPr>
            <w:tcW w:w="1609" w:type="dxa"/>
          </w:tcPr>
          <w:p>
            <w:pPr>
              <w:pStyle w:val="TableText"/>
              <w:jc w:val="left"/>
            </w:pPr>
            <w:r>
              <w:t xml:space="preserve">OutcomeWorks</w:t>
            </w:r>
          </w:p>
        </w:tc>
        <w:tc>
          <w:tcPr>
            <w:tcW w:w="2717" w:type="dxa"/>
          </w:tcPr>
          <w:p>
            <w:pPr>
              <w:pStyle w:val="TableText"/>
              <w:jc w:val="left"/>
            </w:pPr>
            <w:r>
              <w:t xml:space="preserve">OfficePilot, BacklogZero</w:t>
            </w:r>
          </w:p>
        </w:tc>
        <w:tc>
          <w:tcPr>
            <w:tcW w:w="5034" w:type="dxa"/>
          </w:tcPr>
          <w:p>
            <w:pPr>
              <w:pStyle w:val="TableText"/>
              <w:jc w:val="left"/>
            </w:pPr>
            <w:r>
              <w:t xml:space="preserve">Trained, supervised AI-augmented workers</w:t>
            </w:r>
          </w:p>
        </w:tc>
      </w:tr>
      <w:tr>
        <w:trPr>
          <w:cantSplit/>
        </w:trPr>
        <w:tc>
          <w:tcPr>
            <w:tcW w:w="1609" w:type="dxa"/>
          </w:tcPr>
          <w:p>
            <w:pPr>
              <w:pStyle w:val="TableText"/>
              <w:jc w:val="left"/>
            </w:pPr>
            <w:r>
              <w:t xml:space="preserve">BacklogZero</w:t>
            </w:r>
          </w:p>
        </w:tc>
        <w:tc>
          <w:tcPr>
            <w:tcW w:w="2717" w:type="dxa"/>
          </w:tcPr>
          <w:p>
            <w:pPr>
              <w:pStyle w:val="TableText"/>
              <w:jc w:val="left"/>
            </w:pPr>
            <w:r>
              <w:t xml:space="preserve">FairScore</w:t>
            </w:r>
          </w:p>
        </w:tc>
        <w:tc>
          <w:tcPr>
            <w:tcW w:w="5034" w:type="dxa"/>
          </w:tcPr>
          <w:p>
            <w:pPr>
              <w:pStyle w:val="TableText"/>
              <w:jc w:val="left"/>
            </w:pPr>
            <w:r>
              <w:t xml:space="preserve">Land titles and registrations usable as collateral</w:t>
            </w:r>
          </w:p>
        </w:tc>
      </w:tr>
      <w:tr>
        <w:trPr>
          <w:cantSplit/>
        </w:trPr>
        <w:tc>
          <w:tcPr>
            <w:tcW w:w="1609" w:type="dxa"/>
          </w:tcPr>
          <w:p>
            <w:pPr>
              <w:pStyle w:val="TableText"/>
              <w:jc w:val="left"/>
            </w:pPr>
            <w:r>
              <w:t xml:space="preserve">ExportReady</w:t>
            </w:r>
          </w:p>
        </w:tc>
        <w:tc>
          <w:tcPr>
            <w:tcW w:w="2717" w:type="dxa"/>
          </w:tcPr>
          <w:p>
            <w:pPr>
              <w:pStyle w:val="TableText"/>
              <w:jc w:val="left"/>
            </w:pPr>
            <w:r>
              <w:t xml:space="preserve">FairScore</w:t>
            </w:r>
          </w:p>
        </w:tc>
        <w:tc>
          <w:tcPr>
            <w:tcW w:w="5034" w:type="dxa"/>
          </w:tcPr>
          <w:p>
            <w:pPr>
              <w:pStyle w:val="TableText"/>
              <w:jc w:val="left"/>
            </w:pPr>
            <w:r>
              <w:t xml:space="preserve">Compliance records that make farmers creditworthy</w:t>
            </w:r>
          </w:p>
        </w:tc>
      </w:tr>
      <w:tr>
        <w:trPr>
          <w:cantSplit/>
        </w:trPr>
        <w:tc>
          <w:tcPr>
            <w:tcW w:w="1609" w:type="dxa"/>
          </w:tcPr>
          <w:p>
            <w:pPr>
              <w:pStyle w:val="TableText"/>
              <w:jc w:val="left"/>
            </w:pPr>
            <w:r>
              <w:t xml:space="preserve">ScanBridge</w:t>
            </w:r>
          </w:p>
        </w:tc>
        <w:tc>
          <w:tcPr>
            <w:tcW w:w="2717" w:type="dxa"/>
          </w:tcPr>
          <w:p>
            <w:pPr>
              <w:pStyle w:val="TableText"/>
              <w:jc w:val="left"/>
            </w:pPr>
            <w:r>
              <w:t xml:space="preserve">TutorGrid</w:t>
            </w:r>
          </w:p>
        </w:tc>
        <w:tc>
          <w:tcPr>
            <w:tcW w:w="5034" w:type="dxa"/>
          </w:tcPr>
          <w:p>
            <w:pPr>
              <w:pStyle w:val="TableText"/>
              <w:jc w:val="left"/>
            </w:pPr>
            <w:r>
              <w:t xml:space="preserve">Health-education content; trained health workers</w:t>
            </w:r>
          </w:p>
        </w:tc>
      </w:tr>
      <w:tr>
        <w:trPr>
          <w:cantSplit/>
        </w:trPr>
        <w:tc>
          <w:tcPr>
            <w:tcW w:w="1609" w:type="dxa"/>
          </w:tcPr>
          <w:p>
            <w:pPr>
              <w:pStyle w:val="TableText"/>
              <w:jc w:val="left"/>
            </w:pPr>
            <w:r>
              <w:t xml:space="preserve">FairScore</w:t>
            </w:r>
          </w:p>
        </w:tc>
        <w:tc>
          <w:tcPr>
            <w:tcW w:w="2717" w:type="dxa"/>
          </w:tcPr>
          <w:p>
            <w:pPr>
              <w:pStyle w:val="TableText"/>
              <w:jc w:val="left"/>
            </w:pPr>
            <w:r>
              <w:t xml:space="preserve">OfficePilot, ExportReady</w:t>
            </w:r>
          </w:p>
        </w:tc>
        <w:tc>
          <w:tcPr>
            <w:tcW w:w="5034" w:type="dxa"/>
          </w:tcPr>
          <w:p>
            <w:pPr>
              <w:pStyle w:val="TableText"/>
              <w:jc w:val="left"/>
            </w:pPr>
            <w:r>
              <w:t xml:space="preserve">Credit that rewards compliance and good records</w:t>
            </w:r>
          </w:p>
        </w:tc>
      </w:tr>
    </w:tbl>
    <w:bookmarkEnd w:id="69"/>
    <w:bookmarkStart w:id="70" w:name="links-with-volumes-i-and-ii"/>
    <w:p>
      <w:pPr>
        <w:pStyle w:val="Heading2"/>
      </w:pPr>
      <w:r>
        <w:t xml:space="preserve">5.4 Links with Volumes I and II</w:t>
      </w:r>
    </w:p>
    <w:tbl>
      <w:tblPr>
        <w:tblStyle w:val="Table"/>
        <w:tblW w:w="9360" w:type="dxa"/>
        <w:jc w:val="left"/>
        <w:tblLayout w:type="fixed"/>
        <w:tblLook w:firstRow="1" w:lastRow="0" w:firstColumn="0" w:lastColumn="0" w:noHBand="0" w:noVBand="0" w:val="0020"/>
      </w:tblPr>
      <w:tblGrid>
        <w:gridCol w:w="1512"/>
        <w:gridCol w:w="3403"/>
        <w:gridCol w:w="4445"/>
      </w:tblGrid>
      <w:tr>
        <w:trPr>
          <w:cantSplit/>
          <w:tblHeader w:val="true"/>
        </w:trPr>
        <w:tc>
          <w:tcPr>
            <w:tcW w:w="1512" w:type="dxa"/>
          </w:tcPr>
          <w:p>
            <w:pPr>
              <w:pStyle w:val="TableText"/>
              <w:jc w:val="left"/>
            </w:pPr>
            <w:r>
              <w:t xml:space="preserve">Volume III venture</w:t>
            </w:r>
          </w:p>
        </w:tc>
        <w:tc>
          <w:tcPr>
            <w:tcW w:w="3403" w:type="dxa"/>
          </w:tcPr>
          <w:p>
            <w:pPr>
              <w:pStyle w:val="TableText"/>
              <w:jc w:val="left"/>
            </w:pPr>
            <w:r>
              <w:t xml:space="preserve">Builds on</w:t>
            </w:r>
          </w:p>
        </w:tc>
        <w:tc>
          <w:tcPr>
            <w:tcW w:w="4445" w:type="dxa"/>
          </w:tcPr>
          <w:p>
            <w:pPr>
              <w:pStyle w:val="TableText"/>
              <w:jc w:val="left"/>
            </w:pPr>
            <w:r>
              <w:t xml:space="preserve">Strengthens</w:t>
            </w:r>
          </w:p>
        </w:tc>
      </w:tr>
      <w:tr>
        <w:trPr>
          <w:cantSplit/>
        </w:trPr>
        <w:tc>
          <w:tcPr>
            <w:tcW w:w="1512" w:type="dxa"/>
          </w:tcPr>
          <w:p>
            <w:pPr>
              <w:pStyle w:val="TableText"/>
              <w:jc w:val="left"/>
            </w:pPr>
            <w:r>
              <w:t xml:space="preserve">StrandedWatts</w:t>
            </w:r>
          </w:p>
        </w:tc>
        <w:tc>
          <w:tcPr>
            <w:tcW w:w="3403" w:type="dxa"/>
          </w:tcPr>
          <w:p>
            <w:pPr>
              <w:pStyle w:val="TableText"/>
              <w:jc w:val="left"/>
            </w:pPr>
            <w:r>
              <w:t xml:space="preserve">FluxCommons (Vol I), SecondCell (Vol II)</w:t>
            </w:r>
          </w:p>
        </w:tc>
        <w:tc>
          <w:tcPr>
            <w:tcW w:w="4445" w:type="dxa"/>
          </w:tcPr>
          <w:p>
            <w:pPr>
              <w:pStyle w:val="TableText"/>
              <w:jc w:val="left"/>
            </w:pPr>
            <w:r>
              <w:t xml:space="preserve">RemoteHands, PartsGrid (power for hubs and workshops)</w:t>
            </w:r>
          </w:p>
        </w:tc>
      </w:tr>
      <w:tr>
        <w:trPr>
          <w:cantSplit/>
        </w:trPr>
        <w:tc>
          <w:tcPr>
            <w:tcW w:w="1512" w:type="dxa"/>
          </w:tcPr>
          <w:p>
            <w:pPr>
              <w:pStyle w:val="TableText"/>
              <w:jc w:val="left"/>
            </w:pPr>
            <w:r>
              <w:t xml:space="preserve">ComputeCoop</w:t>
            </w:r>
          </w:p>
        </w:tc>
        <w:tc>
          <w:tcPr>
            <w:tcW w:w="3403" w:type="dxa"/>
          </w:tcPr>
          <w:p>
            <w:pPr>
              <w:pStyle w:val="TableText"/>
              <w:jc w:val="left"/>
            </w:pPr>
            <w:r>
              <w:t xml:space="preserve">AgentUnion (Vol II), DataGuild (Vol I)</w:t>
            </w:r>
          </w:p>
        </w:tc>
        <w:tc>
          <w:tcPr>
            <w:tcW w:w="4445" w:type="dxa"/>
          </w:tcPr>
          <w:p>
            <w:pPr>
              <w:pStyle w:val="TableText"/>
              <w:jc w:val="left"/>
            </w:pPr>
            <w:r>
              <w:t xml:space="preserve">Every AI-dependent venture</w:t>
            </w:r>
          </w:p>
        </w:tc>
      </w:tr>
      <w:tr>
        <w:trPr>
          <w:cantSplit/>
        </w:trPr>
        <w:tc>
          <w:tcPr>
            <w:tcW w:w="1512" w:type="dxa"/>
          </w:tcPr>
          <w:p>
            <w:pPr>
              <w:pStyle w:val="TableText"/>
              <w:jc w:val="left"/>
            </w:pPr>
            <w:r>
              <w:t xml:space="preserve">OfficePilot</w:t>
            </w:r>
          </w:p>
        </w:tc>
        <w:tc>
          <w:tcPr>
            <w:tcW w:w="3403" w:type="dxa"/>
          </w:tcPr>
          <w:p>
            <w:pPr>
              <w:pStyle w:val="TableText"/>
              <w:jc w:val="left"/>
            </w:pPr>
            <w:r>
              <w:t xml:space="preserve">Guildhall (Vol I)</w:t>
            </w:r>
          </w:p>
        </w:tc>
        <w:tc>
          <w:tcPr>
            <w:tcW w:w="4445" w:type="dxa"/>
          </w:tcPr>
          <w:p>
            <w:pPr>
              <w:pStyle w:val="TableText"/>
              <w:jc w:val="left"/>
            </w:pPr>
            <w:r>
              <w:t xml:space="preserve">HarvestGrid, Hearth (financial records)</w:t>
            </w:r>
          </w:p>
        </w:tc>
      </w:tr>
      <w:tr>
        <w:trPr>
          <w:cantSplit/>
        </w:trPr>
        <w:tc>
          <w:tcPr>
            <w:tcW w:w="1512" w:type="dxa"/>
          </w:tcPr>
          <w:p>
            <w:pPr>
              <w:pStyle w:val="TableText"/>
              <w:jc w:val="left"/>
            </w:pPr>
            <w:r>
              <w:t xml:space="preserve">TongueBridge</w:t>
            </w:r>
          </w:p>
        </w:tc>
        <w:tc>
          <w:tcPr>
            <w:tcW w:w="3403" w:type="dxa"/>
          </w:tcPr>
          <w:p>
            <w:pPr>
              <w:pStyle w:val="TableText"/>
              <w:jc w:val="left"/>
            </w:pPr>
            <w:r>
              <w:t xml:space="preserve">DataGuild (Vol I)</w:t>
            </w:r>
          </w:p>
        </w:tc>
        <w:tc>
          <w:tcPr>
            <w:tcW w:w="4445" w:type="dxa"/>
          </w:tcPr>
          <w:p>
            <w:pPr>
              <w:pStyle w:val="TableText"/>
              <w:jc w:val="left"/>
            </w:pPr>
            <w:r>
              <w:t xml:space="preserve">Agora, KinGrid (local-language services)</w:t>
            </w:r>
          </w:p>
        </w:tc>
      </w:tr>
      <w:tr>
        <w:trPr>
          <w:cantSplit/>
        </w:trPr>
        <w:tc>
          <w:tcPr>
            <w:tcW w:w="1512" w:type="dxa"/>
          </w:tcPr>
          <w:p>
            <w:pPr>
              <w:pStyle w:val="TableText"/>
              <w:jc w:val="left"/>
            </w:pPr>
            <w:r>
              <w:t xml:space="preserve">OutcomeWorks</w:t>
            </w:r>
          </w:p>
        </w:tc>
        <w:tc>
          <w:tcPr>
            <w:tcW w:w="3403" w:type="dxa"/>
          </w:tcPr>
          <w:p>
            <w:pPr>
              <w:pStyle w:val="TableText"/>
              <w:jc w:val="left"/>
            </w:pPr>
            <w:r>
              <w:t xml:space="preserve">Guildhall (Vol I), RemoteHands (Vol II)</w:t>
            </w:r>
          </w:p>
        </w:tc>
        <w:tc>
          <w:tcPr>
            <w:tcW w:w="4445" w:type="dxa"/>
          </w:tcPr>
          <w:p>
            <w:pPr>
              <w:pStyle w:val="TableText"/>
              <w:jc w:val="left"/>
            </w:pPr>
            <w:r>
              <w:t xml:space="preserve">CommonFleet (remote operations)</w:t>
            </w:r>
          </w:p>
        </w:tc>
      </w:tr>
      <w:tr>
        <w:trPr>
          <w:cantSplit/>
        </w:trPr>
        <w:tc>
          <w:tcPr>
            <w:tcW w:w="1512" w:type="dxa"/>
          </w:tcPr>
          <w:p>
            <w:pPr>
              <w:pStyle w:val="TableText"/>
              <w:jc w:val="left"/>
            </w:pPr>
            <w:r>
              <w:t xml:space="preserve">ScanBridge</w:t>
            </w:r>
          </w:p>
        </w:tc>
        <w:tc>
          <w:tcPr>
            <w:tcW w:w="3403" w:type="dxa"/>
          </w:tcPr>
          <w:p>
            <w:pPr>
              <w:pStyle w:val="TableText"/>
              <w:jc w:val="left"/>
            </w:pPr>
            <w:r>
              <w:t xml:space="preserve">SurgeNet (Vol II)</w:t>
            </w:r>
          </w:p>
        </w:tc>
        <w:tc>
          <w:tcPr>
            <w:tcW w:w="4445" w:type="dxa"/>
          </w:tcPr>
          <w:p>
            <w:pPr>
              <w:pStyle w:val="TableText"/>
              <w:jc w:val="left"/>
            </w:pPr>
            <w:r>
              <w:t xml:space="preserve">KinGrid (diagnosis for elders)</w:t>
            </w:r>
          </w:p>
        </w:tc>
      </w:tr>
      <w:tr>
        <w:trPr>
          <w:cantSplit/>
        </w:trPr>
        <w:tc>
          <w:tcPr>
            <w:tcW w:w="1512" w:type="dxa"/>
          </w:tcPr>
          <w:p>
            <w:pPr>
              <w:pStyle w:val="TableText"/>
              <w:jc w:val="left"/>
            </w:pPr>
            <w:r>
              <w:t xml:space="preserve">TutorGrid</w:t>
            </w:r>
          </w:p>
        </w:tc>
        <w:tc>
          <w:tcPr>
            <w:tcW w:w="3403" w:type="dxa"/>
          </w:tcPr>
          <w:p>
            <w:pPr>
              <w:pStyle w:val="TableText"/>
              <w:jc w:val="left"/>
            </w:pPr>
            <w:r>
              <w:t xml:space="preserve">Guildhall, Agora (Vol I)</w:t>
            </w:r>
          </w:p>
        </w:tc>
        <w:tc>
          <w:tcPr>
            <w:tcW w:w="4445" w:type="dxa"/>
          </w:tcPr>
          <w:p>
            <w:pPr>
              <w:pStyle w:val="TableText"/>
              <w:jc w:val="left"/>
            </w:pPr>
            <w:r>
              <w:t xml:space="preserve">Guildhall (better-prepared apprentices)</w:t>
            </w:r>
          </w:p>
        </w:tc>
      </w:tr>
      <w:tr>
        <w:trPr>
          <w:cantSplit/>
        </w:trPr>
        <w:tc>
          <w:tcPr>
            <w:tcW w:w="1512" w:type="dxa"/>
          </w:tcPr>
          <w:p>
            <w:pPr>
              <w:pStyle w:val="TableText"/>
              <w:jc w:val="left"/>
            </w:pPr>
            <w:r>
              <w:t xml:space="preserve">FairScore</w:t>
            </w:r>
          </w:p>
        </w:tc>
        <w:tc>
          <w:tcPr>
            <w:tcW w:w="3403" w:type="dxa"/>
          </w:tcPr>
          <w:p>
            <w:pPr>
              <w:pStyle w:val="TableText"/>
              <w:jc w:val="left"/>
            </w:pPr>
            <w:r>
              <w:t xml:space="preserve">HarvestGrid (Vol I), BuildBridge (Vol II)</w:t>
            </w:r>
          </w:p>
        </w:tc>
        <w:tc>
          <w:tcPr>
            <w:tcW w:w="4445" w:type="dxa"/>
          </w:tcPr>
          <w:p>
            <w:pPr>
              <w:pStyle w:val="TableText"/>
              <w:jc w:val="left"/>
            </w:pPr>
            <w:r>
              <w:t xml:space="preserve">Hearth, BuildBridge (housing finance)</w:t>
            </w:r>
          </w:p>
        </w:tc>
      </w:tr>
      <w:tr>
        <w:trPr>
          <w:cantSplit/>
        </w:trPr>
        <w:tc>
          <w:tcPr>
            <w:tcW w:w="1512" w:type="dxa"/>
          </w:tcPr>
          <w:p>
            <w:pPr>
              <w:pStyle w:val="TableText"/>
              <w:jc w:val="left"/>
            </w:pPr>
            <w:r>
              <w:t xml:space="preserve">BacklogZero</w:t>
            </w:r>
          </w:p>
        </w:tc>
        <w:tc>
          <w:tcPr>
            <w:tcW w:w="3403" w:type="dxa"/>
          </w:tcPr>
          <w:p>
            <w:pPr>
              <w:pStyle w:val="TableText"/>
              <w:jc w:val="left"/>
            </w:pPr>
            <w:r>
              <w:t xml:space="preserve">GroundTruth (Vol II)</w:t>
            </w:r>
          </w:p>
        </w:tc>
        <w:tc>
          <w:tcPr>
            <w:tcW w:w="4445" w:type="dxa"/>
          </w:tcPr>
          <w:p>
            <w:pPr>
              <w:pStyle w:val="TableText"/>
              <w:jc w:val="left"/>
            </w:pPr>
            <w:r>
              <w:t xml:space="preserve">Hearth, BuildBridge, WildLedger (land records)</w:t>
            </w:r>
          </w:p>
        </w:tc>
      </w:tr>
      <w:tr>
        <w:trPr>
          <w:cantSplit/>
        </w:trPr>
        <w:tc>
          <w:tcPr>
            <w:tcW w:w="1512" w:type="dxa"/>
          </w:tcPr>
          <w:p>
            <w:pPr>
              <w:pStyle w:val="TableText"/>
              <w:jc w:val="left"/>
            </w:pPr>
            <w:r>
              <w:t xml:space="preserve">ExportReady</w:t>
            </w:r>
          </w:p>
        </w:tc>
        <w:tc>
          <w:tcPr>
            <w:tcW w:w="3403" w:type="dxa"/>
          </w:tcPr>
          <w:p>
            <w:pPr>
              <w:pStyle w:val="TableText"/>
              <w:jc w:val="left"/>
            </w:pPr>
            <w:r>
              <w:t xml:space="preserve">WildLedger, GroundTruth (Vol II)</w:t>
            </w:r>
          </w:p>
        </w:tc>
        <w:tc>
          <w:tcPr>
            <w:tcW w:w="4445" w:type="dxa"/>
          </w:tcPr>
          <w:p>
            <w:pPr>
              <w:pStyle w:val="TableText"/>
              <w:jc w:val="left"/>
            </w:pPr>
            <w:r>
              <w:t xml:space="preserve">HarvestGrid (export corridors)</w:t>
            </w:r>
          </w:p>
        </w:tc>
      </w:tr>
    </w:tbl>
    <w:bookmarkEnd w:id="70"/>
    <w:bookmarkStart w:id="71" w:name="Xac1dc2545c51ca47b81018075de4e46ac0f54eb"/>
    <w:p>
      <w:pPr>
        <w:pStyle w:val="Heading2"/>
      </w:pPr>
      <w:r>
        <w:t xml:space="preserve">5.5 Africa’s comparative advantage in the AI era</w:t>
      </w:r>
    </w:p>
    <w:tbl>
      <w:tblPr>
        <w:tblStyle w:val="Table"/>
        <w:tblW w:w="9360" w:type="dxa"/>
        <w:jc w:val="left"/>
        <w:tblLayout w:type="fixed"/>
        <w:tblLook w:firstRow="1" w:lastRow="0" w:firstColumn="0" w:lastColumn="0" w:noHBand="0" w:noVBand="0" w:val="0020"/>
      </w:tblPr>
      <w:tblGrid>
        <w:gridCol w:w="4387"/>
        <w:gridCol w:w="4973"/>
      </w:tblGrid>
      <w:tr>
        <w:trPr>
          <w:cantSplit/>
          <w:tblHeader w:val="true"/>
        </w:trPr>
        <w:tc>
          <w:tcPr>
            <w:tcW w:w="4387" w:type="dxa"/>
          </w:tcPr>
          <w:p>
            <w:pPr>
              <w:pStyle w:val="TableText"/>
              <w:jc w:val="left"/>
            </w:pPr>
            <w:r>
              <w:t xml:space="preserve">Advantage</w:t>
            </w:r>
          </w:p>
        </w:tc>
        <w:tc>
          <w:tcPr>
            <w:tcW w:w="4973" w:type="dxa"/>
          </w:tcPr>
          <w:p>
            <w:pPr>
              <w:pStyle w:val="TableText"/>
              <w:jc w:val="left"/>
            </w:pPr>
            <w:r>
              <w:t xml:space="preserve">Ventures that use it</w:t>
            </w:r>
          </w:p>
        </w:tc>
      </w:tr>
      <w:tr>
        <w:trPr>
          <w:cantSplit/>
        </w:trPr>
        <w:tc>
          <w:tcPr>
            <w:tcW w:w="4387" w:type="dxa"/>
          </w:tcPr>
          <w:p>
            <w:pPr>
              <w:pStyle w:val="TableText"/>
              <w:jc w:val="left"/>
            </w:pPr>
            <w:r>
              <w:t xml:space="preserve">The world’s youngest workforce</w:t>
            </w:r>
          </w:p>
        </w:tc>
        <w:tc>
          <w:tcPr>
            <w:tcW w:w="4973" w:type="dxa"/>
          </w:tcPr>
          <w:p>
            <w:pPr>
              <w:pStyle w:val="TableText"/>
              <w:jc w:val="left"/>
            </w:pPr>
            <w:r>
              <w:t xml:space="preserve">OutcomeWorks, TutorGrid, OfficePilot (supervised accountants)</w:t>
            </w:r>
          </w:p>
        </w:tc>
      </w:tr>
      <w:tr>
        <w:trPr>
          <w:cantSplit/>
        </w:trPr>
        <w:tc>
          <w:tcPr>
            <w:tcW w:w="4387" w:type="dxa"/>
          </w:tcPr>
          <w:p>
            <w:pPr>
              <w:pStyle w:val="TableText"/>
              <w:jc w:val="left"/>
            </w:pPr>
            <w:r>
              <w:t xml:space="preserve">Abundant sun; stranded gas and hydro</w:t>
            </w:r>
          </w:p>
        </w:tc>
        <w:tc>
          <w:tcPr>
            <w:tcW w:w="4973" w:type="dxa"/>
          </w:tcPr>
          <w:p>
            <w:pPr>
              <w:pStyle w:val="TableText"/>
              <w:jc w:val="left"/>
            </w:pPr>
            <w:r>
              <w:t xml:space="preserve">StrandedWatts</w:t>
            </w:r>
          </w:p>
        </w:tc>
      </w:tr>
      <w:tr>
        <w:trPr>
          <w:cantSplit/>
        </w:trPr>
        <w:tc>
          <w:tcPr>
            <w:tcW w:w="4387" w:type="dxa"/>
          </w:tcPr>
          <w:p>
            <w:pPr>
              <w:pStyle w:val="TableText"/>
              <w:jc w:val="left"/>
            </w:pPr>
            <w:r>
              <w:t xml:space="preserve">Over 2,000 languages and large cultural industries</w:t>
            </w:r>
          </w:p>
        </w:tc>
        <w:tc>
          <w:tcPr>
            <w:tcW w:w="4973" w:type="dxa"/>
          </w:tcPr>
          <w:p>
            <w:pPr>
              <w:pStyle w:val="TableText"/>
              <w:jc w:val="left"/>
            </w:pPr>
            <w:r>
              <w:t xml:space="preserve">TongueBridge, TutorGrid</w:t>
            </w:r>
          </w:p>
        </w:tc>
      </w:tr>
      <w:tr>
        <w:trPr>
          <w:cantSplit/>
        </w:trPr>
        <w:tc>
          <w:tcPr>
            <w:tcW w:w="4387" w:type="dxa"/>
          </w:tcPr>
          <w:p>
            <w:pPr>
              <w:pStyle w:val="TableText"/>
              <w:jc w:val="left"/>
            </w:pPr>
            <w:r>
              <w:t xml:space="preserve">Advanced mobile-money markets</w:t>
            </w:r>
          </w:p>
        </w:tc>
        <w:tc>
          <w:tcPr>
            <w:tcW w:w="4973" w:type="dxa"/>
          </w:tcPr>
          <w:p>
            <w:pPr>
              <w:pStyle w:val="TableText"/>
              <w:jc w:val="left"/>
            </w:pPr>
            <w:r>
              <w:t xml:space="preserve">OfficePilot, FairScore, ComputeCoop</w:t>
            </w:r>
          </w:p>
        </w:tc>
      </w:tr>
      <w:tr>
        <w:trPr>
          <w:cantSplit/>
        </w:trPr>
        <w:tc>
          <w:tcPr>
            <w:tcW w:w="4387" w:type="dxa"/>
          </w:tcPr>
          <w:p>
            <w:pPr>
              <w:pStyle w:val="TableText"/>
              <w:jc w:val="left"/>
            </w:pPr>
            <w:r>
              <w:t xml:space="preserve">Large, skilled diasporas</w:t>
            </w:r>
          </w:p>
        </w:tc>
        <w:tc>
          <w:tcPr>
            <w:tcW w:w="4973" w:type="dxa"/>
          </w:tcPr>
          <w:p>
            <w:pPr>
              <w:pStyle w:val="TableText"/>
              <w:jc w:val="left"/>
            </w:pPr>
            <w:r>
              <w:t xml:space="preserve">ScanBridge (diaspora specialists), FairScore</w:t>
            </w:r>
          </w:p>
        </w:tc>
      </w:tr>
      <w:tr>
        <w:trPr>
          <w:cantSplit/>
        </w:trPr>
        <w:tc>
          <w:tcPr>
            <w:tcW w:w="4387" w:type="dxa"/>
          </w:tcPr>
          <w:p>
            <w:pPr>
              <w:pStyle w:val="TableText"/>
              <w:jc w:val="left"/>
            </w:pPr>
            <w:r>
              <w:t xml:space="preserve">The widest service gaps (and so the widest spreads)</w:t>
            </w:r>
          </w:p>
        </w:tc>
        <w:tc>
          <w:tcPr>
            <w:tcW w:w="4973" w:type="dxa"/>
          </w:tcPr>
          <w:p>
            <w:pPr>
              <w:pStyle w:val="TableText"/>
              <w:jc w:val="left"/>
            </w:pPr>
            <w:r>
              <w:t xml:space="preserve">ScanBridge, TutorGrid, BacklogZero, ExportReady</w:t>
            </w:r>
          </w:p>
        </w:tc>
      </w:tr>
    </w:tbl>
    <w:bookmarkEnd w:id="71"/>
    <w:bookmarkStart w:id="72" w:name="X7077aa5da30b186ac1a67f36c7e299feffbb3d2"/>
    <w:p>
      <w:pPr>
        <w:pStyle w:val="Heading2"/>
      </w:pPr>
      <w:r>
        <w:t xml:space="preserve">5.6 A fifth mission: a fair AI dividend for Africa</w:t>
      </w:r>
    </w:p>
    <w:p>
      <w:pPr>
        <w:pStyle w:val="FirstParagraph"/>
      </w:pPr>
      <w:r>
        <w:t xml:space="preserve">Volume II proposed four missions. AI arbitrage suggests a fifth.</w:t>
      </w:r>
    </w:p>
    <w:tbl>
      <w:tblPr>
        <w:tblStyle w:val="Table"/>
        <w:tblW w:w="9360" w:type="dxa"/>
        <w:jc w:val="left"/>
        <w:tblLayout w:type="fixed"/>
        <w:tblLook w:firstRow="1" w:lastRow="0" w:firstColumn="0" w:lastColumn="0" w:noHBand="0" w:noVBand="0" w:val="0020"/>
      </w:tblPr>
      <w:tblGrid>
        <w:gridCol w:w="926"/>
        <w:gridCol w:w="8434"/>
      </w:tblGrid>
      <w:tr>
        <w:trPr>
          <w:cantSplit/>
          <w:tblHeader w:val="true"/>
        </w:trPr>
        <w:tc>
          <w:tcPr>
            <w:tcW w:w="926" w:type="dxa"/>
          </w:tcPr>
          <w:p>
            <w:pPr>
              <w:pStyle w:val="TableText"/>
              <w:jc w:val="left"/>
            </w:pPr>
            <w:r>
              <w:t xml:space="preserve">Element</w:t>
            </w:r>
          </w:p>
        </w:tc>
        <w:tc>
          <w:tcPr>
            <w:tcW w:w="8434" w:type="dxa"/>
          </w:tcPr>
          <w:p>
            <w:pPr>
              <w:pStyle w:val="TableText"/>
              <w:jc w:val="left"/>
            </w:pPr>
            <w:r>
              <w:t xml:space="preserve">Content</w:t>
            </w:r>
          </w:p>
        </w:tc>
      </w:tr>
      <w:tr>
        <w:trPr>
          <w:cantSplit/>
        </w:trPr>
        <w:tc>
          <w:tcPr>
            <w:tcW w:w="926" w:type="dxa"/>
          </w:tcPr>
          <w:p>
            <w:pPr>
              <w:pStyle w:val="TableText"/>
              <w:jc w:val="left"/>
            </w:pPr>
            <w:r>
              <w:rPr>
                <w:b/>
                <w:bCs/>
              </w:rPr>
              <w:t xml:space="preserve">Mission</w:t>
            </w:r>
          </w:p>
        </w:tc>
        <w:tc>
          <w:tcPr>
            <w:tcW w:w="8434" w:type="dxa"/>
          </w:tcPr>
          <w:p>
            <w:pPr>
              <w:pStyle w:val="TableText"/>
              <w:jc w:val="left"/>
            </w:pPr>
            <w:r>
              <w:rPr>
                <w:i/>
                <w:iCs/>
              </w:rPr>
              <w:t xml:space="preserve">A fair AI dividend for Africa</w:t>
            </w:r>
          </w:p>
        </w:tc>
      </w:tr>
      <w:tr>
        <w:trPr>
          <w:cantSplit/>
        </w:trPr>
        <w:tc>
          <w:tcPr>
            <w:tcW w:w="926" w:type="dxa"/>
          </w:tcPr>
          <w:p>
            <w:pPr>
              <w:pStyle w:val="TableText"/>
              <w:jc w:val="left"/>
            </w:pPr>
            <w:r>
              <w:rPr>
                <w:b/>
                <w:bCs/>
              </w:rPr>
              <w:t xml:space="preserve">2040 goal</w:t>
            </w:r>
          </w:p>
        </w:tc>
        <w:tc>
          <w:tcPr>
            <w:tcW w:w="8434" w:type="dxa"/>
          </w:tcPr>
          <w:p>
            <w:pPr>
              <w:pStyle w:val="TableText"/>
              <w:jc w:val="left"/>
            </w:pPr>
            <w:r>
              <w:t xml:space="preserve">Africa hosts a fair share of the world’s AI compute, exports AI-augmented services owned partly by the people who deliver them, and every citizen benefits from AI in learning, health, finance and public services</w:t>
            </w:r>
          </w:p>
        </w:tc>
      </w:tr>
      <w:tr>
        <w:trPr>
          <w:cantSplit/>
        </w:trPr>
        <w:tc>
          <w:tcPr>
            <w:tcW w:w="926" w:type="dxa"/>
          </w:tcPr>
          <w:p>
            <w:pPr>
              <w:pStyle w:val="TableText"/>
              <w:jc w:val="left"/>
            </w:pPr>
            <w:r>
              <w:rPr>
                <w:b/>
                <w:bCs/>
              </w:rPr>
              <w:t xml:space="preserve">Ventures</w:t>
            </w:r>
          </w:p>
        </w:tc>
        <w:tc>
          <w:tcPr>
            <w:tcW w:w="8434" w:type="dxa"/>
          </w:tcPr>
          <w:p>
            <w:pPr>
              <w:pStyle w:val="TableText"/>
              <w:jc w:val="left"/>
            </w:pPr>
            <w:r>
              <w:t xml:space="preserve">All ten in this volume, with ComputeCoop, StrandedWatts, OutcomeWorks and TutorGrid as anchors</w:t>
            </w:r>
          </w:p>
        </w:tc>
      </w:tr>
      <w:tr>
        <w:trPr>
          <w:cantSplit/>
        </w:trPr>
        <w:tc>
          <w:tcPr>
            <w:tcW w:w="926" w:type="dxa"/>
          </w:tcPr>
          <w:p>
            <w:pPr>
              <w:pStyle w:val="TableText"/>
              <w:jc w:val="left"/>
            </w:pPr>
            <w:r>
              <w:rPr>
                <w:b/>
                <w:bCs/>
              </w:rPr>
              <w:t xml:space="preserve">Public role</w:t>
            </w:r>
          </w:p>
        </w:tc>
        <w:tc>
          <w:tcPr>
            <w:tcW w:w="8434" w:type="dxa"/>
          </w:tcPr>
          <w:p>
            <w:pPr>
              <w:pStyle w:val="TableText"/>
              <w:jc w:val="left"/>
            </w:pPr>
            <w:r>
              <w:t xml:space="preserve">Energy and flare-gas policy that favours shared benefit; data-residency and consent rules; outcome-based contracts for learning, health and public services; fair-lending and fair-work standards</w:t>
            </w:r>
          </w:p>
        </w:tc>
      </w:tr>
      <w:tr>
        <w:trPr>
          <w:cantSplit/>
        </w:trPr>
        <w:tc>
          <w:tcPr>
            <w:tcW w:w="926" w:type="dxa"/>
          </w:tcPr>
          <w:p>
            <w:pPr>
              <w:pStyle w:val="TableText"/>
              <w:jc w:val="left"/>
            </w:pPr>
            <w:r>
              <w:rPr>
                <w:b/>
                <w:bCs/>
              </w:rPr>
              <w:t xml:space="preserve">Measures</w:t>
            </w:r>
          </w:p>
        </w:tc>
        <w:tc>
          <w:tcPr>
            <w:tcW w:w="8434" w:type="dxa"/>
          </w:tcPr>
          <w:p>
            <w:pPr>
              <w:pStyle w:val="TableText"/>
              <w:jc w:val="left"/>
            </w:pPr>
            <w:r>
              <w:t xml:space="preserve">Share of African AI workloads processed on the continent; service-export earnings and worker ownership; learning gains; diagnosis turnaround times; credit access for small firms; backlog clearance rates</w:t>
            </w:r>
          </w:p>
        </w:tc>
      </w:tr>
    </w:tbl>
    <w:bookmarkEnd w:id="72"/>
    <w:bookmarkStart w:id="73" w:name="sequencing-and-feasibility"/>
    <w:p>
      <w:pPr>
        <w:pStyle w:val="Heading2"/>
      </w:pPr>
      <w:r>
        <w:t xml:space="preserve">5.7 Sequencing and feasibility</w:t>
      </w:r>
    </w:p>
    <w:tbl>
      <w:tblPr>
        <w:tblStyle w:val="Table"/>
        <w:tblW w:w="9360" w:type="dxa"/>
        <w:jc w:val="left"/>
        <w:tblLayout w:type="fixed"/>
        <w:tblLook w:firstRow="1" w:lastRow="0" w:firstColumn="0" w:lastColumn="0" w:noHBand="0" w:noVBand="0" w:val="0020"/>
      </w:tblPr>
      <w:tblGrid>
        <w:gridCol w:w="1454"/>
        <w:gridCol w:w="1181"/>
        <w:gridCol w:w="1272"/>
        <w:gridCol w:w="1726"/>
        <w:gridCol w:w="3090"/>
        <w:gridCol w:w="637"/>
      </w:tblGrid>
      <w:tr>
        <w:trPr>
          <w:cantSplit/>
          <w:tblHeader w:val="true"/>
        </w:trPr>
        <w:tc>
          <w:tcPr>
            <w:tcW w:w="1454" w:type="dxa"/>
          </w:tcPr>
          <w:p>
            <w:pPr>
              <w:pStyle w:val="TableText"/>
              <w:jc w:val="left"/>
            </w:pPr>
            <w:r>
              <w:t xml:space="preserve">Venture</w:t>
            </w:r>
          </w:p>
        </w:tc>
        <w:tc>
          <w:tcPr>
            <w:tcW w:w="1181" w:type="dxa"/>
          </w:tcPr>
          <w:p>
            <w:pPr>
              <w:pStyle w:val="TableText"/>
              <w:jc w:val="left"/>
            </w:pPr>
            <w:r>
              <w:t xml:space="preserve">Capital intensity</w:t>
            </w:r>
          </w:p>
        </w:tc>
        <w:tc>
          <w:tcPr>
            <w:tcW w:w="1272" w:type="dxa"/>
          </w:tcPr>
          <w:p>
            <w:pPr>
              <w:pStyle w:val="TableText"/>
              <w:jc w:val="left"/>
            </w:pPr>
            <w:r>
              <w:t xml:space="preserve">Time to MVP</w:t>
            </w:r>
          </w:p>
        </w:tc>
        <w:tc>
          <w:tcPr>
            <w:tcW w:w="1726" w:type="dxa"/>
          </w:tcPr>
          <w:p>
            <w:pPr>
              <w:pStyle w:val="TableText"/>
              <w:jc w:val="left"/>
            </w:pPr>
            <w:r>
              <w:t xml:space="preserve">Regulatory complexity</w:t>
            </w:r>
          </w:p>
        </w:tc>
        <w:tc>
          <w:tcPr>
            <w:tcW w:w="3090" w:type="dxa"/>
          </w:tcPr>
          <w:p>
            <w:pPr>
              <w:pStyle w:val="TableText"/>
              <w:jc w:val="left"/>
            </w:pPr>
            <w:r>
              <w:t xml:space="preserve">First market</w:t>
            </w:r>
          </w:p>
        </w:tc>
        <w:tc>
          <w:tcPr>
            <w:tcW w:w="637" w:type="dxa"/>
          </w:tcPr>
          <w:p>
            <w:pPr>
              <w:pStyle w:val="TableText"/>
              <w:jc w:val="left"/>
            </w:pPr>
            <w:r>
              <w:t xml:space="preserve">Wave</w:t>
            </w:r>
          </w:p>
        </w:tc>
      </w:tr>
      <w:tr>
        <w:trPr>
          <w:cantSplit/>
        </w:trPr>
        <w:tc>
          <w:tcPr>
            <w:tcW w:w="1454" w:type="dxa"/>
          </w:tcPr>
          <w:p>
            <w:pPr>
              <w:pStyle w:val="TableText"/>
              <w:jc w:val="left"/>
            </w:pPr>
            <w:r>
              <w:t xml:space="preserve">OfficePilot</w:t>
            </w:r>
          </w:p>
        </w:tc>
        <w:tc>
          <w:tcPr>
            <w:tcW w:w="1181" w:type="dxa"/>
          </w:tcPr>
          <w:p>
            <w:pPr>
              <w:pStyle w:val="TableText"/>
              <w:jc w:val="left"/>
            </w:pPr>
            <w:r>
              <w:t xml:space="preserve">Low</w:t>
            </w:r>
          </w:p>
        </w:tc>
        <w:tc>
          <w:tcPr>
            <w:tcW w:w="1272" w:type="dxa"/>
          </w:tcPr>
          <w:p>
            <w:pPr>
              <w:pStyle w:val="TableText"/>
              <w:jc w:val="left"/>
            </w:pPr>
            <w:r>
              <w:t xml:space="preserve">~3 months</w:t>
            </w:r>
          </w:p>
        </w:tc>
        <w:tc>
          <w:tcPr>
            <w:tcW w:w="1726" w:type="dxa"/>
          </w:tcPr>
          <w:p>
            <w:pPr>
              <w:pStyle w:val="TableText"/>
              <w:jc w:val="left"/>
            </w:pPr>
            <w:r>
              <w:t xml:space="preserve">Medium (tax, data)</w:t>
            </w:r>
          </w:p>
        </w:tc>
        <w:tc>
          <w:tcPr>
            <w:tcW w:w="3090" w:type="dxa"/>
          </w:tcPr>
          <w:p>
            <w:pPr>
              <w:pStyle w:val="TableText"/>
              <w:jc w:val="left"/>
            </w:pPr>
            <w:r>
              <w:t xml:space="preserve">One large Nigerian market</w:t>
            </w:r>
          </w:p>
        </w:tc>
        <w:tc>
          <w:tcPr>
            <w:tcW w:w="637" w:type="dxa"/>
          </w:tcPr>
          <w:p>
            <w:pPr>
              <w:pStyle w:val="TableText"/>
              <w:jc w:val="left"/>
            </w:pPr>
            <w:r>
              <w:rPr>
                <w:b/>
                <w:bCs/>
              </w:rPr>
              <w:t xml:space="preserve">1</w:t>
            </w:r>
          </w:p>
        </w:tc>
      </w:tr>
      <w:tr>
        <w:trPr>
          <w:cantSplit/>
        </w:trPr>
        <w:tc>
          <w:tcPr>
            <w:tcW w:w="1454" w:type="dxa"/>
          </w:tcPr>
          <w:p>
            <w:pPr>
              <w:pStyle w:val="TableText"/>
              <w:jc w:val="left"/>
            </w:pPr>
            <w:r>
              <w:t xml:space="preserve">ComputeCoop</w:t>
            </w:r>
          </w:p>
        </w:tc>
        <w:tc>
          <w:tcPr>
            <w:tcW w:w="1181" w:type="dxa"/>
          </w:tcPr>
          <w:p>
            <w:pPr>
              <w:pStyle w:val="TableText"/>
              <w:jc w:val="left"/>
            </w:pPr>
            <w:r>
              <w:t xml:space="preserve">Low</w:t>
            </w:r>
          </w:p>
        </w:tc>
        <w:tc>
          <w:tcPr>
            <w:tcW w:w="1272" w:type="dxa"/>
          </w:tcPr>
          <w:p>
            <w:pPr>
              <w:pStyle w:val="TableText"/>
              <w:jc w:val="left"/>
            </w:pPr>
            <w:r>
              <w:t xml:space="preserve">~3 months</w:t>
            </w:r>
          </w:p>
        </w:tc>
        <w:tc>
          <w:tcPr>
            <w:tcW w:w="1726" w:type="dxa"/>
          </w:tcPr>
          <w:p>
            <w:pPr>
              <w:pStyle w:val="TableText"/>
              <w:jc w:val="left"/>
            </w:pPr>
            <w:r>
              <w:t xml:space="preserve">Medium (data residency)</w:t>
            </w:r>
          </w:p>
        </w:tc>
        <w:tc>
          <w:tcPr>
            <w:tcW w:w="3090" w:type="dxa"/>
          </w:tcPr>
          <w:p>
            <w:pPr>
              <w:pStyle w:val="TableText"/>
              <w:jc w:val="left"/>
            </w:pPr>
            <w:r>
              <w:t xml:space="preserve">Lagos and Nairobi developers</w:t>
            </w:r>
          </w:p>
        </w:tc>
        <w:tc>
          <w:tcPr>
            <w:tcW w:w="637" w:type="dxa"/>
          </w:tcPr>
          <w:p>
            <w:pPr>
              <w:pStyle w:val="TableText"/>
              <w:jc w:val="left"/>
            </w:pPr>
            <w:r>
              <w:rPr>
                <w:b/>
                <w:bCs/>
              </w:rPr>
              <w:t xml:space="preserve">1</w:t>
            </w:r>
          </w:p>
        </w:tc>
      </w:tr>
      <w:tr>
        <w:trPr>
          <w:cantSplit/>
        </w:trPr>
        <w:tc>
          <w:tcPr>
            <w:tcW w:w="1454" w:type="dxa"/>
          </w:tcPr>
          <w:p>
            <w:pPr>
              <w:pStyle w:val="TableText"/>
              <w:jc w:val="left"/>
            </w:pPr>
            <w:r>
              <w:t xml:space="preserve">TongueBridge</w:t>
            </w:r>
          </w:p>
        </w:tc>
        <w:tc>
          <w:tcPr>
            <w:tcW w:w="1181" w:type="dxa"/>
          </w:tcPr>
          <w:p>
            <w:pPr>
              <w:pStyle w:val="TableText"/>
              <w:jc w:val="left"/>
            </w:pPr>
            <w:r>
              <w:t xml:space="preserve">Low</w:t>
            </w:r>
          </w:p>
        </w:tc>
        <w:tc>
          <w:tcPr>
            <w:tcW w:w="1272" w:type="dxa"/>
          </w:tcPr>
          <w:p>
            <w:pPr>
              <w:pStyle w:val="TableText"/>
              <w:jc w:val="left"/>
            </w:pPr>
            <w:r>
              <w:t xml:space="preserve">~3 months</w:t>
            </w:r>
          </w:p>
        </w:tc>
        <w:tc>
          <w:tcPr>
            <w:tcW w:w="1726" w:type="dxa"/>
          </w:tcPr>
          <w:p>
            <w:pPr>
              <w:pStyle w:val="TableText"/>
              <w:jc w:val="left"/>
            </w:pPr>
            <w:r>
              <w:t xml:space="preserve">Medium (rights)</w:t>
            </w:r>
          </w:p>
        </w:tc>
        <w:tc>
          <w:tcPr>
            <w:tcW w:w="3090" w:type="dxa"/>
          </w:tcPr>
          <w:p>
            <w:pPr>
              <w:pStyle w:val="TableText"/>
              <w:jc w:val="left"/>
            </w:pPr>
            <w:r>
              <w:t xml:space="preserve">Nollywood into French and Swahili</w:t>
            </w:r>
          </w:p>
        </w:tc>
        <w:tc>
          <w:tcPr>
            <w:tcW w:w="637" w:type="dxa"/>
          </w:tcPr>
          <w:p>
            <w:pPr>
              <w:pStyle w:val="TableText"/>
              <w:jc w:val="left"/>
            </w:pPr>
            <w:r>
              <w:rPr>
                <w:b/>
                <w:bCs/>
              </w:rPr>
              <w:t xml:space="preserve">1</w:t>
            </w:r>
          </w:p>
        </w:tc>
      </w:tr>
      <w:tr>
        <w:trPr>
          <w:cantSplit/>
        </w:trPr>
        <w:tc>
          <w:tcPr>
            <w:tcW w:w="1454" w:type="dxa"/>
          </w:tcPr>
          <w:p>
            <w:pPr>
              <w:pStyle w:val="TableText"/>
              <w:jc w:val="left"/>
            </w:pPr>
            <w:r>
              <w:t xml:space="preserve">OutcomeWorks</w:t>
            </w:r>
          </w:p>
        </w:tc>
        <w:tc>
          <w:tcPr>
            <w:tcW w:w="1181" w:type="dxa"/>
          </w:tcPr>
          <w:p>
            <w:pPr>
              <w:pStyle w:val="TableText"/>
              <w:jc w:val="left"/>
            </w:pPr>
            <w:r>
              <w:t xml:space="preserve">Low</w:t>
            </w:r>
          </w:p>
        </w:tc>
        <w:tc>
          <w:tcPr>
            <w:tcW w:w="1272" w:type="dxa"/>
          </w:tcPr>
          <w:p>
            <w:pPr>
              <w:pStyle w:val="TableText"/>
              <w:jc w:val="left"/>
            </w:pPr>
            <w:r>
              <w:t xml:space="preserve">~3 months</w:t>
            </w:r>
          </w:p>
        </w:tc>
        <w:tc>
          <w:tcPr>
            <w:tcW w:w="1726" w:type="dxa"/>
          </w:tcPr>
          <w:p>
            <w:pPr>
              <w:pStyle w:val="TableText"/>
              <w:jc w:val="left"/>
            </w:pPr>
            <w:r>
              <w:t xml:space="preserve">Low–medium</w:t>
            </w:r>
          </w:p>
        </w:tc>
        <w:tc>
          <w:tcPr>
            <w:tcW w:w="3090" w:type="dxa"/>
          </w:tcPr>
          <w:p>
            <w:pPr>
              <w:pStyle w:val="TableText"/>
              <w:jc w:val="left"/>
            </w:pPr>
            <w:r>
              <w:t xml:space="preserve">Lagos, Nairobi, Kigali pods</w:t>
            </w:r>
          </w:p>
        </w:tc>
        <w:tc>
          <w:tcPr>
            <w:tcW w:w="637" w:type="dxa"/>
          </w:tcPr>
          <w:p>
            <w:pPr>
              <w:pStyle w:val="TableText"/>
              <w:jc w:val="left"/>
            </w:pPr>
            <w:r>
              <w:rPr>
                <w:b/>
                <w:bCs/>
              </w:rPr>
              <w:t xml:space="preserve">1</w:t>
            </w:r>
          </w:p>
        </w:tc>
      </w:tr>
      <w:tr>
        <w:trPr>
          <w:cantSplit/>
        </w:trPr>
        <w:tc>
          <w:tcPr>
            <w:tcW w:w="1454" w:type="dxa"/>
          </w:tcPr>
          <w:p>
            <w:pPr>
              <w:pStyle w:val="TableText"/>
              <w:jc w:val="left"/>
            </w:pPr>
            <w:r>
              <w:t xml:space="preserve">ExportReady</w:t>
            </w:r>
          </w:p>
        </w:tc>
        <w:tc>
          <w:tcPr>
            <w:tcW w:w="1181" w:type="dxa"/>
          </w:tcPr>
          <w:p>
            <w:pPr>
              <w:pStyle w:val="TableText"/>
              <w:jc w:val="left"/>
            </w:pPr>
            <w:r>
              <w:t xml:space="preserve">Low–medium</w:t>
            </w:r>
          </w:p>
        </w:tc>
        <w:tc>
          <w:tcPr>
            <w:tcW w:w="1272" w:type="dxa"/>
          </w:tcPr>
          <w:p>
            <w:pPr>
              <w:pStyle w:val="TableText"/>
              <w:jc w:val="left"/>
            </w:pPr>
            <w:r>
              <w:t xml:space="preserve">3–6 months</w:t>
            </w:r>
          </w:p>
        </w:tc>
        <w:tc>
          <w:tcPr>
            <w:tcW w:w="1726" w:type="dxa"/>
          </w:tcPr>
          <w:p>
            <w:pPr>
              <w:pStyle w:val="TableText"/>
              <w:jc w:val="left"/>
            </w:pPr>
            <w:r>
              <w:t xml:space="preserve">Medium</w:t>
            </w:r>
          </w:p>
        </w:tc>
        <w:tc>
          <w:tcPr>
            <w:tcW w:w="3090" w:type="dxa"/>
          </w:tcPr>
          <w:p>
            <w:pPr>
              <w:pStyle w:val="TableText"/>
              <w:jc w:val="left"/>
            </w:pPr>
            <w:r>
              <w:t xml:space="preserve">Cocoa cooperatives in Ghana and Nigeria (deadline-driven)</w:t>
            </w:r>
          </w:p>
        </w:tc>
        <w:tc>
          <w:tcPr>
            <w:tcW w:w="637" w:type="dxa"/>
          </w:tcPr>
          <w:p>
            <w:pPr>
              <w:pStyle w:val="TableText"/>
              <w:jc w:val="left"/>
            </w:pPr>
            <w:r>
              <w:rPr>
                <w:b/>
                <w:bCs/>
              </w:rPr>
              <w:t xml:space="preserve">1</w:t>
            </w:r>
          </w:p>
        </w:tc>
      </w:tr>
      <w:tr>
        <w:trPr>
          <w:cantSplit/>
        </w:trPr>
        <w:tc>
          <w:tcPr>
            <w:tcW w:w="1454" w:type="dxa"/>
          </w:tcPr>
          <w:p>
            <w:pPr>
              <w:pStyle w:val="TableText"/>
              <w:jc w:val="left"/>
            </w:pPr>
            <w:r>
              <w:t xml:space="preserve">TutorGrid</w:t>
            </w:r>
          </w:p>
        </w:tc>
        <w:tc>
          <w:tcPr>
            <w:tcW w:w="1181" w:type="dxa"/>
          </w:tcPr>
          <w:p>
            <w:pPr>
              <w:pStyle w:val="TableText"/>
              <w:jc w:val="left"/>
            </w:pPr>
            <w:r>
              <w:t xml:space="preserve">Medium</w:t>
            </w:r>
          </w:p>
        </w:tc>
        <w:tc>
          <w:tcPr>
            <w:tcW w:w="1272" w:type="dxa"/>
          </w:tcPr>
          <w:p>
            <w:pPr>
              <w:pStyle w:val="TableText"/>
              <w:jc w:val="left"/>
            </w:pPr>
            <w:r>
              <w:t xml:space="preserve">~6 months (school term)</w:t>
            </w:r>
          </w:p>
        </w:tc>
        <w:tc>
          <w:tcPr>
            <w:tcW w:w="1726" w:type="dxa"/>
          </w:tcPr>
          <w:p>
            <w:pPr>
              <w:pStyle w:val="TableText"/>
              <w:jc w:val="left"/>
            </w:pPr>
            <w:r>
              <w:t xml:space="preserve">Medium (child data)</w:t>
            </w:r>
          </w:p>
        </w:tc>
        <w:tc>
          <w:tcPr>
            <w:tcW w:w="3090" w:type="dxa"/>
          </w:tcPr>
          <w:p>
            <w:pPr>
              <w:pStyle w:val="TableText"/>
              <w:jc w:val="left"/>
            </w:pPr>
            <w:r>
              <w:t xml:space="preserve">20 schools in one state</w:t>
            </w:r>
          </w:p>
        </w:tc>
        <w:tc>
          <w:tcPr>
            <w:tcW w:w="637" w:type="dxa"/>
          </w:tcPr>
          <w:p>
            <w:pPr>
              <w:pStyle w:val="TableText"/>
              <w:jc w:val="left"/>
            </w:pPr>
            <w:r>
              <w:rPr>
                <w:b/>
                <w:bCs/>
              </w:rPr>
              <w:t xml:space="preserve">2</w:t>
            </w:r>
          </w:p>
        </w:tc>
      </w:tr>
      <w:tr>
        <w:trPr>
          <w:cantSplit/>
        </w:trPr>
        <w:tc>
          <w:tcPr>
            <w:tcW w:w="1454" w:type="dxa"/>
          </w:tcPr>
          <w:p>
            <w:pPr>
              <w:pStyle w:val="TableText"/>
              <w:jc w:val="left"/>
            </w:pPr>
            <w:r>
              <w:t xml:space="preserve">FairScore</w:t>
            </w:r>
          </w:p>
        </w:tc>
        <w:tc>
          <w:tcPr>
            <w:tcW w:w="1181" w:type="dxa"/>
          </w:tcPr>
          <w:p>
            <w:pPr>
              <w:pStyle w:val="TableText"/>
              <w:jc w:val="left"/>
            </w:pPr>
            <w:r>
              <w:t xml:space="preserve">Medium</w:t>
            </w:r>
          </w:p>
        </w:tc>
        <w:tc>
          <w:tcPr>
            <w:tcW w:w="1272" w:type="dxa"/>
          </w:tcPr>
          <w:p>
            <w:pPr>
              <w:pStyle w:val="TableText"/>
              <w:jc w:val="left"/>
            </w:pPr>
            <w:r>
              <w:t xml:space="preserve">~6 months</w:t>
            </w:r>
          </w:p>
        </w:tc>
        <w:tc>
          <w:tcPr>
            <w:tcW w:w="1726" w:type="dxa"/>
          </w:tcPr>
          <w:p>
            <w:pPr>
              <w:pStyle w:val="TableText"/>
              <w:jc w:val="left"/>
            </w:pPr>
            <w:r>
              <w:t xml:space="preserve">High (lending rules)</w:t>
            </w:r>
          </w:p>
        </w:tc>
        <w:tc>
          <w:tcPr>
            <w:tcW w:w="3090" w:type="dxa"/>
          </w:tcPr>
          <w:p>
            <w:pPr>
              <w:pStyle w:val="TableText"/>
              <w:jc w:val="left"/>
            </w:pPr>
            <w:r>
              <w:t xml:space="preserve">One cooperative lender and one microfinance bank</w:t>
            </w:r>
          </w:p>
        </w:tc>
        <w:tc>
          <w:tcPr>
            <w:tcW w:w="637" w:type="dxa"/>
          </w:tcPr>
          <w:p>
            <w:pPr>
              <w:pStyle w:val="TableText"/>
              <w:jc w:val="left"/>
            </w:pPr>
            <w:r>
              <w:rPr>
                <w:b/>
                <w:bCs/>
              </w:rPr>
              <w:t xml:space="preserve">2</w:t>
            </w:r>
          </w:p>
        </w:tc>
      </w:tr>
      <w:tr>
        <w:trPr>
          <w:cantSplit/>
        </w:trPr>
        <w:tc>
          <w:tcPr>
            <w:tcW w:w="1454" w:type="dxa"/>
          </w:tcPr>
          <w:p>
            <w:pPr>
              <w:pStyle w:val="TableText"/>
              <w:jc w:val="left"/>
            </w:pPr>
            <w:r>
              <w:t xml:space="preserve">ScanBridge</w:t>
            </w:r>
          </w:p>
        </w:tc>
        <w:tc>
          <w:tcPr>
            <w:tcW w:w="1181" w:type="dxa"/>
          </w:tcPr>
          <w:p>
            <w:pPr>
              <w:pStyle w:val="TableText"/>
              <w:jc w:val="left"/>
            </w:pPr>
            <w:r>
              <w:t xml:space="preserve">Medium</w:t>
            </w:r>
          </w:p>
        </w:tc>
        <w:tc>
          <w:tcPr>
            <w:tcW w:w="1272" w:type="dxa"/>
          </w:tcPr>
          <w:p>
            <w:pPr>
              <w:pStyle w:val="TableText"/>
              <w:jc w:val="left"/>
            </w:pPr>
            <w:r>
              <w:t xml:space="preserve">6–9 months</w:t>
            </w:r>
          </w:p>
        </w:tc>
        <w:tc>
          <w:tcPr>
            <w:tcW w:w="1726" w:type="dxa"/>
          </w:tcPr>
          <w:p>
            <w:pPr>
              <w:pStyle w:val="TableText"/>
              <w:jc w:val="left"/>
            </w:pPr>
            <w:r>
              <w:t xml:space="preserve">High (medical)</w:t>
            </w:r>
          </w:p>
        </w:tc>
        <w:tc>
          <w:tcPr>
            <w:tcW w:w="3090" w:type="dxa"/>
          </w:tcPr>
          <w:p>
            <w:pPr>
              <w:pStyle w:val="TableText"/>
              <w:jc w:val="left"/>
            </w:pPr>
            <w:r>
              <w:t xml:space="preserve">10 district hospitals</w:t>
            </w:r>
          </w:p>
        </w:tc>
        <w:tc>
          <w:tcPr>
            <w:tcW w:w="637" w:type="dxa"/>
          </w:tcPr>
          <w:p>
            <w:pPr>
              <w:pStyle w:val="TableText"/>
              <w:jc w:val="left"/>
            </w:pPr>
            <w:r>
              <w:rPr>
                <w:b/>
                <w:bCs/>
              </w:rPr>
              <w:t xml:space="preserve">2</w:t>
            </w:r>
          </w:p>
        </w:tc>
      </w:tr>
      <w:tr>
        <w:trPr>
          <w:cantSplit/>
        </w:trPr>
        <w:tc>
          <w:tcPr>
            <w:tcW w:w="1454" w:type="dxa"/>
          </w:tcPr>
          <w:p>
            <w:pPr>
              <w:pStyle w:val="TableText"/>
              <w:jc w:val="left"/>
            </w:pPr>
            <w:r>
              <w:t xml:space="preserve">BacklogZero</w:t>
            </w:r>
          </w:p>
        </w:tc>
        <w:tc>
          <w:tcPr>
            <w:tcW w:w="1181" w:type="dxa"/>
          </w:tcPr>
          <w:p>
            <w:pPr>
              <w:pStyle w:val="TableText"/>
              <w:jc w:val="left"/>
            </w:pPr>
            <w:r>
              <w:t xml:space="preserve">Medium</w:t>
            </w:r>
          </w:p>
        </w:tc>
        <w:tc>
          <w:tcPr>
            <w:tcW w:w="1272" w:type="dxa"/>
          </w:tcPr>
          <w:p>
            <w:pPr>
              <w:pStyle w:val="TableText"/>
              <w:jc w:val="left"/>
            </w:pPr>
            <w:r>
              <w:t xml:space="preserve">6–9 months</w:t>
            </w:r>
          </w:p>
        </w:tc>
        <w:tc>
          <w:tcPr>
            <w:tcW w:w="1726" w:type="dxa"/>
          </w:tcPr>
          <w:p>
            <w:pPr>
              <w:pStyle w:val="TableText"/>
              <w:jc w:val="left"/>
            </w:pPr>
            <w:r>
              <w:t xml:space="preserve">High (public procurement)</w:t>
            </w:r>
          </w:p>
        </w:tc>
        <w:tc>
          <w:tcPr>
            <w:tcW w:w="3090" w:type="dxa"/>
          </w:tcPr>
          <w:p>
            <w:pPr>
              <w:pStyle w:val="TableText"/>
              <w:jc w:val="left"/>
            </w:pPr>
            <w:r>
              <w:t xml:space="preserve">One state land registry</w:t>
            </w:r>
          </w:p>
        </w:tc>
        <w:tc>
          <w:tcPr>
            <w:tcW w:w="637" w:type="dxa"/>
          </w:tcPr>
          <w:p>
            <w:pPr>
              <w:pStyle w:val="TableText"/>
              <w:jc w:val="left"/>
            </w:pPr>
            <w:r>
              <w:rPr>
                <w:b/>
                <w:bCs/>
              </w:rPr>
              <w:t xml:space="preserve">2</w:t>
            </w:r>
          </w:p>
        </w:tc>
      </w:tr>
      <w:tr>
        <w:trPr>
          <w:cantSplit/>
        </w:trPr>
        <w:tc>
          <w:tcPr>
            <w:tcW w:w="1454" w:type="dxa"/>
          </w:tcPr>
          <w:p>
            <w:pPr>
              <w:pStyle w:val="TableText"/>
              <w:jc w:val="left"/>
            </w:pPr>
            <w:r>
              <w:t xml:space="preserve">StrandedWatts</w:t>
            </w:r>
          </w:p>
        </w:tc>
        <w:tc>
          <w:tcPr>
            <w:tcW w:w="1181" w:type="dxa"/>
          </w:tcPr>
          <w:p>
            <w:pPr>
              <w:pStyle w:val="TableText"/>
              <w:jc w:val="left"/>
            </w:pPr>
            <w:r>
              <w:t xml:space="preserve">High</w:t>
            </w:r>
          </w:p>
        </w:tc>
        <w:tc>
          <w:tcPr>
            <w:tcW w:w="1272" w:type="dxa"/>
          </w:tcPr>
          <w:p>
            <w:pPr>
              <w:pStyle w:val="TableText"/>
              <w:jc w:val="left"/>
            </w:pPr>
            <w:r>
              <w:t xml:space="preserve">12–18 months</w:t>
            </w:r>
          </w:p>
        </w:tc>
        <w:tc>
          <w:tcPr>
            <w:tcW w:w="1726" w:type="dxa"/>
          </w:tcPr>
          <w:p>
            <w:pPr>
              <w:pStyle w:val="TableText"/>
              <w:jc w:val="left"/>
            </w:pPr>
            <w:r>
              <w:t xml:space="preserve">High (energy, permits)</w:t>
            </w:r>
          </w:p>
        </w:tc>
        <w:tc>
          <w:tcPr>
            <w:tcW w:w="3090" w:type="dxa"/>
          </w:tcPr>
          <w:p>
            <w:pPr>
              <w:pStyle w:val="TableText"/>
              <w:jc w:val="left"/>
            </w:pPr>
            <w:r>
              <w:t xml:space="preserve">One flare site and one solar site</w:t>
            </w:r>
          </w:p>
        </w:tc>
        <w:tc>
          <w:tcPr>
            <w:tcW w:w="637" w:type="dxa"/>
          </w:tcPr>
          <w:p>
            <w:pPr>
              <w:pStyle w:val="TableText"/>
              <w:jc w:val="left"/>
            </w:pPr>
            <w:r>
              <w:rPr>
                <w:b/>
                <w:bCs/>
              </w:rPr>
              <w:t xml:space="preserve">3</w:t>
            </w:r>
          </w:p>
        </w:tc>
      </w:tr>
    </w:tbl>
    <w:bookmarkEnd w:id="73"/>
    <w:bookmarkStart w:id="74" w:name="risks-to-the-whole-portfolio"/>
    <w:p>
      <w:pPr>
        <w:pStyle w:val="Heading2"/>
      </w:pPr>
      <w:r>
        <w:t xml:space="preserve">5.8 Risks to the whole portfolio</w:t>
      </w:r>
    </w:p>
    <w:tbl>
      <w:tblPr>
        <w:tblStyle w:val="Table"/>
        <w:tblW w:w="9360" w:type="dxa"/>
        <w:jc w:val="left"/>
        <w:tblLayout w:type="fixed"/>
        <w:tblLook w:firstRow="1" w:lastRow="0" w:firstColumn="0" w:lastColumn="0" w:noHBand="0" w:noVBand="0" w:val="0020"/>
      </w:tblPr>
      <w:tblGrid>
        <w:gridCol w:w="2233"/>
        <w:gridCol w:w="2318"/>
        <w:gridCol w:w="4809"/>
      </w:tblGrid>
      <w:tr>
        <w:trPr>
          <w:cantSplit/>
          <w:tblHeader w:val="true"/>
        </w:trPr>
        <w:tc>
          <w:tcPr>
            <w:tcW w:w="2233" w:type="dxa"/>
          </w:tcPr>
          <w:p>
            <w:pPr>
              <w:pStyle w:val="TableText"/>
              <w:jc w:val="left"/>
            </w:pPr>
            <w:r>
              <w:t xml:space="preserve">Risk</w:t>
            </w:r>
          </w:p>
        </w:tc>
        <w:tc>
          <w:tcPr>
            <w:tcW w:w="2318" w:type="dxa"/>
          </w:tcPr>
          <w:p>
            <w:pPr>
              <w:pStyle w:val="TableText"/>
              <w:jc w:val="left"/>
            </w:pPr>
            <w:r>
              <w:t xml:space="preserve">What could happen</w:t>
            </w:r>
          </w:p>
        </w:tc>
        <w:tc>
          <w:tcPr>
            <w:tcW w:w="4809" w:type="dxa"/>
          </w:tcPr>
          <w:p>
            <w:pPr>
              <w:pStyle w:val="TableText"/>
              <w:jc w:val="left"/>
            </w:pPr>
            <w:r>
              <w:t xml:space="preserve">Response</w:t>
            </w:r>
          </w:p>
        </w:tc>
      </w:tr>
      <w:tr>
        <w:trPr>
          <w:cantSplit/>
        </w:trPr>
        <w:tc>
          <w:tcPr>
            <w:tcW w:w="2233" w:type="dxa"/>
          </w:tcPr>
          <w:p>
            <w:pPr>
              <w:pStyle w:val="TableText"/>
              <w:jc w:val="left"/>
            </w:pPr>
            <w:r>
              <w:rPr>
                <w:b/>
                <w:bCs/>
              </w:rPr>
              <w:t xml:space="preserve">AI price war</w:t>
            </w:r>
          </w:p>
        </w:tc>
        <w:tc>
          <w:tcPr>
            <w:tcW w:w="2318" w:type="dxa"/>
          </w:tcPr>
          <w:p>
            <w:pPr>
              <w:pStyle w:val="TableText"/>
              <w:jc w:val="left"/>
            </w:pPr>
            <w:r>
              <w:t xml:space="preserve">Spreads close faster than expected</w:t>
            </w:r>
          </w:p>
        </w:tc>
        <w:tc>
          <w:tcPr>
            <w:tcW w:w="4809" w:type="dxa"/>
          </w:tcPr>
          <w:p>
            <w:pPr>
              <w:pStyle w:val="TableText"/>
              <w:jc w:val="left"/>
            </w:pPr>
            <w:r>
              <w:t xml:space="preserve">Moat conversion from day one; long-spread core</w:t>
            </w:r>
          </w:p>
        </w:tc>
      </w:tr>
      <w:tr>
        <w:trPr>
          <w:cantSplit/>
        </w:trPr>
        <w:tc>
          <w:tcPr>
            <w:tcW w:w="2233" w:type="dxa"/>
          </w:tcPr>
          <w:p>
            <w:pPr>
              <w:pStyle w:val="TableText"/>
              <w:jc w:val="left"/>
            </w:pPr>
            <w:r>
              <w:rPr>
                <w:b/>
                <w:bCs/>
              </w:rPr>
              <w:t xml:space="preserve">Vertical integration by large AI firms</w:t>
            </w:r>
          </w:p>
        </w:tc>
        <w:tc>
          <w:tcPr>
            <w:tcW w:w="2318" w:type="dxa"/>
          </w:tcPr>
          <w:p>
            <w:pPr>
              <w:pStyle w:val="TableText"/>
              <w:jc w:val="left"/>
            </w:pPr>
            <w:r>
              <w:t xml:space="preserve">Model makers sell outcomes directly</w:t>
            </w:r>
          </w:p>
        </w:tc>
        <w:tc>
          <w:tcPr>
            <w:tcW w:w="4809" w:type="dxa"/>
          </w:tcPr>
          <w:p>
            <w:pPr>
              <w:pStyle w:val="TableText"/>
              <w:jc w:val="left"/>
            </w:pPr>
            <w:r>
              <w:t xml:space="preserve">Local distribution, trust, ownership and regulation as moats; partner where possible</w:t>
            </w:r>
          </w:p>
        </w:tc>
      </w:tr>
      <w:tr>
        <w:trPr>
          <w:cantSplit/>
        </w:trPr>
        <w:tc>
          <w:tcPr>
            <w:tcW w:w="2233" w:type="dxa"/>
          </w:tcPr>
          <w:p>
            <w:pPr>
              <w:pStyle w:val="TableText"/>
              <w:jc w:val="left"/>
            </w:pPr>
            <w:r>
              <w:rPr>
                <w:b/>
                <w:bCs/>
              </w:rPr>
              <w:t xml:space="preserve">Compute or energy shocks</w:t>
            </w:r>
          </w:p>
        </w:tc>
        <w:tc>
          <w:tcPr>
            <w:tcW w:w="2318" w:type="dxa"/>
          </w:tcPr>
          <w:p>
            <w:pPr>
              <w:pStyle w:val="TableText"/>
              <w:jc w:val="left"/>
            </w:pPr>
            <w:r>
              <w:t xml:space="preserve">Prices spike or capacity disappears</w:t>
            </w:r>
          </w:p>
        </w:tc>
        <w:tc>
          <w:tcPr>
            <w:tcW w:w="4809" w:type="dxa"/>
          </w:tcPr>
          <w:p>
            <w:pPr>
              <w:pStyle w:val="TableText"/>
              <w:jc w:val="left"/>
            </w:pPr>
            <w:r>
              <w:t xml:space="preserve">StrandedWatts and ComputeCoop provide a hedge</w:t>
            </w:r>
          </w:p>
        </w:tc>
      </w:tr>
      <w:tr>
        <w:trPr>
          <w:cantSplit/>
        </w:trPr>
        <w:tc>
          <w:tcPr>
            <w:tcW w:w="2233" w:type="dxa"/>
          </w:tcPr>
          <w:p>
            <w:pPr>
              <w:pStyle w:val="TableText"/>
              <w:jc w:val="left"/>
            </w:pPr>
            <w:r>
              <w:rPr>
                <w:b/>
                <w:bCs/>
              </w:rPr>
              <w:t xml:space="preserve">Regulatory change</w:t>
            </w:r>
          </w:p>
        </w:tc>
        <w:tc>
          <w:tcPr>
            <w:tcW w:w="2318" w:type="dxa"/>
          </w:tcPr>
          <w:p>
            <w:pPr>
              <w:pStyle w:val="TableText"/>
              <w:jc w:val="left"/>
            </w:pPr>
            <w:r>
              <w:t xml:space="preserve">New AI, data or sector rules</w:t>
            </w:r>
          </w:p>
        </w:tc>
        <w:tc>
          <w:tcPr>
            <w:tcW w:w="4809" w:type="dxa"/>
          </w:tcPr>
          <w:p>
            <w:pPr>
              <w:pStyle w:val="TableText"/>
              <w:jc w:val="left"/>
            </w:pPr>
            <w:r>
              <w:t xml:space="preserve">Compliance by design; engagement with regulators</w:t>
            </w:r>
          </w:p>
        </w:tc>
      </w:tr>
      <w:tr>
        <w:trPr>
          <w:cantSplit/>
        </w:trPr>
        <w:tc>
          <w:tcPr>
            <w:tcW w:w="2233" w:type="dxa"/>
          </w:tcPr>
          <w:p>
            <w:pPr>
              <w:pStyle w:val="TableText"/>
              <w:jc w:val="left"/>
            </w:pPr>
            <w:r>
              <w:rPr>
                <w:b/>
                <w:bCs/>
              </w:rPr>
              <w:t xml:space="preserve">Currency volatility</w:t>
            </w:r>
          </w:p>
        </w:tc>
        <w:tc>
          <w:tcPr>
            <w:tcW w:w="2318" w:type="dxa"/>
          </w:tcPr>
          <w:p>
            <w:pPr>
              <w:pStyle w:val="TableText"/>
              <w:jc w:val="left"/>
            </w:pPr>
            <w:r>
              <w:t xml:space="preserve">Local revenues fall in dollar terms</w:t>
            </w:r>
          </w:p>
        </w:tc>
        <w:tc>
          <w:tcPr>
            <w:tcW w:w="4809" w:type="dxa"/>
          </w:tcPr>
          <w:p>
            <w:pPr>
              <w:pStyle w:val="TableText"/>
              <w:jc w:val="left"/>
            </w:pPr>
            <w:r>
              <w:t xml:space="preserve">Local-currency pricing; local compute; earnings in hard currency from exports</w:t>
            </w:r>
          </w:p>
        </w:tc>
      </w:tr>
      <w:tr>
        <w:trPr>
          <w:cantSplit/>
        </w:trPr>
        <w:tc>
          <w:tcPr>
            <w:tcW w:w="2233" w:type="dxa"/>
          </w:tcPr>
          <w:p>
            <w:pPr>
              <w:pStyle w:val="TableText"/>
              <w:jc w:val="left"/>
            </w:pPr>
            <w:r>
              <w:rPr>
                <w:b/>
                <w:bCs/>
              </w:rPr>
              <w:t xml:space="preserve">Talent drain</w:t>
            </w:r>
          </w:p>
        </w:tc>
        <w:tc>
          <w:tcPr>
            <w:tcW w:w="2318" w:type="dxa"/>
          </w:tcPr>
          <w:p>
            <w:pPr>
              <w:pStyle w:val="TableText"/>
              <w:jc w:val="left"/>
            </w:pPr>
            <w:r>
              <w:t xml:space="preserve">Trained workers leave</w:t>
            </w:r>
          </w:p>
        </w:tc>
        <w:tc>
          <w:tcPr>
            <w:tcW w:w="4809" w:type="dxa"/>
          </w:tcPr>
          <w:p>
            <w:pPr>
              <w:pStyle w:val="TableText"/>
              <w:jc w:val="left"/>
            </w:pPr>
            <w:r>
              <w:t xml:space="preserve">Worker ownership; career ladders; remote work at home</w:t>
            </w:r>
          </w:p>
        </w:tc>
      </w:tr>
      <w:tr>
        <w:trPr>
          <w:cantSplit/>
        </w:trPr>
        <w:tc>
          <w:tcPr>
            <w:tcW w:w="2233" w:type="dxa"/>
          </w:tcPr>
          <w:p>
            <w:pPr>
              <w:pStyle w:val="TableText"/>
              <w:jc w:val="left"/>
            </w:pPr>
            <w:r>
              <w:rPr>
                <w:b/>
                <w:bCs/>
              </w:rPr>
              <w:t xml:space="preserve">Mission drift toward dark arbitrage</w:t>
            </w:r>
          </w:p>
        </w:tc>
        <w:tc>
          <w:tcPr>
            <w:tcW w:w="2318" w:type="dxa"/>
          </w:tcPr>
          <w:p>
            <w:pPr>
              <w:pStyle w:val="TableText"/>
              <w:jc w:val="left"/>
            </w:pPr>
            <w:r>
              <w:t xml:space="preserve">Pressure to cut corners for profit</w:t>
            </w:r>
          </w:p>
        </w:tc>
        <w:tc>
          <w:tcPr>
            <w:tcW w:w="4809" w:type="dxa"/>
          </w:tcPr>
          <w:p>
            <w:pPr>
              <w:pStyle w:val="TableText"/>
              <w:jc w:val="left"/>
            </w:pPr>
            <w:r>
              <w:t xml:space="preserve">Red lines in governance; steward-ownership; published audits</w:t>
            </w:r>
          </w:p>
        </w:tc>
      </w:tr>
    </w:tbl>
    <w:bookmarkEnd w:id="74"/>
    <w:bookmarkStart w:id="75" w:name="X18bfb529c7ef984fe43fb4f209c7a740aa8d424"/>
    <w:p>
      <w:pPr>
        <w:pStyle w:val="Heading2"/>
      </w:pPr>
      <w:r>
        <w:t xml:space="preserve">5.9 Closing philosophy: close the gap; don’t farm it</w:t>
      </w:r>
    </w:p>
    <w:p>
      <w:pPr>
        <w:pStyle w:val="FirstParagraph"/>
      </w:pPr>
      <w:r>
        <w:t xml:space="preserve">Every age of technology produces arbitrageurs. Some move value to where it is needed: grain to the hungry, medicine to the sick, knowledge to the curious. Others profit from keeping people apart, ignorant or dependent. AI makes both kinds of arbitrage easier than ever.</w:t>
      </w:r>
    </w:p>
    <w:p>
      <w:pPr>
        <w:pStyle w:val="BodyText"/>
      </w:pPr>
      <w:r>
        <w:t xml:space="preserve">The ten ventures in this volume are built on a single conviction:</w:t>
      </w:r>
      <w:r>
        <w:t xml:space="preserve"> </w:t>
      </w:r>
      <w:r>
        <w:rPr>
          <w:b/>
          <w:bCs/>
        </w:rPr>
        <w:t xml:space="preserve">the spreads AI opens should be used to close the gaps that have held people back.</w:t>
      </w:r>
      <w:r>
        <w:t xml:space="preserve"> </w:t>
      </w:r>
      <w:r>
        <w:t xml:space="preserve">The gaps are between the trader and the accountant, the child and the tutor, the patient and the specialist, the farmer and the market, the citizen and the state, the energy burned into the sky and the village in the dark. Profit is earned by closing those gaps, and shared with the people on the other side.</w:t>
      </w:r>
    </w:p>
    <w:p>
      <w:pPr>
        <w:pStyle w:val="BodyText"/>
      </w:pPr>
      <w:r>
        <w:rPr>
          <w:b/>
          <w:bCs/>
        </w:rPr>
        <w:t xml:space="preserve">Ten aphorisms of AI arbitrage</w:t>
      </w:r>
    </w:p>
    <w:p>
      <w:pPr>
        <w:pStyle w:val="Compact"/>
        <w:numPr>
          <w:ilvl w:val="0"/>
          <w:numId w:val="1063"/>
        </w:numPr>
      </w:pPr>
      <w:r>
        <w:rPr>
          <w:i/>
          <w:iCs/>
        </w:rPr>
        <w:t xml:space="preserve">The spread is the door; the moat is the house.</w:t>
      </w:r>
    </w:p>
    <w:p>
      <w:pPr>
        <w:pStyle w:val="Compact"/>
        <w:numPr>
          <w:ilvl w:val="0"/>
          <w:numId w:val="1063"/>
        </w:numPr>
      </w:pPr>
      <w:r>
        <w:rPr>
          <w:i/>
          <w:iCs/>
        </w:rPr>
        <w:t xml:space="preserve">Every spread closes. Build before it does.</w:t>
      </w:r>
    </w:p>
    <w:p>
      <w:pPr>
        <w:pStyle w:val="Compact"/>
        <w:numPr>
          <w:ilvl w:val="0"/>
          <w:numId w:val="1063"/>
        </w:numPr>
      </w:pPr>
      <w:r>
        <w:rPr>
          <w:i/>
          <w:iCs/>
        </w:rPr>
        <w:t xml:space="preserve">Cheap intelligence moves the bottleneck. Stand where it moves.</w:t>
      </w:r>
    </w:p>
    <w:p>
      <w:pPr>
        <w:pStyle w:val="Compact"/>
        <w:numPr>
          <w:ilvl w:val="0"/>
          <w:numId w:val="1063"/>
        </w:numPr>
      </w:pPr>
      <w:r>
        <w:rPr>
          <w:i/>
          <w:iCs/>
        </w:rPr>
        <w:t xml:space="preserve">The same spread can heal or harm. The design decides.</w:t>
      </w:r>
    </w:p>
    <w:p>
      <w:pPr>
        <w:pStyle w:val="Compact"/>
        <w:numPr>
          <w:ilvl w:val="0"/>
          <w:numId w:val="1063"/>
        </w:numPr>
      </w:pPr>
      <w:r>
        <w:rPr>
          <w:i/>
          <w:iCs/>
        </w:rPr>
        <w:t xml:space="preserve">If the gap is your business, you are farming it.</w:t>
      </w:r>
    </w:p>
    <w:p>
      <w:pPr>
        <w:pStyle w:val="Compact"/>
        <w:numPr>
          <w:ilvl w:val="0"/>
          <w:numId w:val="1063"/>
        </w:numPr>
      </w:pPr>
      <w:r>
        <w:rPr>
          <w:i/>
          <w:iCs/>
        </w:rPr>
        <w:t xml:space="preserve">Share the spread with the cheap side, or they will take it back.</w:t>
      </w:r>
    </w:p>
    <w:p>
      <w:pPr>
        <w:pStyle w:val="Compact"/>
        <w:numPr>
          <w:ilvl w:val="0"/>
          <w:numId w:val="1063"/>
        </w:numPr>
      </w:pPr>
      <w:r>
        <w:rPr>
          <w:i/>
          <w:iCs/>
        </w:rPr>
        <w:t xml:space="preserve">Software is copied; trust is earned.</w:t>
      </w:r>
    </w:p>
    <w:p>
      <w:pPr>
        <w:pStyle w:val="Compact"/>
        <w:numPr>
          <w:ilvl w:val="0"/>
          <w:numId w:val="1063"/>
        </w:numPr>
      </w:pPr>
      <w:r>
        <w:rPr>
          <w:i/>
          <w:iCs/>
        </w:rPr>
        <w:t xml:space="preserve">Harvest short spreads; invest in long ones.</w:t>
      </w:r>
    </w:p>
    <w:p>
      <w:pPr>
        <w:pStyle w:val="Compact"/>
        <w:numPr>
          <w:ilvl w:val="0"/>
          <w:numId w:val="1063"/>
        </w:numPr>
      </w:pPr>
      <w:r>
        <w:rPr>
          <w:i/>
          <w:iCs/>
        </w:rPr>
        <w:t xml:space="preserve">No deception, no theft of consent, no evasion, no exploitation.</w:t>
      </w:r>
    </w:p>
    <w:p>
      <w:pPr>
        <w:pStyle w:val="Compact"/>
        <w:numPr>
          <w:ilvl w:val="0"/>
          <w:numId w:val="1063"/>
        </w:numPr>
      </w:pPr>
      <w:r>
        <w:rPr>
          <w:i/>
          <w:iCs/>
        </w:rPr>
        <w:t xml:space="preserve">Leave the gap smaller than you found it.</w:t>
      </w:r>
    </w:p>
    <w:bookmarkEnd w:id="75"/>
    <w:bookmarkEnd w:id="76"/>
    <w:bookmarkStart w:id="99" w:name="appendices"/>
    <w:p>
      <w:pPr>
        <w:pStyle w:val="Heading1"/>
      </w:pPr>
      <w:r>
        <w:t xml:space="preserve">Appendices</w:t>
      </w:r>
    </w:p>
    <w:bookmarkStart w:id="77" w:name="X606bbb5362f63e6fbd288d8d1de3674ee54e9b5"/>
    <w:p>
      <w:pPr>
        <w:pStyle w:val="Heading2"/>
      </w:pPr>
      <w:r>
        <w:t xml:space="preserve">Appendix A: The AI Arbitrage Venture Canvas</w:t>
      </w:r>
    </w:p>
    <w:tbl>
      <w:tblPr>
        <w:tblStyle w:val="Table"/>
        <w:tblW w:w="9360" w:type="dxa"/>
        <w:jc w:val="left"/>
        <w:tblLayout w:type="fixed"/>
        <w:tblLook w:firstRow="1" w:lastRow="0" w:firstColumn="0" w:lastColumn="0" w:noHBand="0" w:noVBand="0" w:val="0020"/>
      </w:tblPr>
      <w:tblGrid>
        <w:gridCol w:w="1362"/>
        <w:gridCol w:w="7089"/>
        <w:gridCol w:w="909"/>
      </w:tblGrid>
      <w:tr>
        <w:trPr>
          <w:cantSplit/>
          <w:tblHeader w:val="true"/>
        </w:trPr>
        <w:tc>
          <w:tcPr>
            <w:tcW w:w="1362" w:type="dxa"/>
          </w:tcPr>
          <w:p>
            <w:pPr>
              <w:pStyle w:val="TableText"/>
              <w:jc w:val="left"/>
            </w:pPr>
            <w:r>
              <w:t xml:space="preserve">Section</w:t>
            </w:r>
          </w:p>
        </w:tc>
        <w:tc>
          <w:tcPr>
            <w:tcW w:w="7089" w:type="dxa"/>
          </w:tcPr>
          <w:p>
            <w:pPr>
              <w:pStyle w:val="TableText"/>
              <w:jc w:val="left"/>
            </w:pPr>
            <w:r>
              <w:t xml:space="preserve">Prompt</w:t>
            </w:r>
          </w:p>
        </w:tc>
        <w:tc>
          <w:tcPr>
            <w:tcW w:w="909" w:type="dxa"/>
          </w:tcPr>
          <w:p>
            <w:pPr>
              <w:pStyle w:val="TableText"/>
              <w:jc w:val="left"/>
            </w:pPr>
            <w:r>
              <w:t xml:space="preserve">Your answer</w:t>
            </w:r>
          </w:p>
        </w:tc>
      </w:tr>
      <w:tr>
        <w:trPr>
          <w:cantSplit/>
        </w:trPr>
        <w:tc>
          <w:tcPr>
            <w:tcW w:w="1362" w:type="dxa"/>
          </w:tcPr>
          <w:p>
            <w:pPr>
              <w:pStyle w:val="TableText"/>
              <w:jc w:val="left"/>
            </w:pPr>
            <w:r>
              <w:rPr>
                <w:b/>
                <w:bCs/>
              </w:rPr>
              <w:t xml:space="preserve">Spread</w:t>
            </w:r>
          </w:p>
        </w:tc>
        <w:tc>
          <w:tcPr>
            <w:tcW w:w="7089" w:type="dxa"/>
          </w:tcPr>
          <w:p>
            <w:pPr>
              <w:pStyle w:val="TableText"/>
              <w:jc w:val="left"/>
            </w:pPr>
            <w:r>
              <w:t xml:space="preserve">Which of the ten spreads? Describe the gap in one sentence.</w:t>
            </w:r>
          </w:p>
        </w:tc>
        <w:tc>
          <w:tcPr>
            <w:tcW w:w="909" w:type="dxa"/>
          </w:tcPr>
          <w:p>
            <w:pPr>
              <w:pStyle w:val="TableText"/>
            </w:pPr>
          </w:p>
        </w:tc>
      </w:tr>
      <w:tr>
        <w:trPr>
          <w:cantSplit/>
        </w:trPr>
        <w:tc>
          <w:tcPr>
            <w:tcW w:w="1362" w:type="dxa"/>
          </w:tcPr>
          <w:p>
            <w:pPr>
              <w:pStyle w:val="TableText"/>
              <w:jc w:val="left"/>
            </w:pPr>
            <w:r>
              <w:rPr>
                <w:b/>
                <w:bCs/>
              </w:rPr>
              <w:t xml:space="preserve">Value side</w:t>
            </w:r>
          </w:p>
        </w:tc>
        <w:tc>
          <w:tcPr>
            <w:tcW w:w="7089" w:type="dxa"/>
          </w:tcPr>
          <w:p>
            <w:pPr>
              <w:pStyle w:val="TableText"/>
              <w:jc w:val="left"/>
            </w:pPr>
            <w:r>
              <w:t xml:space="preserve">What is the outcome worth to the customer, or what does it cost them today?</w:t>
            </w:r>
          </w:p>
        </w:tc>
        <w:tc>
          <w:tcPr>
            <w:tcW w:w="909" w:type="dxa"/>
          </w:tcPr>
          <w:p>
            <w:pPr>
              <w:pStyle w:val="TableText"/>
            </w:pPr>
          </w:p>
        </w:tc>
      </w:tr>
      <w:tr>
        <w:trPr>
          <w:cantSplit/>
        </w:trPr>
        <w:tc>
          <w:tcPr>
            <w:tcW w:w="1362" w:type="dxa"/>
          </w:tcPr>
          <w:p>
            <w:pPr>
              <w:pStyle w:val="TableText"/>
              <w:jc w:val="left"/>
            </w:pPr>
            <w:r>
              <w:rPr>
                <w:b/>
                <w:bCs/>
              </w:rPr>
              <w:t xml:space="preserve">Cost side</w:t>
            </w:r>
          </w:p>
        </w:tc>
        <w:tc>
          <w:tcPr>
            <w:tcW w:w="7089" w:type="dxa"/>
          </w:tcPr>
          <w:p>
            <w:pPr>
              <w:pStyle w:val="TableText"/>
              <w:jc w:val="left"/>
            </w:pPr>
            <w:r>
              <w:t xml:space="preserve">AI cost + human cost + physical cost per outcome?</w:t>
            </w:r>
          </w:p>
        </w:tc>
        <w:tc>
          <w:tcPr>
            <w:tcW w:w="909" w:type="dxa"/>
          </w:tcPr>
          <w:p>
            <w:pPr>
              <w:pStyle w:val="TableText"/>
            </w:pPr>
          </w:p>
        </w:tc>
      </w:tr>
      <w:tr>
        <w:trPr>
          <w:cantSplit/>
        </w:trPr>
        <w:tc>
          <w:tcPr>
            <w:tcW w:w="1362" w:type="dxa"/>
          </w:tcPr>
          <w:p>
            <w:pPr>
              <w:pStyle w:val="TableText"/>
              <w:jc w:val="left"/>
            </w:pPr>
            <w:r>
              <w:rPr>
                <w:b/>
                <w:bCs/>
              </w:rPr>
              <w:t xml:space="preserve">Friction</w:t>
            </w:r>
          </w:p>
        </w:tc>
        <w:tc>
          <w:tcPr>
            <w:tcW w:w="7089" w:type="dxa"/>
          </w:tcPr>
          <w:p>
            <w:pPr>
              <w:pStyle w:val="TableText"/>
              <w:jc w:val="left"/>
            </w:pPr>
            <w:r>
              <w:t xml:space="preserve">Trust, distribution, language, regulation, payment, liability?</w:t>
            </w:r>
          </w:p>
        </w:tc>
        <w:tc>
          <w:tcPr>
            <w:tcW w:w="909" w:type="dxa"/>
          </w:tcPr>
          <w:p>
            <w:pPr>
              <w:pStyle w:val="TableText"/>
            </w:pPr>
          </w:p>
        </w:tc>
      </w:tr>
      <w:tr>
        <w:trPr>
          <w:cantSplit/>
        </w:trPr>
        <w:tc>
          <w:tcPr>
            <w:tcW w:w="1362" w:type="dxa"/>
          </w:tcPr>
          <w:p>
            <w:pPr>
              <w:pStyle w:val="TableText"/>
              <w:jc w:val="left"/>
            </w:pPr>
            <w:r>
              <w:rPr>
                <w:b/>
                <w:bCs/>
              </w:rPr>
              <w:t xml:space="preserve">Net spread</w:t>
            </w:r>
          </w:p>
        </w:tc>
        <w:tc>
          <w:tcPr>
            <w:tcW w:w="7089" w:type="dxa"/>
          </w:tcPr>
          <w:p>
            <w:pPr>
              <w:pStyle w:val="TableText"/>
              <w:jc w:val="left"/>
            </w:pPr>
            <w:r>
              <w:t xml:space="preserve">Value − costs − friction, per outcome and in total?</w:t>
            </w:r>
          </w:p>
        </w:tc>
        <w:tc>
          <w:tcPr>
            <w:tcW w:w="909" w:type="dxa"/>
          </w:tcPr>
          <w:p>
            <w:pPr>
              <w:pStyle w:val="TableText"/>
            </w:pPr>
          </w:p>
        </w:tc>
      </w:tr>
      <w:tr>
        <w:trPr>
          <w:cantSplit/>
        </w:trPr>
        <w:tc>
          <w:tcPr>
            <w:tcW w:w="1362" w:type="dxa"/>
          </w:tcPr>
          <w:p>
            <w:pPr>
              <w:pStyle w:val="TableText"/>
              <w:jc w:val="left"/>
            </w:pPr>
            <w:r>
              <w:rPr>
                <w:b/>
                <w:bCs/>
              </w:rPr>
              <w:t xml:space="preserve">Half-life</w:t>
            </w:r>
          </w:p>
        </w:tc>
        <w:tc>
          <w:tcPr>
            <w:tcW w:w="7089" w:type="dxa"/>
          </w:tcPr>
          <w:p>
            <w:pPr>
              <w:pStyle w:val="TableText"/>
              <w:jc w:val="left"/>
            </w:pPr>
            <w:r>
              <w:t xml:space="preserve">How long until competition or regulation halves the spread?</w:t>
            </w:r>
          </w:p>
        </w:tc>
        <w:tc>
          <w:tcPr>
            <w:tcW w:w="909" w:type="dxa"/>
          </w:tcPr>
          <w:p>
            <w:pPr>
              <w:pStyle w:val="TableText"/>
            </w:pPr>
          </w:p>
        </w:tc>
      </w:tr>
      <w:tr>
        <w:trPr>
          <w:cantSplit/>
        </w:trPr>
        <w:tc>
          <w:tcPr>
            <w:tcW w:w="1362" w:type="dxa"/>
          </w:tcPr>
          <w:p>
            <w:pPr>
              <w:pStyle w:val="TableText"/>
              <w:jc w:val="left"/>
            </w:pPr>
            <w:r>
              <w:rPr>
                <w:b/>
                <w:bCs/>
              </w:rPr>
              <w:t xml:space="preserve">Red lines</w:t>
            </w:r>
          </w:p>
        </w:tc>
        <w:tc>
          <w:tcPr>
            <w:tcW w:w="7089" w:type="dxa"/>
          </w:tcPr>
          <w:p>
            <w:pPr>
              <w:pStyle w:val="TableText"/>
              <w:jc w:val="left"/>
            </w:pPr>
            <w:r>
              <w:t xml:space="preserve">Deception? Consent violation? Harmful evasion? Exploitation? (Any</w:t>
            </w:r>
            <w:r>
              <w:t xml:space="preserve"> </w:t>
            </w:r>
            <w:r>
              <w:t xml:space="preserve">“</w:t>
            </w:r>
            <w:r>
              <w:t xml:space="preserve">yes</w:t>
            </w:r>
            <w:r>
              <w:t xml:space="preserve">”</w:t>
            </w:r>
            <w:r>
              <w:t xml:space="preserve"> </w:t>
            </w:r>
            <w:r>
              <w:t xml:space="preserve">disqualifies.)</w:t>
            </w:r>
          </w:p>
        </w:tc>
        <w:tc>
          <w:tcPr>
            <w:tcW w:w="909" w:type="dxa"/>
          </w:tcPr>
          <w:p>
            <w:pPr>
              <w:pStyle w:val="TableText"/>
            </w:pPr>
          </w:p>
        </w:tc>
      </w:tr>
      <w:tr>
        <w:trPr>
          <w:cantSplit/>
        </w:trPr>
        <w:tc>
          <w:tcPr>
            <w:tcW w:w="1362" w:type="dxa"/>
          </w:tcPr>
          <w:p>
            <w:pPr>
              <w:pStyle w:val="TableText"/>
              <w:jc w:val="left"/>
            </w:pPr>
            <w:r>
              <w:rPr>
                <w:b/>
                <w:bCs/>
              </w:rPr>
              <w:t xml:space="preserve">Productivity</w:t>
            </w:r>
          </w:p>
        </w:tc>
        <w:tc>
          <w:tcPr>
            <w:tcW w:w="7089" w:type="dxa"/>
          </w:tcPr>
          <w:p>
            <w:pPr>
              <w:pStyle w:val="TableText"/>
              <w:jc w:val="left"/>
            </w:pPr>
            <w:r>
              <w:t xml:space="preserve">Which of the five productivity questions are answered</w:t>
            </w:r>
            <w:r>
              <w:t xml:space="preserve"> </w:t>
            </w:r>
            <w:r>
              <w:t xml:space="preserve">“</w:t>
            </w:r>
            <w:r>
              <w:t xml:space="preserve">yes</w:t>
            </w:r>
            <w:r>
              <w:t xml:space="preserve">”</w:t>
            </w:r>
            <w:r>
              <w:t xml:space="preserve">?</w:t>
            </w:r>
          </w:p>
        </w:tc>
        <w:tc>
          <w:tcPr>
            <w:tcW w:w="909" w:type="dxa"/>
          </w:tcPr>
          <w:p>
            <w:pPr>
              <w:pStyle w:val="TableText"/>
            </w:pPr>
          </w:p>
        </w:tc>
      </w:tr>
      <w:tr>
        <w:trPr>
          <w:cantSplit/>
        </w:trPr>
        <w:tc>
          <w:tcPr>
            <w:tcW w:w="1362" w:type="dxa"/>
          </w:tcPr>
          <w:p>
            <w:pPr>
              <w:pStyle w:val="TableText"/>
              <w:jc w:val="left"/>
            </w:pPr>
            <w:r>
              <w:rPr>
                <w:b/>
                <w:bCs/>
              </w:rPr>
              <w:t xml:space="preserve">Bridge</w:t>
            </w:r>
          </w:p>
        </w:tc>
        <w:tc>
          <w:tcPr>
            <w:tcW w:w="7089" w:type="dxa"/>
          </w:tcPr>
          <w:p>
            <w:pPr>
              <w:pStyle w:val="TableText"/>
              <w:jc w:val="left"/>
            </w:pPr>
            <w:r>
              <w:t xml:space="preserve">What AI-plus-human service carries customers across the gap?</w:t>
            </w:r>
          </w:p>
        </w:tc>
        <w:tc>
          <w:tcPr>
            <w:tcW w:w="909" w:type="dxa"/>
          </w:tcPr>
          <w:p>
            <w:pPr>
              <w:pStyle w:val="TableText"/>
            </w:pPr>
          </w:p>
        </w:tc>
      </w:tr>
      <w:tr>
        <w:trPr>
          <w:cantSplit/>
        </w:trPr>
        <w:tc>
          <w:tcPr>
            <w:tcW w:w="1362" w:type="dxa"/>
          </w:tcPr>
          <w:p>
            <w:pPr>
              <w:pStyle w:val="TableText"/>
              <w:jc w:val="left"/>
            </w:pPr>
            <w:r>
              <w:rPr>
                <w:b/>
                <w:bCs/>
              </w:rPr>
              <w:t xml:space="preserve">Moats</w:t>
            </w:r>
          </w:p>
        </w:tc>
        <w:tc>
          <w:tcPr>
            <w:tcW w:w="7089" w:type="dxa"/>
          </w:tcPr>
          <w:p>
            <w:pPr>
              <w:pStyle w:val="TableText"/>
              <w:jc w:val="left"/>
            </w:pPr>
            <w:r>
              <w:t xml:space="preserve">Which of the seven moats will the spread be converted into, and by when?</w:t>
            </w:r>
          </w:p>
        </w:tc>
        <w:tc>
          <w:tcPr>
            <w:tcW w:w="909" w:type="dxa"/>
          </w:tcPr>
          <w:p>
            <w:pPr>
              <w:pStyle w:val="TableText"/>
            </w:pPr>
          </w:p>
        </w:tc>
      </w:tr>
      <w:tr>
        <w:trPr>
          <w:cantSplit/>
        </w:trPr>
        <w:tc>
          <w:tcPr>
            <w:tcW w:w="1362" w:type="dxa"/>
          </w:tcPr>
          <w:p>
            <w:pPr>
              <w:pStyle w:val="TableText"/>
              <w:jc w:val="left"/>
            </w:pPr>
            <w:r>
              <w:rPr>
                <w:b/>
                <w:bCs/>
              </w:rPr>
              <w:t xml:space="preserve">Sharing</w:t>
            </w:r>
          </w:p>
        </w:tc>
        <w:tc>
          <w:tcPr>
            <w:tcW w:w="7089" w:type="dxa"/>
          </w:tcPr>
          <w:p>
            <w:pPr>
              <w:pStyle w:val="TableText"/>
              <w:jc w:val="left"/>
            </w:pPr>
            <w:r>
              <w:t xml:space="preserve">How does the cheap side share the spread (wages, royalties, equity, prices)?</w:t>
            </w:r>
          </w:p>
        </w:tc>
        <w:tc>
          <w:tcPr>
            <w:tcW w:w="909" w:type="dxa"/>
          </w:tcPr>
          <w:p>
            <w:pPr>
              <w:pStyle w:val="TableText"/>
            </w:pPr>
          </w:p>
        </w:tc>
      </w:tr>
      <w:tr>
        <w:trPr>
          <w:cantSplit/>
        </w:trPr>
        <w:tc>
          <w:tcPr>
            <w:tcW w:w="1362" w:type="dxa"/>
          </w:tcPr>
          <w:p>
            <w:pPr>
              <w:pStyle w:val="TableText"/>
              <w:jc w:val="left"/>
            </w:pPr>
            <w:r>
              <w:rPr>
                <w:b/>
                <w:bCs/>
              </w:rPr>
              <w:t xml:space="preserve">Dark twin</w:t>
            </w:r>
          </w:p>
        </w:tc>
        <w:tc>
          <w:tcPr>
            <w:tcW w:w="7089" w:type="dxa"/>
          </w:tcPr>
          <w:p>
            <w:pPr>
              <w:pStyle w:val="TableText"/>
              <w:jc w:val="left"/>
            </w:pPr>
            <w:r>
              <w:t xml:space="preserve">What is the destructive version of this venture, and how is it prevented?</w:t>
            </w:r>
          </w:p>
        </w:tc>
        <w:tc>
          <w:tcPr>
            <w:tcW w:w="909" w:type="dxa"/>
          </w:tcPr>
          <w:p>
            <w:pPr>
              <w:pStyle w:val="TableText"/>
            </w:pPr>
          </w:p>
        </w:tc>
      </w:tr>
      <w:tr>
        <w:trPr>
          <w:cantSplit/>
        </w:trPr>
        <w:tc>
          <w:tcPr>
            <w:tcW w:w="1362" w:type="dxa"/>
          </w:tcPr>
          <w:p>
            <w:pPr>
              <w:pStyle w:val="TableText"/>
              <w:jc w:val="left"/>
            </w:pPr>
            <w:r>
              <w:rPr>
                <w:b/>
                <w:bCs/>
              </w:rPr>
              <w:t xml:space="preserve">Scores</w:t>
            </w:r>
          </w:p>
        </w:tc>
        <w:tc>
          <w:tcPr>
            <w:tcW w:w="7089" w:type="dxa"/>
          </w:tcPr>
          <w:p>
            <w:pPr>
              <w:pStyle w:val="TableText"/>
              <w:jc w:val="left"/>
            </w:pPr>
            <w:r>
              <w:t xml:space="preserve">Spread Quality (/25); Inner Decagon (/50); Future-Fitness (/50); Index (/100)</w:t>
            </w:r>
          </w:p>
        </w:tc>
        <w:tc>
          <w:tcPr>
            <w:tcW w:w="909" w:type="dxa"/>
          </w:tcPr>
          <w:p>
            <w:pPr>
              <w:pStyle w:val="TableText"/>
            </w:pPr>
          </w:p>
        </w:tc>
      </w:tr>
    </w:tbl>
    <w:bookmarkEnd w:id="77"/>
    <w:bookmarkStart w:id="78" w:name="X48d9bd76cfacceae40299efc2f7683d29c5d072"/>
    <w:p>
      <w:pPr>
        <w:pStyle w:val="Heading2"/>
      </w:pPr>
      <w:r>
        <w:t xml:space="preserve">Appendix B: The Spread Quality Score rubric</w:t>
      </w:r>
    </w:p>
    <w:p>
      <w:pPr>
        <w:pStyle w:val="FirstParagraph"/>
      </w:pPr>
      <w:r>
        <w:t xml:space="preserve">Score each dimension 0–5; anchors are given for 0, 1, 3 and 5.</w:t>
      </w:r>
    </w:p>
    <w:tbl>
      <w:tblPr>
        <w:tblStyle w:val="Table"/>
        <w:tblW w:w="9360" w:type="dxa"/>
        <w:jc w:val="left"/>
        <w:tblLayout w:type="fixed"/>
        <w:tblLook w:firstRow="1" w:lastRow="0" w:firstColumn="0" w:lastColumn="0" w:noHBand="0" w:noVBand="0" w:val="0020"/>
      </w:tblPr>
      <w:tblGrid>
        <w:gridCol w:w="1425"/>
        <w:gridCol w:w="1961"/>
        <w:gridCol w:w="1872"/>
        <w:gridCol w:w="1515"/>
        <w:gridCol w:w="2587"/>
      </w:tblGrid>
      <w:tr>
        <w:trPr>
          <w:cantSplit/>
          <w:tblHeader w:val="true"/>
        </w:trPr>
        <w:tc>
          <w:tcPr>
            <w:tcW w:w="1425" w:type="dxa"/>
          </w:tcPr>
          <w:p>
            <w:pPr>
              <w:pStyle w:val="TableText"/>
              <w:jc w:val="left"/>
            </w:pPr>
            <w:r>
              <w:t xml:space="preserve">Dimension</w:t>
            </w:r>
          </w:p>
        </w:tc>
        <w:tc>
          <w:tcPr>
            <w:tcW w:w="1961" w:type="dxa"/>
          </w:tcPr>
          <w:p>
            <w:pPr>
              <w:pStyle w:val="TableText"/>
              <w:jc w:val="left"/>
            </w:pPr>
            <w:r>
              <w:t xml:space="preserve">0</w:t>
            </w:r>
          </w:p>
        </w:tc>
        <w:tc>
          <w:tcPr>
            <w:tcW w:w="1872" w:type="dxa"/>
          </w:tcPr>
          <w:p>
            <w:pPr>
              <w:pStyle w:val="TableText"/>
              <w:jc w:val="left"/>
            </w:pPr>
            <w:r>
              <w:t xml:space="preserve">1</w:t>
            </w:r>
          </w:p>
        </w:tc>
        <w:tc>
          <w:tcPr>
            <w:tcW w:w="1515" w:type="dxa"/>
          </w:tcPr>
          <w:p>
            <w:pPr>
              <w:pStyle w:val="TableText"/>
              <w:jc w:val="left"/>
            </w:pPr>
            <w:r>
              <w:t xml:space="preserve">3</w:t>
            </w:r>
          </w:p>
        </w:tc>
        <w:tc>
          <w:tcPr>
            <w:tcW w:w="2587" w:type="dxa"/>
          </w:tcPr>
          <w:p>
            <w:pPr>
              <w:pStyle w:val="TableText"/>
              <w:jc w:val="left"/>
            </w:pPr>
            <w:r>
              <w:t xml:space="preserve">5</w:t>
            </w:r>
          </w:p>
        </w:tc>
      </w:tr>
      <w:tr>
        <w:trPr>
          <w:cantSplit/>
        </w:trPr>
        <w:tc>
          <w:tcPr>
            <w:tcW w:w="1425" w:type="dxa"/>
          </w:tcPr>
          <w:p>
            <w:pPr>
              <w:pStyle w:val="TableText"/>
              <w:jc w:val="left"/>
            </w:pPr>
            <w:r>
              <w:rPr>
                <w:b/>
                <w:bCs/>
              </w:rPr>
              <w:t xml:space="preserve">Size (S)</w:t>
            </w:r>
          </w:p>
        </w:tc>
        <w:tc>
          <w:tcPr>
            <w:tcW w:w="1961" w:type="dxa"/>
          </w:tcPr>
          <w:p>
            <w:pPr>
              <w:pStyle w:val="TableText"/>
              <w:jc w:val="left"/>
            </w:pPr>
            <w:r>
              <w:t xml:space="preserve">No real spread after friction</w:t>
            </w:r>
          </w:p>
        </w:tc>
        <w:tc>
          <w:tcPr>
            <w:tcW w:w="1872" w:type="dxa"/>
          </w:tcPr>
          <w:p>
            <w:pPr>
              <w:pStyle w:val="TableText"/>
              <w:jc w:val="left"/>
            </w:pPr>
            <w:r>
              <w:t xml:space="preserve">Thin spread, small market</w:t>
            </w:r>
          </w:p>
        </w:tc>
        <w:tc>
          <w:tcPr>
            <w:tcW w:w="1515" w:type="dxa"/>
          </w:tcPr>
          <w:p>
            <w:pPr>
              <w:pStyle w:val="TableText"/>
              <w:jc w:val="left"/>
            </w:pPr>
            <w:r>
              <w:t xml:space="preserve">Clear spread in a sizeable market</w:t>
            </w:r>
          </w:p>
        </w:tc>
        <w:tc>
          <w:tcPr>
            <w:tcW w:w="2587" w:type="dxa"/>
          </w:tcPr>
          <w:p>
            <w:pPr>
              <w:pStyle w:val="TableText"/>
              <w:jc w:val="left"/>
            </w:pPr>
            <w:r>
              <w:t xml:space="preserve">Large spread in a very large market</w:t>
            </w:r>
          </w:p>
        </w:tc>
      </w:tr>
      <w:tr>
        <w:trPr>
          <w:cantSplit/>
        </w:trPr>
        <w:tc>
          <w:tcPr>
            <w:tcW w:w="1425" w:type="dxa"/>
          </w:tcPr>
          <w:p>
            <w:pPr>
              <w:pStyle w:val="TableText"/>
              <w:jc w:val="left"/>
            </w:pPr>
            <w:r>
              <w:rPr>
                <w:b/>
                <w:bCs/>
              </w:rPr>
              <w:t xml:space="preserve">Half-life (H)</w:t>
            </w:r>
          </w:p>
        </w:tc>
        <w:tc>
          <w:tcPr>
            <w:tcW w:w="1961" w:type="dxa"/>
          </w:tcPr>
          <w:p>
            <w:pPr>
              <w:pStyle w:val="TableText"/>
              <w:jc w:val="left"/>
            </w:pPr>
            <w:r>
              <w:t xml:space="preserve">Closes within weeks</w:t>
            </w:r>
          </w:p>
        </w:tc>
        <w:tc>
          <w:tcPr>
            <w:tcW w:w="1872" w:type="dxa"/>
          </w:tcPr>
          <w:p>
            <w:pPr>
              <w:pStyle w:val="TableText"/>
              <w:jc w:val="left"/>
            </w:pPr>
            <w:r>
              <w:t xml:space="preserve">Closes within a year</w:t>
            </w:r>
          </w:p>
        </w:tc>
        <w:tc>
          <w:tcPr>
            <w:tcW w:w="1515" w:type="dxa"/>
          </w:tcPr>
          <w:p>
            <w:pPr>
              <w:pStyle w:val="TableText"/>
              <w:jc w:val="left"/>
            </w:pPr>
            <w:r>
              <w:t xml:space="preserve">Lasts two to five years</w:t>
            </w:r>
          </w:p>
        </w:tc>
        <w:tc>
          <w:tcPr>
            <w:tcW w:w="2587" w:type="dxa"/>
          </w:tcPr>
          <w:p>
            <w:pPr>
              <w:pStyle w:val="TableText"/>
              <w:jc w:val="left"/>
            </w:pPr>
            <w:r>
              <w:t xml:space="preserve">Lasts five years or more (structural)</w:t>
            </w:r>
          </w:p>
        </w:tc>
      </w:tr>
      <w:tr>
        <w:trPr>
          <w:cantSplit/>
        </w:trPr>
        <w:tc>
          <w:tcPr>
            <w:tcW w:w="1425" w:type="dxa"/>
          </w:tcPr>
          <w:p>
            <w:pPr>
              <w:pStyle w:val="TableText"/>
              <w:jc w:val="left"/>
            </w:pPr>
            <w:r>
              <w:rPr>
                <w:b/>
                <w:bCs/>
              </w:rPr>
              <w:t xml:space="preserve">Productivity (P)</w:t>
            </w:r>
          </w:p>
        </w:tc>
        <w:tc>
          <w:tcPr>
            <w:tcW w:w="1961" w:type="dxa"/>
          </w:tcPr>
          <w:p>
            <w:pPr>
              <w:pStyle w:val="TableText"/>
              <w:jc w:val="left"/>
            </w:pPr>
            <w:r>
              <w:t xml:space="preserve">Destructive (creates harm)</w:t>
            </w:r>
          </w:p>
        </w:tc>
        <w:tc>
          <w:tcPr>
            <w:tcW w:w="1872" w:type="dxa"/>
          </w:tcPr>
          <w:p>
            <w:pPr>
              <w:pStyle w:val="TableText"/>
              <w:jc w:val="left"/>
            </w:pPr>
            <w:r>
              <w:t xml:space="preserve">Unproductive (moves money, creates nothing)</w:t>
            </w:r>
          </w:p>
        </w:tc>
        <w:tc>
          <w:tcPr>
            <w:tcW w:w="1515" w:type="dxa"/>
          </w:tcPr>
          <w:p>
            <w:pPr>
              <w:pStyle w:val="TableText"/>
              <w:jc w:val="left"/>
            </w:pPr>
            <w:r>
              <w:t xml:space="preserve">Closes a real gap for some</w:t>
            </w:r>
          </w:p>
        </w:tc>
        <w:tc>
          <w:tcPr>
            <w:tcW w:w="2587" w:type="dxa"/>
          </w:tcPr>
          <w:p>
            <w:pPr>
              <w:pStyle w:val="TableText"/>
              <w:jc w:val="left"/>
            </w:pPr>
            <w:r>
              <w:t xml:space="preserve">Closes a major gap for under-served people and builds capability</w:t>
            </w:r>
          </w:p>
        </w:tc>
      </w:tr>
      <w:tr>
        <w:trPr>
          <w:cantSplit/>
        </w:trPr>
        <w:tc>
          <w:tcPr>
            <w:tcW w:w="1425" w:type="dxa"/>
          </w:tcPr>
          <w:p>
            <w:pPr>
              <w:pStyle w:val="TableText"/>
              <w:jc w:val="left"/>
            </w:pPr>
            <w:r>
              <w:rPr>
                <w:b/>
                <w:bCs/>
              </w:rPr>
              <w:t xml:space="preserve">Moat conversion (M)</w:t>
            </w:r>
          </w:p>
        </w:tc>
        <w:tc>
          <w:tcPr>
            <w:tcW w:w="1961" w:type="dxa"/>
          </w:tcPr>
          <w:p>
            <w:pPr>
              <w:pStyle w:val="TableText"/>
              <w:jc w:val="left"/>
            </w:pPr>
            <w:r>
              <w:t xml:space="preserve">Nothing remains when the spread closes</w:t>
            </w:r>
          </w:p>
        </w:tc>
        <w:tc>
          <w:tcPr>
            <w:tcW w:w="1872" w:type="dxa"/>
          </w:tcPr>
          <w:p>
            <w:pPr>
              <w:pStyle w:val="TableText"/>
              <w:jc w:val="left"/>
            </w:pPr>
            <w:r>
              <w:t xml:space="preserve">Brand only</w:t>
            </w:r>
          </w:p>
        </w:tc>
        <w:tc>
          <w:tcPr>
            <w:tcW w:w="1515" w:type="dxa"/>
          </w:tcPr>
          <w:p>
            <w:pPr>
              <w:pStyle w:val="TableText"/>
              <w:jc w:val="left"/>
            </w:pPr>
            <w:r>
              <w:t xml:space="preserve">Two or three of the seven moats</w:t>
            </w:r>
          </w:p>
        </w:tc>
        <w:tc>
          <w:tcPr>
            <w:tcW w:w="2587" w:type="dxa"/>
          </w:tcPr>
          <w:p>
            <w:pPr>
              <w:pStyle w:val="TableText"/>
              <w:jc w:val="left"/>
            </w:pPr>
            <w:r>
              <w:t xml:space="preserve">Four or more moats, including trust and ownership</w:t>
            </w:r>
          </w:p>
        </w:tc>
      </w:tr>
      <w:tr>
        <w:trPr>
          <w:cantSplit/>
        </w:trPr>
        <w:tc>
          <w:tcPr>
            <w:tcW w:w="1425" w:type="dxa"/>
          </w:tcPr>
          <w:p>
            <w:pPr>
              <w:pStyle w:val="TableText"/>
              <w:jc w:val="left"/>
            </w:pPr>
            <w:r>
              <w:rPr>
                <w:b/>
                <w:bCs/>
              </w:rPr>
              <w:t xml:space="preserve">Fair sharing (F)</w:t>
            </w:r>
          </w:p>
        </w:tc>
        <w:tc>
          <w:tcPr>
            <w:tcW w:w="1961" w:type="dxa"/>
          </w:tcPr>
          <w:p>
            <w:pPr>
              <w:pStyle w:val="TableText"/>
              <w:jc w:val="left"/>
            </w:pPr>
            <w:r>
              <w:t xml:space="preserve">The cheap side receives nothing or is harmed</w:t>
            </w:r>
          </w:p>
        </w:tc>
        <w:tc>
          <w:tcPr>
            <w:tcW w:w="1872" w:type="dxa"/>
          </w:tcPr>
          <w:p>
            <w:pPr>
              <w:pStyle w:val="TableText"/>
              <w:jc w:val="left"/>
            </w:pPr>
            <w:r>
              <w:t xml:space="preserve">Minimal sharing</w:t>
            </w:r>
          </w:p>
        </w:tc>
        <w:tc>
          <w:tcPr>
            <w:tcW w:w="1515" w:type="dxa"/>
          </w:tcPr>
          <w:p>
            <w:pPr>
              <w:pStyle w:val="TableText"/>
              <w:jc w:val="left"/>
            </w:pPr>
            <w:r>
              <w:t xml:space="preserve">Fair wages or prices</w:t>
            </w:r>
          </w:p>
        </w:tc>
        <w:tc>
          <w:tcPr>
            <w:tcW w:w="2587" w:type="dxa"/>
          </w:tcPr>
          <w:p>
            <w:pPr>
              <w:pStyle w:val="TableText"/>
              <w:jc w:val="left"/>
            </w:pPr>
            <w:r>
              <w:t xml:space="preserve">Wages or prices plus equity, royalties or community benefit</w:t>
            </w:r>
          </w:p>
        </w:tc>
      </w:tr>
    </w:tbl>
    <w:bookmarkEnd w:id="78"/>
    <w:bookmarkStart w:id="79" w:name="X52dffc9e0c2fed9903b69d48df7cb1c75de7b1e"/>
    <w:p>
      <w:pPr>
        <w:pStyle w:val="Heading2"/>
      </w:pPr>
      <w:r>
        <w:t xml:space="preserve">Appendix C: The Productive Arbitrage Test checklist</w:t>
      </w:r>
    </w:p>
    <w:p>
      <w:pPr>
        <w:pStyle w:val="FirstParagraph"/>
      </w:pPr>
      <w:r>
        <w:rPr>
          <w:b/>
          <w:bCs/>
        </w:rPr>
        <w:t xml:space="preserve">Red lines (any</w:t>
      </w:r>
      <w:r>
        <w:rPr>
          <w:b/>
          <w:bCs/>
        </w:rPr>
        <w:t xml:space="preserve"> </w:t>
      </w:r>
      <w:r>
        <w:rPr>
          <w:b/>
          <w:bCs/>
        </w:rPr>
        <w:t xml:space="preserve">“</w:t>
      </w:r>
      <w:r>
        <w:rPr>
          <w:b/>
          <w:bCs/>
        </w:rPr>
        <w:t xml:space="preserve">yes</w:t>
      </w:r>
      <w:r>
        <w:rPr>
          <w:b/>
          <w:bCs/>
        </w:rPr>
        <w:t xml:space="preserve">”</w:t>
      </w:r>
      <w:r>
        <w:rPr>
          <w:b/>
          <w:bCs/>
        </w:rPr>
        <w:t xml:space="preserve"> </w:t>
      </w:r>
      <w:r>
        <w:rPr>
          <w:b/>
          <w:bCs/>
        </w:rPr>
        <w:t xml:space="preserve">disqualifies):</w:t>
      </w:r>
    </w:p>
    <w:p>
      <w:pPr>
        <w:pStyle w:val="Compact"/>
        <w:numPr>
          <w:ilvl w:val="0"/>
          <w:numId w:val="1064"/>
        </w:numPr>
      </w:pPr>
      <w:r>
        <w:t xml:space="preserve">☐ Does the venture depend on deceiving customers or impersonating anyone?</w:t>
      </w:r>
    </w:p>
    <w:p>
      <w:pPr>
        <w:pStyle w:val="Compact"/>
        <w:numPr>
          <w:ilvl w:val="0"/>
          <w:numId w:val="1064"/>
        </w:numPr>
      </w:pPr>
      <w:r>
        <w:t xml:space="preserve">☐ Does it use data, voices, likenesses or creative work without consent and fair terms?</w:t>
      </w:r>
    </w:p>
    <w:p>
      <w:pPr>
        <w:pStyle w:val="Compact"/>
        <w:numPr>
          <w:ilvl w:val="0"/>
          <w:numId w:val="1064"/>
        </w:numPr>
      </w:pPr>
      <w:r>
        <w:t xml:space="preserve">☐ Does it profit by evading rules that protect people?</w:t>
      </w:r>
    </w:p>
    <w:p>
      <w:pPr>
        <w:pStyle w:val="Compact"/>
        <w:numPr>
          <w:ilvl w:val="0"/>
          <w:numId w:val="1064"/>
        </w:numPr>
      </w:pPr>
      <w:r>
        <w:t xml:space="preserve">☐ Does it depend on paying the cheap side less than a fair wage or price, or on unsafe conditions?</w:t>
      </w:r>
    </w:p>
    <w:p>
      <w:pPr>
        <w:pStyle w:val="FirstParagraph"/>
      </w:pPr>
      <w:r>
        <w:rPr>
          <w:b/>
          <w:bCs/>
        </w:rPr>
        <w:t xml:space="preserve">Productivity questions (aim for at least four</w:t>
      </w:r>
      <w:r>
        <w:rPr>
          <w:b/>
          <w:bCs/>
        </w:rPr>
        <w:t xml:space="preserve"> </w:t>
      </w:r>
      <w:r>
        <w:rPr>
          <w:b/>
          <w:bCs/>
        </w:rPr>
        <w:t xml:space="preserve">“</w:t>
      </w:r>
      <w:r>
        <w:rPr>
          <w:b/>
          <w:bCs/>
        </w:rPr>
        <w:t xml:space="preserve">yes</w:t>
      </w:r>
      <w:r>
        <w:rPr>
          <w:b/>
          <w:bCs/>
        </w:rPr>
        <w:t xml:space="preserve">”</w:t>
      </w:r>
      <w:r>
        <w:rPr>
          <w:b/>
          <w:bCs/>
        </w:rPr>
        <w:t xml:space="preserve">):</w:t>
      </w:r>
    </w:p>
    <w:p>
      <w:pPr>
        <w:pStyle w:val="Compact"/>
        <w:numPr>
          <w:ilvl w:val="0"/>
          <w:numId w:val="1065"/>
        </w:numPr>
      </w:pPr>
      <w:r>
        <w:t xml:space="preserve">☐ Does it close a real gap for under-served people?</w:t>
      </w:r>
    </w:p>
    <w:p>
      <w:pPr>
        <w:pStyle w:val="Compact"/>
        <w:numPr>
          <w:ilvl w:val="0"/>
          <w:numId w:val="1065"/>
        </w:numPr>
      </w:pPr>
      <w:r>
        <w:t xml:space="preserve">☐ Does it create new capability, not just move money?</w:t>
      </w:r>
    </w:p>
    <w:p>
      <w:pPr>
        <w:pStyle w:val="Compact"/>
        <w:numPr>
          <w:ilvl w:val="0"/>
          <w:numId w:val="1065"/>
        </w:numPr>
      </w:pPr>
      <w:r>
        <w:t xml:space="preserve">☐ Would it survive in some form if the spread halved tomorrow?</w:t>
      </w:r>
    </w:p>
    <w:p>
      <w:pPr>
        <w:pStyle w:val="Compact"/>
        <w:numPr>
          <w:ilvl w:val="0"/>
          <w:numId w:val="1065"/>
        </w:numPr>
      </w:pPr>
      <w:r>
        <w:t xml:space="preserve">☐ Does it share the spread with the cheap side?</w:t>
      </w:r>
    </w:p>
    <w:p>
      <w:pPr>
        <w:pStyle w:val="Compact"/>
        <w:numPr>
          <w:ilvl w:val="0"/>
          <w:numId w:val="1065"/>
        </w:numPr>
      </w:pPr>
      <w:r>
        <w:t xml:space="preserve">☐ Will the gap be smaller in five years because the venture exists?</w:t>
      </w:r>
    </w:p>
    <w:bookmarkEnd w:id="79"/>
    <w:bookmarkStart w:id="98" w:name="appendix-d-sources-and-further-reading"/>
    <w:p>
      <w:pPr>
        <w:pStyle w:val="Heading2"/>
      </w:pPr>
      <w:r>
        <w:t xml:space="preserve">Appendix D: Sources and further reading</w:t>
      </w:r>
    </w:p>
    <w:p>
      <w:pPr>
        <w:pStyle w:val="FirstParagraph"/>
      </w:pPr>
      <w:r>
        <w:t xml:space="preserve">This volume builds on the sources in Volumes I and II. Additional sources:</w:t>
      </w:r>
    </w:p>
    <w:p>
      <w:pPr>
        <w:pStyle w:val="BodyText"/>
      </w:pPr>
      <w:r>
        <w:rPr>
          <w:b/>
          <w:bCs/>
        </w:rPr>
        <w:t xml:space="preserve">Evidence</w:t>
      </w:r>
    </w:p>
    <w:p>
      <w:pPr>
        <w:pStyle w:val="Compact"/>
        <w:numPr>
          <w:ilvl w:val="0"/>
          <w:numId w:val="1066"/>
        </w:numPr>
      </w:pPr>
      <w:r>
        <w:t xml:space="preserve">Stanford HAI,</w:t>
      </w:r>
      <w:r>
        <w:t xml:space="preserve"> </w:t>
      </w:r>
      <w:r>
        <w:rPr>
          <w:i/>
          <w:iCs/>
        </w:rPr>
        <w:t xml:space="preserve">AI Index Report 2025</w:t>
      </w:r>
      <w:r>
        <w:t xml:space="preserve">, as reported by</w:t>
      </w:r>
      <w:r>
        <w:t xml:space="preserve"> </w:t>
      </w:r>
      <w:hyperlink r:id="rId80">
        <w:r>
          <w:rPr>
            <w:rStyle w:val="Hyperlink"/>
          </w:rPr>
          <w:t xml:space="preserve">Tom’s Hardware</w:t>
        </w:r>
      </w:hyperlink>
      <w:r>
        <w:t xml:space="preserve"> </w:t>
      </w:r>
      <w:r>
        <w:t xml:space="preserve">and</w:t>
      </w:r>
      <w:r>
        <w:t xml:space="preserve"> </w:t>
      </w:r>
      <w:hyperlink r:id="rId81">
        <w:r>
          <w:rPr>
            <w:rStyle w:val="Hyperlink"/>
          </w:rPr>
          <w:t xml:space="preserve">The Journal</w:t>
        </w:r>
      </w:hyperlink>
    </w:p>
    <w:p>
      <w:pPr>
        <w:pStyle w:val="Compact"/>
        <w:numPr>
          <w:ilvl w:val="0"/>
          <w:numId w:val="1066"/>
        </w:numPr>
      </w:pPr>
      <w:r>
        <w:t xml:space="preserve">US Census Bureau,</w:t>
      </w:r>
      <w:r>
        <w:t xml:space="preserve"> </w:t>
      </w:r>
      <w:r>
        <w:rPr>
          <w:i/>
          <w:iCs/>
        </w:rPr>
        <w:t xml:space="preserve">Large Firms With at Least 20 Employees Biggest AI Users</w:t>
      </w:r>
      <w:r>
        <w:t xml:space="preserve"> </w:t>
      </w:r>
      <w:r>
        <w:t xml:space="preserve">(May 2026):</w:t>
      </w:r>
      <w:r>
        <w:t xml:space="preserve"> </w:t>
      </w:r>
      <w:hyperlink r:id="rId82">
        <w:r>
          <w:rPr>
            <w:rStyle w:val="Hyperlink"/>
          </w:rPr>
          <w:t xml:space="preserve">link</w:t>
        </w:r>
      </w:hyperlink>
    </w:p>
    <w:p>
      <w:pPr>
        <w:pStyle w:val="Compact"/>
        <w:numPr>
          <w:ilvl w:val="0"/>
          <w:numId w:val="1066"/>
        </w:numPr>
      </w:pPr>
      <w:r>
        <w:t xml:space="preserve">IntuitionLabs,</w:t>
      </w:r>
      <w:r>
        <w:t xml:space="preserve"> </w:t>
      </w:r>
      <w:r>
        <w:rPr>
          <w:i/>
          <w:iCs/>
        </w:rPr>
        <w:t xml:space="preserve">H100 Rental Prices Compared</w:t>
      </w:r>
      <w:r>
        <w:t xml:space="preserve"> </w:t>
      </w:r>
      <w:r>
        <w:t xml:space="preserve">(2026):</w:t>
      </w:r>
      <w:r>
        <w:t xml:space="preserve"> </w:t>
      </w:r>
      <w:hyperlink r:id="rId83">
        <w:r>
          <w:rPr>
            <w:rStyle w:val="Hyperlink"/>
          </w:rPr>
          <w:t xml:space="preserve">link</w:t>
        </w:r>
      </w:hyperlink>
      <w:r>
        <w:t xml:space="preserve">; Akash Network,</w:t>
      </w:r>
      <w:r>
        <w:t xml:space="preserve"> </w:t>
      </w:r>
      <w:r>
        <w:rPr>
          <w:i/>
          <w:iCs/>
        </w:rPr>
        <w:t xml:space="preserve">H100 rental price 2026</w:t>
      </w:r>
      <w:r>
        <w:t xml:space="preserve">:</w:t>
      </w:r>
      <w:r>
        <w:t xml:space="preserve"> </w:t>
      </w:r>
      <w:hyperlink r:id="rId84">
        <w:r>
          <w:rPr>
            <w:rStyle w:val="Hyperlink"/>
          </w:rPr>
          <w:t xml:space="preserve">link</w:t>
        </w:r>
      </w:hyperlink>
    </w:p>
    <w:p>
      <w:pPr>
        <w:pStyle w:val="Compact"/>
        <w:numPr>
          <w:ilvl w:val="0"/>
          <w:numId w:val="1066"/>
        </w:numPr>
      </w:pPr>
      <w:r>
        <w:t xml:space="preserve">World Bank Global Gas Flaring Tracker 2025, as reported by</w:t>
      </w:r>
      <w:r>
        <w:t xml:space="preserve"> </w:t>
      </w:r>
      <w:hyperlink r:id="rId85">
        <w:r>
          <w:rPr>
            <w:rStyle w:val="Hyperlink"/>
          </w:rPr>
          <w:t xml:space="preserve">Nairametrics</w:t>
        </w:r>
      </w:hyperlink>
      <w:r>
        <w:t xml:space="preserve"> </w:t>
      </w:r>
      <w:r>
        <w:t xml:space="preserve">and</w:t>
      </w:r>
      <w:r>
        <w:t xml:space="preserve"> </w:t>
      </w:r>
      <w:hyperlink r:id="rId86">
        <w:r>
          <w:rPr>
            <w:rStyle w:val="Hyperlink"/>
          </w:rPr>
          <w:t xml:space="preserve">The Guardian Nigeria</w:t>
        </w:r>
      </w:hyperlink>
    </w:p>
    <w:p>
      <w:pPr>
        <w:pStyle w:val="Compact"/>
        <w:numPr>
          <w:ilvl w:val="0"/>
          <w:numId w:val="1066"/>
        </w:numPr>
      </w:pPr>
      <w:r>
        <w:t xml:space="preserve">World Bank,</w:t>
      </w:r>
      <w:r>
        <w:t xml:space="preserve"> </w:t>
      </w:r>
      <w:r>
        <w:rPr>
          <w:i/>
          <w:iCs/>
        </w:rPr>
        <w:t xml:space="preserve">From chalkboards to chatbots: Transforming learning in Nigeria, one prompt at a time</w:t>
      </w:r>
      <w:r>
        <w:t xml:space="preserve">:</w:t>
      </w:r>
      <w:r>
        <w:t xml:space="preserve"> </w:t>
      </w:r>
      <w:hyperlink r:id="rId87">
        <w:r>
          <w:rPr>
            <w:rStyle w:val="Hyperlink"/>
          </w:rPr>
          <w:t xml:space="preserve">link</w:t>
        </w:r>
      </w:hyperlink>
      <w:r>
        <w:t xml:space="preserve">;</w:t>
      </w:r>
      <w:r>
        <w:t xml:space="preserve"> </w:t>
      </w:r>
      <w:r>
        <w:rPr>
          <w:i/>
          <w:iCs/>
        </w:rPr>
        <w:t xml:space="preserve">Addressing the learning crisis with generative AI</w:t>
      </w:r>
      <w:r>
        <w:t xml:space="preserve">:</w:t>
      </w:r>
      <w:r>
        <w:t xml:space="preserve"> </w:t>
      </w:r>
      <w:hyperlink r:id="rId88">
        <w:r>
          <w:rPr>
            <w:rStyle w:val="Hyperlink"/>
          </w:rPr>
          <w:t xml:space="preserve">link</w:t>
        </w:r>
      </w:hyperlink>
    </w:p>
    <w:p>
      <w:pPr>
        <w:pStyle w:val="Compact"/>
        <w:numPr>
          <w:ilvl w:val="0"/>
          <w:numId w:val="1066"/>
        </w:numPr>
      </w:pPr>
      <w:r>
        <w:t xml:space="preserve">Devex,</w:t>
      </w:r>
      <w:r>
        <w:t xml:space="preserve"> </w:t>
      </w:r>
      <w:r>
        <w:rPr>
          <w:i/>
          <w:iCs/>
        </w:rPr>
        <w:t xml:space="preserve">Opportunities to improve the future of skilled workforce</w:t>
      </w:r>
      <w:r>
        <w:t xml:space="preserve"> </w:t>
      </w:r>
      <w:r>
        <w:t xml:space="preserve">(IAEA radiology data):</w:t>
      </w:r>
      <w:r>
        <w:t xml:space="preserve"> </w:t>
      </w:r>
      <w:hyperlink r:id="rId89">
        <w:r>
          <w:rPr>
            <w:rStyle w:val="Hyperlink"/>
          </w:rPr>
          <w:t xml:space="preserve">link</w:t>
        </w:r>
      </w:hyperlink>
    </w:p>
    <w:p>
      <w:pPr>
        <w:pStyle w:val="Compact"/>
        <w:numPr>
          <w:ilvl w:val="0"/>
          <w:numId w:val="1066"/>
        </w:numPr>
      </w:pPr>
      <w:r>
        <w:t xml:space="preserve">Philstar,</w:t>
      </w:r>
      <w:r>
        <w:t xml:space="preserve"> </w:t>
      </w:r>
      <w:r>
        <w:rPr>
          <w:i/>
          <w:iCs/>
        </w:rPr>
        <w:t xml:space="preserve">Philippines BPO sector grows despite AI fears</w:t>
      </w:r>
      <w:r>
        <w:t xml:space="preserve"> </w:t>
      </w:r>
      <w:r>
        <w:t xml:space="preserve">(2026):</w:t>
      </w:r>
      <w:r>
        <w:t xml:space="preserve"> </w:t>
      </w:r>
      <w:hyperlink r:id="rId90">
        <w:r>
          <w:rPr>
            <w:rStyle w:val="Hyperlink"/>
          </w:rPr>
          <w:t xml:space="preserve">link</w:t>
        </w:r>
      </w:hyperlink>
      <w:r>
        <w:t xml:space="preserve">;</w:t>
      </w:r>
      <w:r>
        <w:t xml:space="preserve"> </w:t>
      </w:r>
      <w:r>
        <w:rPr>
          <w:i/>
          <w:iCs/>
        </w:rPr>
        <w:t xml:space="preserve">IT-BPM sector on track to hit $40 billion revenue goal</w:t>
      </w:r>
      <w:r>
        <w:t xml:space="preserve">:</w:t>
      </w:r>
      <w:r>
        <w:t xml:space="preserve"> </w:t>
      </w:r>
      <w:hyperlink r:id="rId91">
        <w:r>
          <w:rPr>
            <w:rStyle w:val="Hyperlink"/>
          </w:rPr>
          <w:t xml:space="preserve">link</w:t>
        </w:r>
      </w:hyperlink>
    </w:p>
    <w:p>
      <w:pPr>
        <w:pStyle w:val="Compact"/>
        <w:numPr>
          <w:ilvl w:val="0"/>
          <w:numId w:val="1066"/>
        </w:numPr>
      </w:pPr>
      <w:r>
        <w:t xml:space="preserve">Techpoint Africa,</w:t>
      </w:r>
      <w:r>
        <w:t xml:space="preserve"> </w:t>
      </w:r>
      <w:r>
        <w:rPr>
          <w:i/>
          <w:iCs/>
        </w:rPr>
        <w:t xml:space="preserve">Nigerian Tax Reform Acts</w:t>
      </w:r>
      <w:r>
        <w:t xml:space="preserve">:</w:t>
      </w:r>
      <w:r>
        <w:t xml:space="preserve"> </w:t>
      </w:r>
      <w:hyperlink r:id="rId92">
        <w:r>
          <w:rPr>
            <w:rStyle w:val="Hyperlink"/>
          </w:rPr>
          <w:t xml:space="preserve">link</w:t>
        </w:r>
      </w:hyperlink>
      <w:r>
        <w:t xml:space="preserve">; Nairametrics,</w:t>
      </w:r>
      <w:r>
        <w:t xml:space="preserve"> </w:t>
      </w:r>
      <w:r>
        <w:rPr>
          <w:i/>
          <w:iCs/>
        </w:rPr>
        <w:t xml:space="preserve">Nigeria Tax Act 2025: practical steps small businesses should take now</w:t>
      </w:r>
      <w:r>
        <w:t xml:space="preserve">:</w:t>
      </w:r>
      <w:r>
        <w:t xml:space="preserve"> </w:t>
      </w:r>
      <w:hyperlink r:id="rId93">
        <w:r>
          <w:rPr>
            <w:rStyle w:val="Hyperlink"/>
          </w:rPr>
          <w:t xml:space="preserve">link</w:t>
        </w:r>
      </w:hyperlink>
    </w:p>
    <w:p>
      <w:pPr>
        <w:pStyle w:val="Compact"/>
        <w:numPr>
          <w:ilvl w:val="0"/>
          <w:numId w:val="1066"/>
        </w:numPr>
      </w:pPr>
      <w:r>
        <w:t xml:space="preserve">Fieldfisher,</w:t>
      </w:r>
      <w:r>
        <w:t xml:space="preserve"> </w:t>
      </w:r>
      <w:r>
        <w:rPr>
          <w:i/>
          <w:iCs/>
        </w:rPr>
        <w:t xml:space="preserve">Delay in application of the EU Deforestation Regulation confirmed</w:t>
      </w:r>
      <w:r>
        <w:t xml:space="preserve">:</w:t>
      </w:r>
      <w:r>
        <w:t xml:space="preserve"> </w:t>
      </w:r>
      <w:hyperlink r:id="rId94">
        <w:r>
          <w:rPr>
            <w:rStyle w:val="Hyperlink"/>
          </w:rPr>
          <w:t xml:space="preserve">link</w:t>
        </w:r>
      </w:hyperlink>
      <w:r>
        <w:t xml:space="preserve">; VinciWorks,</w:t>
      </w:r>
      <w:r>
        <w:t xml:space="preserve"> </w:t>
      </w:r>
      <w:r>
        <w:rPr>
          <w:i/>
          <w:iCs/>
        </w:rPr>
        <w:t xml:space="preserve">EUDR delayed again</w:t>
      </w:r>
      <w:r>
        <w:t xml:space="preserve">:</w:t>
      </w:r>
      <w:r>
        <w:t xml:space="preserve"> </w:t>
      </w:r>
      <w:hyperlink r:id="rId95">
        <w:r>
          <w:rPr>
            <w:rStyle w:val="Hyperlink"/>
          </w:rPr>
          <w:t xml:space="preserve">link</w:t>
        </w:r>
      </w:hyperlink>
    </w:p>
    <w:p>
      <w:pPr>
        <w:pStyle w:val="Compact"/>
        <w:numPr>
          <w:ilvl w:val="0"/>
          <w:numId w:val="1066"/>
        </w:numPr>
      </w:pPr>
      <w:r>
        <w:t xml:space="preserve">Mondaq,</w:t>
      </w:r>
      <w:r>
        <w:t xml:space="preserve"> </w:t>
      </w:r>
      <w:r>
        <w:rPr>
          <w:i/>
          <w:iCs/>
        </w:rPr>
        <w:t xml:space="preserve">How the FCCPC’s 2025 DEON Regulation is reshaping Nigeria’s digital lending landscape</w:t>
      </w:r>
      <w:r>
        <w:t xml:space="preserve">:</w:t>
      </w:r>
      <w:r>
        <w:t xml:space="preserve"> </w:t>
      </w:r>
      <w:hyperlink r:id="rId96">
        <w:r>
          <w:rPr>
            <w:rStyle w:val="Hyperlink"/>
          </w:rPr>
          <w:t xml:space="preserve">link</w:t>
        </w:r>
      </w:hyperlink>
      <w:r>
        <w:t xml:space="preserve">; Nairametrics,</w:t>
      </w:r>
      <w:r>
        <w:t xml:space="preserve"> </w:t>
      </w:r>
      <w:r>
        <w:rPr>
          <w:i/>
          <w:iCs/>
        </w:rPr>
        <w:t xml:space="preserve">Loan apps: 521 companies now on FCCPC’s radar</w:t>
      </w:r>
      <w:r>
        <w:t xml:space="preserve">:</w:t>
      </w:r>
      <w:r>
        <w:t xml:space="preserve"> </w:t>
      </w:r>
      <w:hyperlink r:id="rId97">
        <w:r>
          <w:rPr>
            <w:rStyle w:val="Hyperlink"/>
          </w:rPr>
          <w:t xml:space="preserve">link</w:t>
        </w:r>
      </w:hyperlink>
    </w:p>
    <w:p>
      <w:pPr>
        <w:pStyle w:val="FirstParagraph"/>
      </w:pPr>
      <w:r>
        <w:rPr>
          <w:b/>
          <w:bCs/>
        </w:rPr>
        <w:t xml:space="preserve">Theory</w:t>
      </w:r>
    </w:p>
    <w:p>
      <w:pPr>
        <w:pStyle w:val="Compact"/>
        <w:numPr>
          <w:ilvl w:val="0"/>
          <w:numId w:val="1067"/>
        </w:numPr>
      </w:pPr>
      <w:r>
        <w:t xml:space="preserve">Baumol, W. (1990). Entrepreneurship: Productive, Unproductive, and Destructive.</w:t>
      </w:r>
      <w:r>
        <w:t xml:space="preserve"> </w:t>
      </w:r>
      <w:r>
        <w:rPr>
          <w:i/>
          <w:iCs/>
        </w:rPr>
        <w:t xml:space="preserve">Journal of Political Economy</w:t>
      </w:r>
      <w:r>
        <w:t xml:space="preserve"> </w:t>
      </w:r>
      <w:r>
        <w:t xml:space="preserve">98(5).</w:t>
      </w:r>
    </w:p>
    <w:p>
      <w:pPr>
        <w:pStyle w:val="Compact"/>
        <w:numPr>
          <w:ilvl w:val="0"/>
          <w:numId w:val="1067"/>
        </w:numPr>
      </w:pPr>
      <w:r>
        <w:t xml:space="preserve">Bloom, B. (1984). The 2 Sigma Problem.</w:t>
      </w:r>
      <w:r>
        <w:t xml:space="preserve"> </w:t>
      </w:r>
      <w:r>
        <w:rPr>
          <w:i/>
          <w:iCs/>
        </w:rPr>
        <w:t xml:space="preserve">Educational Researcher</w:t>
      </w:r>
      <w:r>
        <w:t xml:space="preserve"> </w:t>
      </w:r>
      <w:r>
        <w:t xml:space="preserve">13(6).</w:t>
      </w:r>
    </w:p>
    <w:p>
      <w:pPr>
        <w:pStyle w:val="Compact"/>
        <w:numPr>
          <w:ilvl w:val="0"/>
          <w:numId w:val="1067"/>
        </w:numPr>
      </w:pPr>
      <w:r>
        <w:t xml:space="preserve">Goldratt, E. (1984).</w:t>
      </w:r>
      <w:r>
        <w:t xml:space="preserve"> </w:t>
      </w:r>
      <w:r>
        <w:rPr>
          <w:i/>
          <w:iCs/>
        </w:rPr>
        <w:t xml:space="preserve">The Goal.</w:t>
      </w:r>
    </w:p>
    <w:p>
      <w:pPr>
        <w:pStyle w:val="Compact"/>
        <w:numPr>
          <w:ilvl w:val="0"/>
          <w:numId w:val="1067"/>
        </w:numPr>
      </w:pPr>
      <w:r>
        <w:t xml:space="preserve">Jevons, W.S. (1865).</w:t>
      </w:r>
      <w:r>
        <w:t xml:space="preserve"> </w:t>
      </w:r>
      <w:r>
        <w:rPr>
          <w:i/>
          <w:iCs/>
        </w:rPr>
        <w:t xml:space="preserve">The Coal Question.</w:t>
      </w:r>
    </w:p>
    <w:p>
      <w:pPr>
        <w:pStyle w:val="Compact"/>
        <w:numPr>
          <w:ilvl w:val="0"/>
          <w:numId w:val="1067"/>
        </w:numPr>
      </w:pPr>
      <w:r>
        <w:t xml:space="preserve">Kirzner, I. (1973).</w:t>
      </w:r>
      <w:r>
        <w:t xml:space="preserve"> </w:t>
      </w:r>
      <w:r>
        <w:rPr>
          <w:i/>
          <w:iCs/>
        </w:rPr>
        <w:t xml:space="preserve">Competition and Entrepreneurship.</w:t>
      </w:r>
    </w:p>
    <w:p>
      <w:pPr>
        <w:pStyle w:val="Compact"/>
        <w:numPr>
          <w:ilvl w:val="0"/>
          <w:numId w:val="1067"/>
        </w:numPr>
      </w:pPr>
      <w:r>
        <w:t xml:space="preserve">Moravec, H. (1988).</w:t>
      </w:r>
      <w:r>
        <w:t xml:space="preserve"> </w:t>
      </w:r>
      <w:r>
        <w:rPr>
          <w:i/>
          <w:iCs/>
        </w:rPr>
        <w:t xml:space="preserve">Mind Children.</w:t>
      </w:r>
    </w:p>
    <w:p>
      <w:pPr>
        <w:pStyle w:val="Compact"/>
        <w:numPr>
          <w:ilvl w:val="0"/>
          <w:numId w:val="1067"/>
        </w:numPr>
      </w:pPr>
      <w:r>
        <w:t xml:space="preserve">Ricardo, D. (1817).</w:t>
      </w:r>
      <w:r>
        <w:t xml:space="preserve"> </w:t>
      </w:r>
      <w:r>
        <w:rPr>
          <w:i/>
          <w:iCs/>
        </w:rPr>
        <w:t xml:space="preserve">On the Principles of Political Economy and Taxation.</w:t>
      </w:r>
    </w:p>
    <w:p>
      <w:pPr>
        <w:pStyle w:val="Compact"/>
        <w:numPr>
          <w:ilvl w:val="0"/>
          <w:numId w:val="1067"/>
        </w:numPr>
      </w:pPr>
      <w:r>
        <w:t xml:space="preserve">Aristotle.</w:t>
      </w:r>
      <w:r>
        <w:t xml:space="preserve"> </w:t>
      </w:r>
      <w:r>
        <w:rPr>
          <w:i/>
          <w:iCs/>
        </w:rPr>
        <w:t xml:space="preserve">Politics</w:t>
      </w:r>
      <w:r>
        <w:t xml:space="preserve">, Book I (on household management and wealth-getting).</w:t>
      </w:r>
    </w:p>
    <w:p>
      <w:pPr>
        <w:pStyle w:val="FirstParagraph"/>
      </w:pPr>
      <w:r>
        <w:rPr>
          <w:i/>
          <w:iCs/>
        </w:rPr>
        <w:t xml:space="preserve">This volume is a framework for exploration. Venture concepts are hypotheses to be tested with real users, communities and regulators, not investment, legal or financial advice.</w:t>
      </w:r>
    </w:p>
    <w:bookmarkEnd w:id="98"/>
    <w:bookmarkEnd w:id="99"/>
    <w:sectPr>
      <w:footerReference w:type="default" r:id="rIdFtr1"/>
      <w:pgSz w:w="12240" w:h="15840"/>
      <w:pgMar w:top="1440" w:right="1440" w:bottom="1440" w:left="1440"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BFBFBF"/>
      </w:pBdr>
      <w:tabs>
        <w:tab w:val="right" w:pos="9360"/>
      </w:tabs>
      <w:spacing w:after="0"/>
    </w:pPr>
    <w:r>
      <w:rPr>
        <w:color w:val="7F7F7F"/>
        <w:sz w:val="17"/>
      </w:rPr>
      <w:t xml:space="preserve">The Arbitrage Decagon · Volume III · Working paper, October 2026</w:t>
    </w:r>
    <w:r>
      <w:rPr>
        <w:color w:val="7F7F7F"/>
        <w:sz w:val="17"/>
      </w:rPr>
      <w:tab/>
    </w:r>
    <w:r>
      <w:rPr>
        <w:color w:val="7F7F7F"/>
        <w:sz w:val="17"/>
      </w:rPr>
      <w:fldChar w:fldCharType="begin"/>
    </w:r>
    <w:r>
      <w:rPr>
        <w:color w:val="7F7F7F"/>
        <w:sz w:val="17"/>
      </w:rPr>
      <w:instrText xml:space="preserve"> PAGE </w:instrText>
    </w:r>
    <w:r>
      <w:rPr>
        <w:color w:val="7F7F7F"/>
        <w:sz w:val="17"/>
      </w:rPr>
      <w:fldChar w:fldCharType="separate"/>
    </w:r>
    <w:r>
      <w:rPr>
        <w:color w:val="7F7F7F"/>
        <w:sz w:val="17"/>
      </w:rPr>
      <w:t>1</w:t>
    </w:r>
    <w:r>
      <w:rPr>
        <w:color w:val="7F7F7F"/>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GB"/>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4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pPr>
  </w:style>
  <w:style w:styleId="Title" w:type="paragraph">
    <w:name w:val="Title"/>
    <w:basedOn w:val="Normal"/>
    <w:next w:val="BodyText"/>
    <w:qFormat/>
    <w:pPr>
      <w:spacing w:after="160" w:before="2600"/>
    </w:pPr>
    <w:rPr>
      <w:rFonts w:ascii="Calibri" w:cs="Calibri" w:eastAsia="Calibri" w:hAnsi="Calibri"/>
      <w:b/>
      <w:color w:val="1F3864"/>
      <w:sz w:val="64"/>
      <w:szCs w:val="64"/>
    </w:rPr>
  </w:style>
  <w:style w:styleId="Subtitle" w:type="paragraph">
    <w:name w:val="Subtitle"/>
    <w:basedOn w:val="Normal"/>
    <w:next w:val="BodyText"/>
    <w:qFormat/>
    <w:pPr>
      <w:pBdr>
        <w:bottom w:color="2A5DA8" w:space="12" w:sz="12" w:val="single"/>
      </w:pBdr>
      <w:spacing w:after="480" w:before="0"/>
    </w:pPr>
    <w:rPr>
      <w:rFonts w:ascii="Calibri" w:cs="Calibri" w:eastAsia="Calibri" w:hAnsi="Calibri"/>
      <w:color w:val="2A5DA8"/>
      <w:sz w:val="34"/>
      <w:szCs w:val="3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2A5DA8" w:space="6" w:sz="8" w:val="single"/>
      </w:pBdr>
      <w:spacing w:after="240" w:before="0"/>
      <w:outlineLvl w:val="0"/>
    </w:pPr>
    <w:rPr>
      <w:rFonts w:ascii="Calibri" w:cs="Calibri" w:eastAsia="Calibri" w:hAnsi="Calibri"/>
      <w:b/>
      <w:bCs/>
      <w:color w:val="1F3864"/>
      <w:sz w:val="40"/>
      <w:szCs w:val="40"/>
    </w:rPr>
  </w:style>
  <w:style w:styleId="Heading2" w:type="paragraph">
    <w:name w:val="heading 2"/>
    <w:basedOn w:val="Normal"/>
    <w:next w:val="BodyText"/>
    <w:uiPriority w:val="9"/>
    <w:unhideWhenUsed/>
    <w:qFormat/>
    <w:pPr>
      <w:keepNext/>
      <w:keepLines/>
      <w:spacing w:after="120" w:before="360"/>
      <w:outlineLvl w:val="1"/>
    </w:pPr>
    <w:rPr>
      <w:rFonts w:ascii="Calibri" w:cs="Calibri" w:eastAsia="Calibri" w:hAnsi="Calibri"/>
      <w:b/>
      <w:bCs/>
      <w:color w:val="2A5DA8"/>
      <w:sz w:val="30"/>
      <w:szCs w:val="30"/>
    </w:rPr>
  </w:style>
  <w:style w:styleId="Heading3" w:type="paragraph">
    <w:name w:val="heading 3"/>
    <w:basedOn w:val="Normal"/>
    <w:next w:val="BodyText"/>
    <w:uiPriority w:val="9"/>
    <w:unhideWhenUsed/>
    <w:qFormat/>
    <w:pPr>
      <w:keepNext/>
      <w:keepLines/>
      <w:spacing w:after="100" w:before="280"/>
      <w:outlineLvl w:val="2"/>
    </w:pPr>
    <w:rPr>
      <w:rFonts w:ascii="Calibri" w:cs="Calibri" w:eastAsia="Calibri" w:hAnsi="Calibri"/>
      <w:b/>
      <w:bCs/>
      <w:color w:val="1F3864"/>
      <w:sz w:val="25"/>
      <w:szCs w:val="25"/>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2A5DA8" w:space="10" w:sz="24" w:val="single"/>
      </w:pBdr>
      <w:shd w:color="auto" w:fill="EEF3FA" w:val="clear"/>
      <w:spacing w:after="160" w:before="120"/>
      <w:ind w:left="300" w:right="120"/>
    </w:pPr>
    <w:rPr>
      <w:color w:val="1F386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qFormat/>
    <w:pPr>
      <w:spacing w:after="0" w:before="0"/>
    </w:pPr>
    <w:tblPr>
      <w:tblInd w:type="dxa" w:w="0"/>
      <w:tblBorders>
        <w:top w:color="A6A6A6" w:space="0" w:sz="4" w:val="single"/>
        <w:left w:color="A6A6A6" w:space="0" w:sz="4" w:val="single"/>
        <w:bottom w:color="A6A6A6" w:space="0" w:sz="4" w:val="single"/>
        <w:right w:color="A6A6A6" w:space="0" w:sz="4" w:val="single"/>
        <w:insideH w:color="BFBFBF" w:space="0" w:sz="4" w:val="single"/>
        <w:insideV w:color="BFBFBF" w:space="0" w:sz="4" w:val="single"/>
      </w:tblBorders>
      <w:tblCellMar>
        <w:top w:type="dxa" w:w="50"/>
        <w:left w:type="dxa" w:w="90"/>
        <w:bottom w:type="dxa" w:w="50"/>
        <w:right w:type="dxa" w:w="90"/>
      </w:tblCellMar>
    </w:tblPr>
    <w:tblStylePr w:type="firstRow">
      <w:rPr>
        <w:b/>
        <w:bCs/>
        <w:color w:val="1F3864"/>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pPr>
      <w:spacing w:after="280" w:before="60"/>
      <w:jc w:val="center"/>
    </w:pPr>
    <w:rPr>
      <w:i/>
      <w:color w:val="595959"/>
      <w:sz w:val="18"/>
      <w:szCs w:val="18"/>
    </w:rPr>
  </w:style>
  <w:style w:customStyle="1" w:styleId="Figure" w:type="paragraph">
    <w:name w:val="Figure"/>
    <w:basedOn w:val="Normal"/>
    <w:pPr>
      <w:jc w:val="center"/>
    </w:pPr>
  </w:style>
  <w:style w:customStyle="1" w:styleId="CaptionedFigure" w:type="paragraph">
    <w:name w:val="Captioned Figure"/>
    <w:basedOn w:val="Normal"/>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2A5DA8"/>
      <w:u w:val="single"/>
    </w:rPr>
  </w:style>
  <w:style w:styleId="TOCHeading" w:type="paragraph">
    <w:name w:val="TOC Heading"/>
    <w:basedOn w:val="Heading1"/>
    <w:next w:val="BodyText"/>
    <w:uiPriority w:val="39"/>
    <w:unhideWhenUsed/>
    <w:qFormat/>
    <w:pPr>
      <w:outlineLvl w:val="9"/>
    </w:pPr>
  </w:style>
  <w:style w:customStyle="1" w:styleId="TableText" w:type="paragraph">
    <w:name w:val="Table Text"/>
    <w:basedOn w:val="Normal"/>
    <w:qFormat/>
    <w:pPr>
      <w:spacing w:after="0" w:before="0" w:line="240" w:lineRule="auto"/>
    </w:pPr>
    <w:rPr>
      <w:sz w:val="18"/>
      <w:szCs w:val="18"/>
    </w:rPr>
  </w:style>
  <w:style w:customStyle="1" w:styleId="TitleDescriptor" w:type="paragraph">
    <w:name w:val="Title Descriptor"/>
    <w:basedOn w:val="Normal"/>
    <w:pPr>
      <w:spacing w:after="240" w:before="0"/>
    </w:pPr>
    <w:rPr>
      <w:i/>
      <w:color w:val="404040"/>
      <w:sz w:val="26"/>
      <w:szCs w:val="26"/>
    </w:rPr>
  </w:style>
  <w:style w:customStyle="1" w:styleId="TitleMeta" w:type="paragraph">
    <w:name w:val="Title Meta"/>
    <w:basedOn w:val="Normal"/>
    <w:pPr>
      <w:spacing w:after="1200" w:before="0"/>
    </w:pPr>
    <w:rPr>
      <w:color w:val="595959"/>
      <w:sz w:val="22"/>
      <w:szCs w:val="22"/>
    </w:rPr>
  </w:style>
  <w:style w:customStyle="1" w:styleId="TitleThesis" w:type="paragraph">
    <w:name w:val="Title Thesis"/>
    <w:basedOn w:val="Normal"/>
    <w:pPr>
      <w:pBdr>
        <w:left w:color="2A5DA8" w:space="10" w:sz="24" w:val="single"/>
      </w:pBdr>
      <w:shd w:color="auto" w:fill="EEF3FA" w:val="clear"/>
      <w:spacing w:after="120" w:before="0"/>
      <w:ind w:left="300"/>
    </w:pPr>
    <w:rPr>
      <w:color w:val="1F3864"/>
      <w:sz w:val="22"/>
      <w:szCs w:val="22"/>
    </w:rPr>
  </w:style>
  <w:style w:styleId="TOC1" w:type="paragraph">
    <w:name w:val="toc 1"/>
    <w:basedOn w:val="Normal"/>
    <w:next w:val="Normal"/>
    <w:uiPriority w:val="39"/>
    <w:unhideWhenUsed/>
    <w:pPr>
      <w:tabs>
        <w:tab w:leader="dot" w:pos="9360" w:val="right"/>
      </w:tabs>
      <w:spacing w:after="40" w:before="140"/>
    </w:pPr>
    <w:rPr>
      <w:b/>
      <w:color w:val="1F3864"/>
    </w:rPr>
  </w:style>
  <w:style w:styleId="TOC2" w:type="paragraph">
    <w:name w:val="toc 2"/>
    <w:basedOn w:val="Normal"/>
    <w:next w:val="Normal"/>
    <w:uiPriority w:val="39"/>
    <w:unhideWhenUsed/>
    <w:pPr>
      <w:tabs>
        <w:tab w:leader="dot" w:pos="9360" w:val="right"/>
      </w:tabs>
      <w:spacing w:after="20" w:before="0"/>
      <w:ind w:left="240"/>
    </w:pPr>
    <w:rPr>
      <w:sz w:val="20"/>
      <w:szCs w:val="20"/>
    </w:rPr>
  </w:style>
  <w:style w:styleId="TOC3" w:type="paragraph">
    <w:name w:val="toc 3"/>
    <w:basedOn w:val="Normal"/>
    <w:next w:val="Normal"/>
    <w:uiPriority w:val="39"/>
    <w:unhideWhenUsed/>
    <w:pPr>
      <w:tabs>
        <w:tab w:leader="dot" w:pos="9360" w:val="right"/>
      </w:tabs>
      <w:spacing w:after="20" w:before="0"/>
      <w:ind w:left="480"/>
    </w:pPr>
    <w:rPr>
      <w:i/>
      <w:sz w:val="19"/>
      <w:szCs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42" Target="media/rId42.png" /><Relationship Type="http://schemas.openxmlformats.org/officeDocument/2006/relationships/image" Id="rId65" Target="media/rId65.png" /><Relationship Type="http://schemas.openxmlformats.org/officeDocument/2006/relationships/hyperlink" Id="rId84" Target="https://akash.network/the-bid/h100-rental-price-2026-cost-per-hour/" TargetMode="External" /><Relationship Type="http://schemas.openxmlformats.org/officeDocument/2006/relationships/hyperlink" Id="rId88" Target="https://blogs.worldbank.org/en/developmenttalk/addressing-the-learning-crisis-with-generative-ai--lessons-from-" TargetMode="External" /><Relationship Type="http://schemas.openxmlformats.org/officeDocument/2006/relationships/hyperlink" Id="rId87" Target="https://blogs.worldbank.org/en/education/From-chalkboards-to-chatbots-Transforming-learning-in-Nigeria" TargetMode="External" /><Relationship Type="http://schemas.openxmlformats.org/officeDocument/2006/relationships/hyperlink" Id="rId82" Target="https://census.gov/library/stories/2026/05/ai-use-businesses.html" TargetMode="External" /><Relationship Type="http://schemas.openxmlformats.org/officeDocument/2006/relationships/hyperlink" Id="rId86" Target="https://guardian.ng/energy/nigerias-gas-flaring-surges-12-despite-oil-growth-report/" TargetMode="External" /><Relationship Type="http://schemas.openxmlformats.org/officeDocument/2006/relationships/hyperlink" Id="rId83" Target="https://intuitionlabs.ai/articles/h100-rental-prices-cloud-comparison" TargetMode="External" /><Relationship Type="http://schemas.openxmlformats.org/officeDocument/2006/relationships/hyperlink" Id="rId85" Target="https://nairametrics.com/2025/07/18/nigeria-records-second-highest-global-increase-in-gas-flaring-in-2024-world-bank/" TargetMode="External" /><Relationship Type="http://schemas.openxmlformats.org/officeDocument/2006/relationships/hyperlink" Id="rId97" Target="https://nairametrics.com/2026/01/07/loan-apps-521-companies-now-on-fccpcs-radar-as-january-deadline-lapses/" TargetMode="External" /><Relationship Type="http://schemas.openxmlformats.org/officeDocument/2006/relationships/hyperlink" Id="rId93" Target="https://nairametrics.com/2026/02/06/nigeria-tax-act-2025-practical-steps-small-businesses-should-take-now/" TargetMode="External" /><Relationship Type="http://schemas.openxmlformats.org/officeDocument/2006/relationships/hyperlink" Id="rId92" Target="https://techpoint.africa/guide/nigerian-tax-reform-acts/" TargetMode="External" /><Relationship Type="http://schemas.openxmlformats.org/officeDocument/2006/relationships/hyperlink" Id="rId81" Target="https://thejournal.com/Articles/2025/04/09/Stanford-2025-AI-Index-Reports-Surge-in-Adoption-Investment-and-Global-Impact.aspx?p=1" TargetMode="External" /><Relationship Type="http://schemas.openxmlformats.org/officeDocument/2006/relationships/hyperlink" Id="rId95" Target="https://vinciworks.com/blog/eudr-delayed-again-what-changed-what-is-now-fixed-and-what-businesses-should-do-in-2026/" TargetMode="External" /><Relationship Type="http://schemas.openxmlformats.org/officeDocument/2006/relationships/hyperlink" Id="rId89" Target="https://www.devex.com/news/opinion-opportunities-to-improve-the-future-of-skilled-workforce-109580" TargetMode="External" /><Relationship Type="http://schemas.openxmlformats.org/officeDocument/2006/relationships/hyperlink" Id="rId94" Target="https://www.fieldfisher.com/en-be/locations/belgium/insights/delay-in-application-of-the-eu-deforestation-regulation" TargetMode="External" /><Relationship Type="http://schemas.openxmlformats.org/officeDocument/2006/relationships/hyperlink" Id="rId96" Target="https://www.mondaq.com/nigeria/fin-tech/1699126/how-the-fccpcs-2025-deon-regulation-is-reshaping-nigerias-digital-lending-landscape" TargetMode="External" /><Relationship Type="http://schemas.openxmlformats.org/officeDocument/2006/relationships/hyperlink" Id="rId91" Target="https://www.philstar.com/business/2026/01/01/2498004/it-bpm-sector-track-hit-40-billion-revenue-goal" TargetMode="External" /><Relationship Type="http://schemas.openxmlformats.org/officeDocument/2006/relationships/hyperlink" Id="rId90" Target="https://www.philstar.com/nation/2026/06/13/2534925/philippines-bpo-sector-grows-4-168m-despite-ai-fears" TargetMode="External" /><Relationship Type="http://schemas.openxmlformats.org/officeDocument/2006/relationships/hyperlink" Id="rId80" Target="https://www.tomshardware.com/tech-industry/artificial-intelligence/ai-costs-drop-280-fold-but-harmful-incidents-rise-56-percent-in-last-year-stanford-2025-ai-report-highlights-china-us-competition" TargetMode="External" /><Relationship Id="rIdFt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84" Target="https://akash.network/the-bid/h100-rental-price-2026-cost-per-hour/" TargetMode="External" /><Relationship Type="http://schemas.openxmlformats.org/officeDocument/2006/relationships/hyperlink" Id="rId88" Target="https://blogs.worldbank.org/en/developmenttalk/addressing-the-learning-crisis-with-generative-ai--lessons-from-" TargetMode="External" /><Relationship Type="http://schemas.openxmlformats.org/officeDocument/2006/relationships/hyperlink" Id="rId87" Target="https://blogs.worldbank.org/en/education/From-chalkboards-to-chatbots-Transforming-learning-in-Nigeria" TargetMode="External" /><Relationship Type="http://schemas.openxmlformats.org/officeDocument/2006/relationships/hyperlink" Id="rId82" Target="https://census.gov/library/stories/2026/05/ai-use-businesses.html" TargetMode="External" /><Relationship Type="http://schemas.openxmlformats.org/officeDocument/2006/relationships/hyperlink" Id="rId86" Target="https://guardian.ng/energy/nigerias-gas-flaring-surges-12-despite-oil-growth-report/" TargetMode="External" /><Relationship Type="http://schemas.openxmlformats.org/officeDocument/2006/relationships/hyperlink" Id="rId83" Target="https://intuitionlabs.ai/articles/h100-rental-prices-cloud-comparison" TargetMode="External" /><Relationship Type="http://schemas.openxmlformats.org/officeDocument/2006/relationships/hyperlink" Id="rId85" Target="https://nairametrics.com/2025/07/18/nigeria-records-second-highest-global-increase-in-gas-flaring-in-2024-world-bank/" TargetMode="External" /><Relationship Type="http://schemas.openxmlformats.org/officeDocument/2006/relationships/hyperlink" Id="rId97" Target="https://nairametrics.com/2026/01/07/loan-apps-521-companies-now-on-fccpcs-radar-as-january-deadline-lapses/" TargetMode="External" /><Relationship Type="http://schemas.openxmlformats.org/officeDocument/2006/relationships/hyperlink" Id="rId93" Target="https://nairametrics.com/2026/02/06/nigeria-tax-act-2025-practical-steps-small-businesses-should-take-now/" TargetMode="External" /><Relationship Type="http://schemas.openxmlformats.org/officeDocument/2006/relationships/hyperlink" Id="rId92" Target="https://techpoint.africa/guide/nigerian-tax-reform-acts/" TargetMode="External" /><Relationship Type="http://schemas.openxmlformats.org/officeDocument/2006/relationships/hyperlink" Id="rId81" Target="https://thejournal.com/Articles/2025/04/09/Stanford-2025-AI-Index-Reports-Surge-in-Adoption-Investment-and-Global-Impact.aspx?p=1" TargetMode="External" /><Relationship Type="http://schemas.openxmlformats.org/officeDocument/2006/relationships/hyperlink" Id="rId95" Target="https://vinciworks.com/blog/eudr-delayed-again-what-changed-what-is-now-fixed-and-what-businesses-should-do-in-2026/" TargetMode="External" /><Relationship Type="http://schemas.openxmlformats.org/officeDocument/2006/relationships/hyperlink" Id="rId89" Target="https://www.devex.com/news/opinion-opportunities-to-improve-the-future-of-skilled-workforce-109580" TargetMode="External" /><Relationship Type="http://schemas.openxmlformats.org/officeDocument/2006/relationships/hyperlink" Id="rId94" Target="https://www.fieldfisher.com/en-be/locations/belgium/insights/delay-in-application-of-the-eu-deforestation-regulation" TargetMode="External" /><Relationship Type="http://schemas.openxmlformats.org/officeDocument/2006/relationships/hyperlink" Id="rId96" Target="https://www.mondaq.com/nigeria/fin-tech/1699126/how-the-fccpcs-2025-deon-regulation-is-reshaping-nigerias-digital-lending-landscape" TargetMode="External" /><Relationship Type="http://schemas.openxmlformats.org/officeDocument/2006/relationships/hyperlink" Id="rId91" Target="https://www.philstar.com/business/2026/01/01/2498004/it-bpm-sector-track-hit-40-billion-revenue-goal" TargetMode="External" /><Relationship Type="http://schemas.openxmlformats.org/officeDocument/2006/relationships/hyperlink" Id="rId90" Target="https://www.philstar.com/nation/2026/06/13/2534925/philippines-bpo-sector-grows-4-168m-despite-ai-fears" TargetMode="External" /><Relationship Type="http://schemas.openxmlformats.org/officeDocument/2006/relationships/hyperlink" Id="rId80" Target="https://www.tomshardware.com/tech-industry/artificial-intelligence/ai-costs-drop-280-fold-but-harmful-incidents-rise-56-percent-in-last-year-stanford-2025-ai-report-highlights-china-us-compet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2026-10-27T20:58:25Z</dcterms:created>
  <dcterms:modified xsi:type="dcterms:W3CDTF">2026-10-27T20:58:25Z</dcterms:modified>
</cp:coreProperties>
</file>

<file path=docProps/custom.xml><?xml version="1.0" encoding="utf-8"?>
<Properties xmlns="http://schemas.openxmlformats.org/officeDocument/2006/custom-properties" xmlns:vt="http://schemas.openxmlformats.org/officeDocument/2006/docPropsVTypes"/>
</file>