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Speaker Notes: Pipeline Mapping (Working 2)</w:t>
      </w:r>
    </w:p>
    <w:p>
      <w:r>
        <w:rPr>
          <w:i/>
          <w:sz w:val="20"/>
        </w:rPr>
        <w:t>MDPM 830 Data Pipeline, Step Two. Product: PRISM Furniture Request (prototype labelled WORTS 2). Miro frame: Working 2: Pipeline Stages and Data Ownership. Red cards on the board are Proposed or Open.</w:t>
      </w:r>
    </w:p>
    <w:p>
      <w:pPr>
        <w:spacing w:before="200" w:after="80"/>
      </w:pPr>
      <w:r>
        <w:rPr>
          <w:b/>
          <w:color w:val="0F3D3E"/>
          <w:sz w:val="26"/>
        </w:rPr>
        <w:t>1. Opening</w:t>
      </w:r>
    </w:p>
    <w:p>
      <w:pPr>
        <w:pStyle w:val="ListBullet"/>
      </w:pPr>
      <w:r>
        <w:t>This is Step Two: the pipeline from source to sink, using the five stages from Session Four.</w:t>
      </w:r>
    </w:p>
    <w:p>
      <w:pPr>
        <w:pStyle w:val="ListBullet"/>
      </w:pPr>
      <w:r>
        <w:t>Sources: the Working 1 source inventory and scope, the WORTS 2 prototype and our MDPM 883 requirements.</w:t>
      </w:r>
    </w:p>
    <w:p>
      <w:pPr>
        <w:pStyle w:val="ListBullet"/>
      </w:pPr>
      <w:r>
        <w:t>Red means Proposed (our suggestion) or Open (needs the client's confirmation).</w:t>
      </w:r>
    </w:p>
    <w:p>
      <w:pPr>
        <w:spacing w:before="200" w:after="80"/>
      </w:pPr>
      <w:r>
        <w:rPr>
          <w:b/>
          <w:color w:val="0F3D3E"/>
          <w:sz w:val="26"/>
        </w:rPr>
        <w:t>2. Scope and ownership</w:t>
      </w:r>
    </w:p>
    <w:p>
      <w:pPr>
        <w:pStyle w:val="ListBullet"/>
      </w:pPr>
      <w:r>
        <w:rPr>
          <w:b/>
        </w:rPr>
        <w:t>In scope:</w:t>
      </w:r>
      <w:r>
        <w:t xml:space="preserve"> submission, review and coordination, fulfilment and closure, visibility and reporting.</w:t>
      </w:r>
    </w:p>
    <w:p>
      <w:pPr>
        <w:pStyle w:val="ListBullet"/>
      </w:pPr>
      <w:r>
        <w:rPr>
          <w:b/>
        </w:rPr>
        <w:t>Out of scope:</w:t>
      </w:r>
      <w:r>
        <w:t xml:space="preserve"> other WORTS services, direct SnapTracker and OneGX/SAP integrations, historical migration, a vendor-facing workflow.</w:t>
      </w:r>
    </w:p>
    <w:p>
      <w:pPr>
        <w:pStyle w:val="ListBullet"/>
      </w:pPr>
      <w:r>
        <w:rPr>
          <w:b/>
        </w:rPr>
        <w:t>Ownership principle:</w:t>
      </w:r>
      <w:r>
        <w:t xml:space="preserve"> whoever enters data is not automatically accountable for its accuracy.</w:t>
      </w:r>
    </w:p>
    <w:p>
      <w:pPr>
        <w:pStyle w:val="ListBullet2"/>
      </w:pPr>
      <w:r>
        <w:t>The creator answers for what they state.</w:t>
      </w:r>
    </w:p>
    <w:p>
      <w:pPr>
        <w:pStyle w:val="ListBullet2"/>
      </w:pPr>
      <w:r>
        <w:t>The stage owner answers for the cleaning rules.</w:t>
      </w:r>
    </w:p>
    <w:p>
      <w:pPr>
        <w:pStyle w:val="ListBullet2"/>
      </w:pPr>
      <w:r>
        <w:t>The data owner answers for the record end to end.</w:t>
      </w:r>
    </w:p>
    <w:p>
      <w:pPr>
        <w:spacing w:before="200" w:after="80"/>
      </w:pPr>
      <w:r>
        <w:rPr>
          <w:b/>
          <w:color w:val="0F3D3E"/>
          <w:sz w:val="26"/>
        </w:rPr>
        <w:t>3. The five stages</w:t>
      </w:r>
    </w:p>
    <w:p>
      <w:pPr>
        <w:pStyle w:val="ListBullet"/>
      </w:pPr>
      <w:r>
        <w:rPr>
          <w:b/>
        </w:rPr>
        <w:t>Generate:</w:t>
      </w:r>
      <w:r>
        <w:t xml:space="preserve"> the need starts with the original requester and reaches the CMAC by Outlook shared inbox, Teams or phone. Much of it starts outside any system. The client's decision on the proposal is not captured.</w:t>
      </w:r>
    </w:p>
    <w:p>
      <w:pPr>
        <w:pStyle w:val="ListBullet"/>
      </w:pPr>
      <w:r>
        <w:rPr>
          <w:b/>
        </w:rPr>
        <w:t>Collect:</w:t>
      </w:r>
      <w:r>
        <w:t xml:space="preserve"> the CMAC submits through a guided four-step form; requester and building details are pre-filled from PRISM Core. The Work Order ID is the key. The request is kept as submitted (bronze). Updates sent by email, Teams or phone are lost unless re-entered.</w:t>
      </w:r>
    </w:p>
    <w:p>
      <w:pPr>
        <w:pStyle w:val="ListBullet"/>
      </w:pPr>
      <w:r>
        <w:rPr>
          <w:b/>
        </w:rPr>
        <w:t>Keep and Shape:</w:t>
      </w:r>
      <w:r>
        <w:t xml:space="preserve"> clean means one Work Order ID, one status from a standard list, a named owner, required fields complete, dates in true order and duplicates checked (silver). The prototype shows why: one request with two statuses, and events dated before submission. Owner: Open.</w:t>
      </w:r>
    </w:p>
    <w:p>
      <w:pPr>
        <w:pStyle w:val="ListBullet"/>
      </w:pPr>
      <w:r>
        <w:rPr>
          <w:b/>
        </w:rPr>
        <w:t>Store:</w:t>
      </w:r>
      <w:r>
        <w:t xml:space="preserve"> one auditable record; the original is never overwritten. Access is role-based. Retention follows the Government of Alberta records schedule (to confirm). Data owner: Open.</w:t>
      </w:r>
    </w:p>
    <w:p>
      <w:pPr>
        <w:pStyle w:val="ListBullet"/>
      </w:pPr>
      <w:r>
        <w:rPr>
          <w:b/>
        </w:rPr>
        <w:t>Use:</w:t>
      </w:r>
      <w:r>
        <w:t xml:space="preserve"> CMACs, coordinators and Infrastructure management. Product views read silver; management reports read gold. The rule that a CMAC sees only their own requests is Proposed.</w:t>
      </w:r>
    </w:p>
    <w:p>
      <w:pPr>
        <w:spacing w:before="200" w:after="80"/>
      </w:pPr>
      <w:r>
        <w:rPr>
          <w:b/>
          <w:color w:val="0F3D3E"/>
          <w:sz w:val="26"/>
        </w:rPr>
        <w:t>4. Arrows, sinks and the loop</w:t>
      </w:r>
    </w:p>
    <w:p>
      <w:pPr>
        <w:pStyle w:val="ListBullet"/>
      </w:pPr>
      <w:r>
        <w:t>Arrows show what moves: need, submitted request (bronze), clean linked request (silver), record with history, then status, events and aggregates (gold).</w:t>
      </w:r>
    </w:p>
    <w:p>
      <w:pPr>
        <w:pStyle w:val="ListBullet"/>
      </w:pPr>
      <w:r>
        <w:t>The return arrow: an incomplete request goes back to the CMAC.</w:t>
      </w:r>
    </w:p>
    <w:p>
      <w:pPr>
        <w:pStyle w:val="ListBullet"/>
      </w:pPr>
      <w:r>
        <w:t>Three kinds of sink: product, measurement and business value. Detail is in the Steps Three to Five frame.</w:t>
      </w:r>
    </w:p>
    <w:p>
      <w:pPr>
        <w:pStyle w:val="ListBullet"/>
      </w:pPr>
      <w:r>
        <w:t>The loop: using the product creates new data (stage-change times, messages, closure confirmations). It flows back into measurement and workflow changes.</w:t>
      </w:r>
    </w:p>
    <w:p>
      <w:pPr>
        <w:spacing w:before="200" w:after="80"/>
      </w:pPr>
      <w:r>
        <w:rPr>
          <w:b/>
          <w:color w:val="0F3D3E"/>
          <w:sz w:val="26"/>
        </w:rPr>
        <w:t>5. Governance (Part B)</w:t>
      </w:r>
    </w:p>
    <w:p>
      <w:pPr>
        <w:pStyle w:val="ListBullet"/>
      </w:pPr>
      <w:r>
        <w:t>At every hand-off we ask all five questions: authenticate, validate, monitor, mitigate, alarm.</w:t>
      </w:r>
    </w:p>
    <w:p>
      <w:pPr>
        <w:pStyle w:val="ListBullet"/>
      </w:pPr>
      <w:r>
        <w:t>Weakest point: monitoring from Generate to Collect. A need kept in email stays invisible (gap G1).</w:t>
      </w:r>
    </w:p>
    <w:p>
      <w:pPr>
        <w:pStyle w:val="ListBullet"/>
      </w:pPr>
      <w:r>
        <w:t>Red cells are our proposals and still need confirmation.</w:t>
      </w:r>
    </w:p>
    <w:p>
      <w:pPr>
        <w:spacing w:before="200" w:after="80"/>
      </w:pPr>
      <w:r>
        <w:rPr>
          <w:b/>
          <w:color w:val="0F3D3E"/>
          <w:sz w:val="26"/>
        </w:rPr>
        <w:t>6. Data lineage (Part C)</w:t>
      </w:r>
    </w:p>
    <w:p>
      <w:pPr>
        <w:pStyle w:val="ListBullet"/>
      </w:pPr>
      <w:r>
        <w:t>For each data element: where it is born, who enters it, who is accountable, its path and the sinks it reaches.</w:t>
      </w:r>
    </w:p>
    <w:p>
      <w:pPr>
        <w:pStyle w:val="ListBullet"/>
      </w:pPr>
      <w:r>
        <w:t>Example: building and address are born in PRISM Core and pre-filled; the PRISM Core owner is accountable (Open).</w:t>
      </w:r>
    </w:p>
    <w:p>
      <w:pPr>
        <w:pStyle w:val="ListBullet"/>
      </w:pPr>
      <w:r>
        <w:t>Coordinator update trace: an update sent only by email or Teams never reaches the record (gap G1).</w:t>
      </w:r>
    </w:p>
    <w:p>
      <w:pPr>
        <w:spacing w:before="200" w:after="80"/>
      </w:pPr>
      <w:r>
        <w:rPr>
          <w:b/>
          <w:color w:val="0F3D3E"/>
          <w:sz w:val="26"/>
        </w:rPr>
        <w:t>7. Open decisions (Part D)</w:t>
      </w:r>
    </w:p>
    <w:p>
      <w:pPr>
        <w:pStyle w:val="ListBullet"/>
      </w:pPr>
      <w:r>
        <w:t>Eight decisions to confirm with the client at Admin 3, 29 Oct.</w:t>
      </w:r>
    </w:p>
    <w:p>
      <w:pPr>
        <w:pStyle w:val="ListBullet"/>
      </w:pPr>
      <w:r>
        <w:t>The three that matter most: the Keep and Shape owner, the data owner for Store and the system of record.</w:t>
      </w:r>
    </w:p>
    <w:p>
      <w:pPr>
        <w:spacing w:before="200" w:after="80"/>
      </w:pPr>
      <w:r>
        <w:rPr>
          <w:b/>
          <w:color w:val="0F3D3E"/>
          <w:sz w:val="26"/>
        </w:rPr>
        <w:t>8. Close</w:t>
      </w:r>
    </w:p>
    <w:p>
      <w:pPr>
        <w:pStyle w:val="ListBullet"/>
      </w:pPr>
      <w:r>
        <w:t>This model feeds the rest of the assignment:</w:t>
      </w:r>
    </w:p>
    <w:p>
      <w:pPr>
        <w:pStyle w:val="ListBullet2"/>
      </w:pPr>
      <w:r>
        <w:t>Sinks go to Step Three.</w:t>
      </w:r>
    </w:p>
    <w:p>
      <w:pPr>
        <w:pStyle w:val="ListBullet2"/>
      </w:pPr>
      <w:r>
        <w:t>The loop goes to Step Four.</w:t>
      </w:r>
    </w:p>
    <w:p>
      <w:pPr>
        <w:pStyle w:val="ListBullet2"/>
      </w:pPr>
      <w:r>
        <w:t>Gaps G1 and G2 go to Step Five.</w:t>
      </w:r>
    </w:p>
    <w:p>
      <w:pPr>
        <w:pStyle w:val="ListBullet2"/>
      </w:pPr>
      <w:r>
        <w:t>Storage and access requirements go to the PRD and Milestone 3.</w:t>
      </w:r>
    </w:p>
    <w:p>
      <w:pPr>
        <w:pStyle w:val="ListBullet"/>
      </w:pPr>
      <w:r>
        <w:t>Part E is the session record, for reference only.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