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Assignment 2: Project Planning</w:t>
      </w:r>
    </w:p>
    <w:p>
      <w:pPr>
        <w:spacing w:line="480"/>
        <w:jc w:val="center"/>
      </w:pPr>
      <w:r>
        <w:rPr>
          <w:rFonts w:ascii="Times New Roman" w:cs="Times New Roman" w:eastAsia="Times New Roman" w:hAnsi="Times New Roman"/>
          <w:b/>
          <w:bCs/>
          <w:sz w:val="24"/>
          <w:szCs w:val="24"/>
        </w:rPr>
        <w:t xml:space="preserve">Launching a Food Truck in London, Ontario</w:t>
      </w:r>
    </w:p>
    <w:p>
      <w:pPr>
        <w:spacing w:line="480"/>
        <w:jc w:val="center"/>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Group 03 – SOW Enterprise</w:t>
      </w:r>
    </w:p>
    <w:p>
      <w:pPr>
        <w:spacing w:line="480"/>
        <w:jc w:val="center"/>
      </w:pPr>
      <w:r>
        <w:rPr>
          <w:rFonts w:ascii="Times New Roman" w:cs="Times New Roman" w:eastAsia="Times New Roman" w:hAnsi="Times New Roman"/>
          <w:sz w:val="24"/>
          <w:szCs w:val="24"/>
        </w:rPr>
        <w:t xml:space="preserve">Shah Masoom Kshitij (Project Manager), Adeniji Adekunle, Alain Rivera Sanchez, Himanshu Verma</w:t>
      </w:r>
    </w:p>
    <w:p>
      <w:pPr>
        <w:spacing w:line="480"/>
        <w:jc w:val="center"/>
      </w:pPr>
      <w:r>
        <w:rPr>
          <w:rFonts w:ascii="Times New Roman" w:cs="Times New Roman" w:eastAsia="Times New Roman" w:hAnsi="Times New Roman"/>
          <w:sz w:val="24"/>
          <w:szCs w:val="24"/>
        </w:rPr>
        <w:t xml:space="preserve">MGMT-6128-01OL-26F Project Management</w:t>
      </w:r>
    </w:p>
    <w:p>
      <w:pPr>
        <w:spacing w:line="480"/>
        <w:jc w:val="center"/>
      </w:pPr>
      <w:r>
        <w:rPr>
          <w:rFonts w:ascii="Times New Roman" w:cs="Times New Roman" w:eastAsia="Times New Roman" w:hAnsi="Times New Roman"/>
          <w:sz w:val="24"/>
          <w:szCs w:val="24"/>
        </w:rPr>
        <w:t xml:space="preserve">Fanshawe College</w:t>
      </w:r>
    </w:p>
    <w:p>
      <w:pPr>
        <w:spacing w:line="480"/>
        <w:jc w:val="center"/>
      </w:pPr>
      <w:r>
        <w:rPr>
          <w:rFonts w:ascii="Times New Roman" w:cs="Times New Roman" w:eastAsia="Times New Roman" w:hAnsi="Times New Roman"/>
          <w:sz w:val="24"/>
          <w:szCs w:val="24"/>
        </w:rPr>
        <w:t xml:space="preserve">[Instructor name]</w:t>
      </w:r>
    </w:p>
    <w:p>
      <w:pPr>
        <w:spacing w:line="480"/>
        <w:jc w:val="center"/>
      </w:pPr>
      <w:r>
        <w:rPr>
          <w:rFonts w:ascii="Times New Roman" w:cs="Times New Roman" w:eastAsia="Times New Roman" w:hAnsi="Times New Roman"/>
          <w:sz w:val="24"/>
          <w:szCs w:val="24"/>
        </w:rPr>
        <w:t xml:space="preserve">October 7, 2026</w:t>
      </w:r>
    </w:p>
    <w:p>
      <w:r>
        <w:br w:type="page"/>
      </w:r>
    </w:p>
    <w:p>
      <w:pPr>
        <w:spacing w:line="480"/>
        <w:jc w:val="center"/>
      </w:pPr>
      <w:r>
        <w:rPr>
          <w:rFonts w:ascii="Times New Roman" w:cs="Times New Roman" w:eastAsia="Times New Roman" w:hAnsi="Times New Roman"/>
          <w:b/>
          <w:bCs/>
          <w:sz w:val="24"/>
          <w:szCs w:val="24"/>
        </w:rPr>
        <w:t xml:space="preserve">Assignment 2: Project Planning – Launching a Food Truck in London, Ontario</w:t>
      </w:r>
    </w:p>
    <w:p>
      <w:pPr>
        <w:keepNext/>
        <w:spacing w:line="480"/>
      </w:pPr>
      <w:r>
        <w:rPr>
          <w:rFonts w:ascii="Times New Roman" w:cs="Times New Roman" w:eastAsia="Times New Roman" w:hAnsi="Times New Roman"/>
          <w:b/>
          <w:bCs/>
          <w:sz w:val="24"/>
          <w:szCs w:val="24"/>
        </w:rPr>
        <w:t xml:space="preserve">Planning Basis</w:t>
      </w:r>
    </w:p>
    <w:p>
      <w:pPr>
        <w:spacing w:after="0" w:before="0" w:line="480"/>
        <w:ind w:firstLine="720"/>
      </w:pPr>
      <w:r>
        <w:rPr>
          <w:rFonts w:ascii="Times New Roman" w:cs="Times New Roman" w:eastAsia="Times New Roman" w:hAnsi="Times New Roman"/>
          <w:sz w:val="24"/>
          <w:szCs w:val="24"/>
        </w:rPr>
        <w:t xml:space="preserve">This report presents the planning deliverables for SOW Enterprise’s project to launch a food truck service in London, Ontario. It builds on the Statement of Work approved in Assignment 1, which set a 14-week window from September 8 to December 21, 2026, nine milestones, and a budget approach (Group 03, 2026a). Following the Project Management Institute’s (PMI, 2021) planning guidance, the project scope was decomposed into a work breakdown structure (WBS), the deliverables were sequenced with a precedence network, and durations were applied to produce a Gantt chart, milestone plan, and critical path.</w:t>
      </w:r>
    </w:p>
    <w:p>
      <w:pPr>
        <w:spacing w:after="0" w:before="0" w:line="480"/>
        <w:ind w:firstLine="720"/>
      </w:pPr>
      <w:r>
        <w:rPr>
          <w:rFonts w:ascii="Times New Roman" w:cs="Times New Roman" w:eastAsia="Times New Roman" w:hAnsi="Times New Roman"/>
          <w:sz w:val="24"/>
          <w:szCs w:val="24"/>
        </w:rPr>
        <w:t xml:space="preserve">The WBS reuses the group’s Assignment 1 activity list and interdependency analysis (Group 03, 2026b, 2026c). The 20 numbered activities from that list are retained and are cross-referenced in Table 1, so the activity numbers in the network and Gantt chart trace directly back to the earlier work.</w:t>
      </w:r>
    </w:p>
    <w:p>
      <w:pPr>
        <w:keepNext/>
        <w:spacing w:line="480"/>
        <w:jc w:val="center"/>
      </w:pPr>
      <w:r>
        <w:rPr>
          <w:rFonts w:ascii="Times New Roman" w:cs="Times New Roman" w:eastAsia="Times New Roman" w:hAnsi="Times New Roman"/>
          <w:b/>
          <w:bCs/>
          <w:sz w:val="24"/>
          <w:szCs w:val="24"/>
        </w:rPr>
        <w:t xml:space="preserve">Work Breakdown Structure</w:t>
      </w:r>
    </w:p>
    <w:p>
      <w:pPr>
        <w:spacing w:after="0" w:before="0" w:line="480"/>
        <w:ind w:firstLine="720"/>
      </w:pPr>
      <w:r>
        <w:rPr>
          <w:rFonts w:ascii="Times New Roman" w:cs="Times New Roman" w:eastAsia="Times New Roman" w:hAnsi="Times New Roman"/>
          <w:sz w:val="24"/>
          <w:szCs w:val="24"/>
        </w:rPr>
        <w:t xml:space="preserve">A WBS is a hierarchical decomposition of the total scope of work, and each lower level describes the work in more detail (PMI, 2019). The project WBS has three levels: the project (level 1), nine control accounts (level 2), and 22 deliverables (level 3). Every element carries a unique WBS code, and every deliverable is written as an outcome (a noun phrase) rather than an action. The 22 deliverables exceed the 20 required. Figure 1 shows the hierarchy and Table 1 is the WBS dictionary.</w:t>
      </w:r>
    </w:p>
    <w:p>
      <w:pPr>
        <w:spacing w:after="0" w:before="0" w:line="480"/>
        <w:ind w:firstLine="720"/>
      </w:pPr>
      <w:r>
        <w:rPr>
          <w:rFonts w:ascii="Times New Roman" w:cs="Times New Roman" w:eastAsia="Times New Roman" w:hAnsi="Times New Roman"/>
          <w:sz w:val="24"/>
          <w:szCs w:val="24"/>
        </w:rPr>
        <w:t xml:space="preserve">The WBS follows the 100% rule: the nine high-level deliverables in the Statement of Work map completely to it. Concept maps to 1.1.1, permits and approvals to 1.2, locations and events to 1.8, the purchased and fitted-out truck to 1.3 and 1.4, branding to 1.7.1, menu and pricing to 1.5.1, staffing and operating methods to 1.6, marketing and launch to 1.7.2, and the pilot and handover to 1.9 (Group 03, 2026a). Only the 22 level-3 deliverables carry durations and links; the level-1 and level-2 elements are summaries.</w:t>
      </w:r>
    </w:p>
    <w:p>
      <w:pPr>
        <w:keepNext/>
        <w:spacing w:before="120" w:line="276"/>
      </w:pPr>
      <w:r>
        <w:rPr>
          <w:rFonts w:ascii="Times New Roman" w:cs="Times New Roman" w:eastAsia="Times New Roman" w:hAnsi="Times New Roman"/>
          <w:b/>
          <w:bCs/>
          <w:sz w:val="24"/>
          <w:szCs w:val="24"/>
        </w:rPr>
        <w:t xml:space="preserve">Figure 1</w:t>
      </w:r>
    </w:p>
    <w:p>
      <w:pPr>
        <w:keepNext/>
        <w:spacing w:after="80" w:line="276"/>
      </w:pPr>
      <w:r>
        <w:rPr>
          <w:rFonts w:ascii="Times New Roman" w:cs="Times New Roman" w:eastAsia="Times New Roman" w:hAnsi="Times New Roman"/>
          <w:i/>
          <w:iCs/>
          <w:sz w:val="24"/>
          <w:szCs w:val="24"/>
        </w:rPr>
        <w:t xml:space="preserve">Work Breakdown Structure</w:t>
      </w:r>
    </w:p>
    <w:p>
      <w:pPr>
        <w:jc w:val="center"/>
      </w:pPr>
      <w:r>
        <w:drawing>
          <wp:inline distT="0" distB="0" distL="0" distR="0">
            <wp:extent cx="4572000" cy="5229225"/>
            <wp:effectExtent t="0" r="0" b="0" l="0"/>
            <wp:docPr id="1" name="wbs.png" descr="wbs.png" title="w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229225"/>
                    </a:xfrm>
                    <a:prstGeom prst="rect">
                      <a:avLst/>
                    </a:prstGeom>
                  </pic:spPr>
                </pic:pic>
              </a:graphicData>
            </a:graphic>
          </wp:inline>
        </w:drawing>
      </w:r>
    </w:p>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Level 3 elements are the schedulable deliverables. Codes follow the Gantt chart outline in Figure 3.</w:t>
      </w:r>
    </w:p>
    <w:p>
      <w:pPr>
        <w:keepNext/>
        <w:spacing w:before="120" w:line="276"/>
      </w:pPr>
      <w:r>
        <w:rPr>
          <w:rFonts w:ascii="Times New Roman" w:cs="Times New Roman" w:eastAsia="Times New Roman" w:hAnsi="Times New Roman"/>
          <w:b/>
          <w:bCs/>
          <w:sz w:val="24"/>
          <w:szCs w:val="24"/>
        </w:rPr>
        <w:t xml:space="preserve">Table 1</w:t>
      </w:r>
    </w:p>
    <w:p>
      <w:pPr>
        <w:keepNext/>
        <w:spacing w:after="80" w:line="276"/>
      </w:pPr>
      <w:r>
        <w:rPr>
          <w:rFonts w:ascii="Times New Roman" w:cs="Times New Roman" w:eastAsia="Times New Roman" w:hAnsi="Times New Roman"/>
          <w:i/>
          <w:iCs/>
          <w:sz w:val="24"/>
          <w:szCs w:val="24"/>
        </w:rPr>
        <w:t xml:space="preserve">WBS Dictionary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4960"/>
        <w:gridCol w:w="110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 code</w:t>
            </w:r>
          </w:p>
        </w:tc>
        <w:tc>
          <w:tcPr>
            <w:tcW w:type="dxa" w:w="2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Included outputs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Source</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1.1</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Project definition and planning</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Target customers, food offer, service style and event operating model.</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SOW</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Objectives, scope, SOW, budget baseline, schedule baseline and team responsibilities.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SOW</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1.2</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Permits, licences and compliance</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Applicable municipal, health, fire, insurance, towing and event requirements.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Required approvals and inspection evidence for the fitted mobile unit.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2</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compliance documentation package</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Applicable certifications, safety records, coverage evidence and event documents.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3</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1.3</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Food trailer infrastructure and fit-out</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Suitable concession trailer and required cooking, refrigeration, storage and service equipment.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4</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Kitchen workflow, equipment positions, storage, service access and safe staff movement.</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5</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Cooking and cold-holding equipment, work surfaces, sinks, shelving and service counter.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6</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utilities and safety systems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Water, wastewater, power, propane, ventilation and fire protection systems.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7</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1.4</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Technology and payment systems</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Procured POS and technology package</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Required ordering and payment hardware, connectivity and software subscriptions.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8</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Configured POS and network</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hardware, network connections, user access, payment settings and order routing.</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Loaded menu and verified transaction flow</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and pricing loaded; order routing, payments, loyalty, gift cards and contingencies tested.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10</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1.5</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Menu, supply and inventory</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menu and pricing plan</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Food, beverages, modifiers, prices, ingredient needs and food-cost estimates.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11</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Demand forecasting, supplier and restaurant production arrangements, loading quantities and inventory returns.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12</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1.6</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Staffing and operating logistics</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Qualified and trained staffing plan</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Assigned roles, staffing levels, backup coverage and training in food preparation, service and payments.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13</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Transport and operating procedures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Towing, loading, setup, opening, service, closing, teardown and return procedures.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14</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1.7</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Branding, marketing and booking channels</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Completed branding and customer materials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Exterior graphics, signage, menu displays, printed menus and event materials.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15</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Launch promotion and booking channels</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Website profile, event request form, social posts, launch announcements and booking promotion.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16</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1.8</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Locations and event planning</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Event and catering opportunity pipeline</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Suitable venues, festivals, markets, private events, applications and potential partners.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17</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Booking calendar and pilot event plan</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Confirmed pilot arrangements, calendar, event requirements, inventory, staffing and transport coordination.</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18</w:t>
            </w:r>
          </w:p>
        </w:tc>
      </w:tr>
      <w:tr>
        <w:trPr>
          <w:cantSplit/>
        </w:trPr>
        <w:tc>
          <w:tcPr>
            <w:tcW w:type="dxa" w:w="8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1.9</w:t>
            </w:r>
          </w:p>
        </w:tc>
        <w:tc>
          <w:tcPr>
            <w:tcW w:type="dxa" w:w="25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Pilot launch and operational handover</w:t>
            </w:r>
          </w:p>
        </w:tc>
        <w:tc>
          <w:tcPr>
            <w:tcW w:type="dxa" w:w="496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c>
          <w:tcPr>
            <w:tcW w:type="dxa" w:w="1100"/>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keepNext/>
              <w:spacing w:line="240"/>
              <w:jc w:val="left"/>
            </w:pPr>
            <w:r>
              <w:rPr>
                <w:rFonts w:ascii="Times New Roman" w:cs="Times New Roman" w:eastAsia="Times New Roman" w:hAnsi="Times New Roman"/>
                <w:b/>
                <w:bCs/>
                <w:sz w:val="19"/>
                <w:szCs w:val="19"/>
              </w:rPr>
              <w:t xml:space="preserve"/>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Integrated testing, readiness review, pilot service, customer feedback and issue records.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19</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Resolved issues, retesting, final procedures, lessons learned, launch approval and handover records.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Act. 20</w:t>
            </w:r>
          </w:p>
        </w:tc>
      </w:tr>
    </w:tbl>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Source refers to the numbered activity in the group’s activity list (Group 03, 2026b) or to the Statement of Work (SOW) phase. Outputs are drawn from the group’s WBS (Group 03, 2026c).</w:t>
      </w:r>
    </w:p>
    <w:p>
      <w:pPr>
        <w:sectPr>
          <w:headerReference w:type="default" r:id="rId7"/>
          <w:pgSz w:w="12240" w:h="15840" w:orient="portrait"/>
          <w:pgMar w:top="1440" w:right="1440" w:bottom="1440" w:left="1440" w:header="720" w:footer="708" w:gutter="0"/>
          <w:pgNumType/>
          <w:docGrid w:linePitch="360"/>
        </w:sectPr>
      </w:pPr>
    </w:p>
    <w:p>
      <w:pPr>
        <w:keepNext/>
        <w:spacing w:line="480"/>
        <w:jc w:val="center"/>
      </w:pPr>
      <w:r>
        <w:rPr>
          <w:rFonts w:ascii="Times New Roman" w:cs="Times New Roman" w:eastAsia="Times New Roman" w:hAnsi="Times New Roman"/>
          <w:b/>
          <w:bCs/>
          <w:sz w:val="24"/>
          <w:szCs w:val="24"/>
        </w:rPr>
        <w:t xml:space="preserve">Network Diagram</w:t>
      </w:r>
    </w:p>
    <w:p>
      <w:pPr>
        <w:spacing w:after="0" w:before="0" w:line="480"/>
        <w:ind w:firstLine="720"/>
      </w:pPr>
      <w:r>
        <w:rPr>
          <w:rFonts w:ascii="Times New Roman" w:cs="Times New Roman" w:eastAsia="Times New Roman" w:hAnsi="Times New Roman"/>
          <w:sz w:val="24"/>
          <w:szCs w:val="24"/>
        </w:rPr>
        <w:t xml:space="preserve">The network diagram uses the precedence diagramming method (PMI, 2021). It has one Start node, the 22 WBS deliverables, and one End node, and no node was added or removed relative to the WBS. Each node shows the WBS code, deliverable, duration, early start and finish dates, and total float; red nodes and links are the critical path. Most links are finish-to-start (FS). The “partial” dependencies identified in Assignment 1 (for example, technology procurement can begin before the layout is final) are modelled as start-to-start (SS) or finish-to-finish (FF) links with a lag in working days. Table 2 lists every link and its rationale.</w:t>
      </w:r>
    </w:p>
    <w:p>
      <w:pPr>
        <w:spacing w:after="0" w:before="0" w:line="480"/>
        <w:ind w:firstLine="720"/>
      </w:pPr>
      <w:r>
        <w:rPr>
          <w:rFonts w:ascii="Times New Roman" w:cs="Times New Roman" w:eastAsia="Times New Roman" w:hAnsi="Times New Roman"/>
          <w:sz w:val="24"/>
          <w:szCs w:val="24"/>
        </w:rPr>
        <w:t xml:space="preserve">Links already implied by a longer chain are omitted so the diagram stays readable; for example, 1.2.1 → 1.3.2 is implied through 1.3.1. The only deliverable without a predecessor is 1.1.1, which follows Start, and the only deliverable without a successor is 1.9.2, which leads to End; every other deliverable reaches End through 1.9.1. Milestones M1–M9 are shown as tags on the deliverable that triggers them rather than as separate nodes.</w:t>
      </w:r>
    </w:p>
    <w:p>
      <w:r>
        <w:br w:type="page"/>
      </w:r>
    </w:p>
    <w:p>
      <w:pPr>
        <w:keepNext/>
        <w:spacing w:before="120" w:line="276"/>
      </w:pPr>
      <w:r>
        <w:rPr>
          <w:rFonts w:ascii="Times New Roman" w:cs="Times New Roman" w:eastAsia="Times New Roman" w:hAnsi="Times New Roman"/>
          <w:b/>
          <w:bCs/>
          <w:sz w:val="24"/>
          <w:szCs w:val="24"/>
        </w:rPr>
        <w:t xml:space="preserve">Figure 2</w:t>
      </w:r>
    </w:p>
    <w:p>
      <w:pPr>
        <w:keepNext/>
        <w:spacing w:after="80" w:line="276"/>
      </w:pPr>
      <w:r>
        <w:rPr>
          <w:rFonts w:ascii="Times New Roman" w:cs="Times New Roman" w:eastAsia="Times New Roman" w:hAnsi="Times New Roman"/>
          <w:i/>
          <w:iCs/>
          <w:sz w:val="24"/>
          <w:szCs w:val="24"/>
        </w:rPr>
        <w:t xml:space="preserve">Network Diagram of the Food Truck Project Deliverables</w:t>
      </w:r>
    </w:p>
    <w:p>
      <w:pPr>
        <w:jc w:val="center"/>
      </w:pPr>
      <w:r>
        <w:drawing>
          <wp:inline distT="0" distB="0" distL="0" distR="0">
            <wp:extent cx="6219825" cy="8324850"/>
            <wp:effectExtent t="0" r="0" b="0" l="0"/>
            <wp:docPr id="1" name="network.png" descr="network.png" title="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8324850"/>
                    </a:xfrm>
                    <a:prstGeom prst="rect">
                      <a:avLst/>
                    </a:prstGeom>
                  </pic:spPr>
                </pic:pic>
              </a:graphicData>
            </a:graphic>
          </wp:inline>
        </w:drawing>
      </w:r>
    </w:p>
    <w:p>
      <w:pPr>
        <w:sectPr>
          <w:headerReference w:type="default" r:id="rId8"/>
          <w:pgSz w:w="12240" w:h="15840" w:orient="portrait"/>
          <w:pgMar w:top="1000" w:right="1224" w:bottom="600" w:left="1224" w:header="50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Table 2</w:t>
      </w:r>
    </w:p>
    <w:p>
      <w:pPr>
        <w:keepNext/>
        <w:spacing w:after="80" w:line="276"/>
      </w:pPr>
      <w:r>
        <w:rPr>
          <w:rFonts w:ascii="Times New Roman" w:cs="Times New Roman" w:eastAsia="Times New Roman" w:hAnsi="Times New Roman"/>
          <w:i/>
          <w:iCs/>
          <w:sz w:val="24"/>
          <w:szCs w:val="24"/>
        </w:rPr>
        <w:t xml:space="preserve">Dependencies Between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1700"/>
        <w:gridCol w:w="416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 code</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Predecessor(s)</w:t>
            </w:r>
          </w:p>
        </w:tc>
        <w:tc>
          <w:tcPr>
            <w:tcW w:type="dxa" w:w="4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Rationale</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Start</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Starting point; every other deliverable depends on an approved concept.</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Scope, budget and schedule baselines require the approved concept.</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Regulatory requirements are validated against the approved plan before purchases are made.</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and equipment must reflect the validated requirements.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The layout depends on the actual trailer and equipment selected.</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Equipment and fixtures are installed according to the approved layout.</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utilities and safety systems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Utilities, propane, ventilation and fire systems follow the approved layout.</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1.3.3, 1.3.4</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Final trailer approvals and inspections require the equipment and safety systems to be installed.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Procured POS and technology package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SS+2 d</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Technology procurement can begin shortly after layout work starts (partial dependency, SS+2 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menu and pricing plan</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 1.3.1 SS+3 d</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follows validated requirements; it starts three days into trailer acquisition (partial dependency, SS+3 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Configured POS and network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1.3.4, 1.4.1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POS and network installation needs the technology package and electrical readiness.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Loaded menu and verified transaction flow</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1.4.2, 1.5.1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The menu is loaded and tested only after the POS is configured and the menu is approved.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Supply and inventory planning depends on the approved menu.</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Transport and operating procedures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1.3.3 FF, 1.3.4 FF</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Procedures are drafted once the layout is approved and finalised when installation finishes (FF).</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Qualified and trained staffing plan</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 1.6.2 SS+3 d</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Staffing follows the approved menu and starts three days into procedure development (SS+3 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1.2.3</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compliance documentation package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 SS+5 d</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Compliance documents are verified as staffing profiles take shape (SS+5 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Completed branding and customer materials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 1.5.1 FF</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Branding needs the approved layout (service windows) and cannot finish before the menu display content (FF).</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Launch promotion and booking channels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1.7.1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Promotion and booking channels reflect the finished branding.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Event and catering opportunity pipeline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Commercial outreach starts once operating requirements and constraints are validated.</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1.8.2</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Booking calendar and pilot event plan</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1.5.2, 1.6.1, 1.6.2, 1.8.1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The event calendar needs the supply, staffing, logistics and opportunity-pipeline plans.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1.2.2, 1.2.3, 1.4.3, 1.7.2, 1.8.2</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The pilot is the integration point: infrastructure, compliance, POS, staffing, marketing and events must be ready.</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2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1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416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Handover follows pilot results, corrective actions and retesting.</w:t>
            </w:r>
          </w:p>
        </w:tc>
      </w:tr>
    </w:tbl>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FS links have no suffix; SS = start-to-start; FF = finish-to-finish; +n d = lag in working days. Shaded rows are on the critical path. After handover, the recurring event cycle (opportunity, booking, forecast, staffing, logistics, operation, teardown, review) described in Group 03 (2026b) continues as operations and is outside this project network.</w:t>
      </w:r>
    </w:p>
    <w:p>
      <w:pPr>
        <w:sectPr>
          <w:headerReference w:type="default" r:id="rId9"/>
          <w:pgSz w:w="12240" w:h="15840" w:orient="portrait"/>
          <w:pgMar w:top="1440" w:right="1440" w:bottom="1440" w:left="1440" w:header="720" w:footer="708" w:gutter="0"/>
          <w:pgNumType/>
          <w:docGrid w:linePitch="360"/>
        </w:sectPr>
      </w:pPr>
    </w:p>
    <w:p>
      <w:pPr>
        <w:keepNext/>
        <w:spacing w:line="480"/>
        <w:jc w:val="center"/>
      </w:pPr>
      <w:r>
        <w:rPr>
          <w:rFonts w:ascii="Times New Roman" w:cs="Times New Roman" w:eastAsia="Times New Roman" w:hAnsi="Times New Roman"/>
          <w:b/>
          <w:bCs/>
          <w:sz w:val="24"/>
          <w:szCs w:val="24"/>
        </w:rPr>
        <w:t xml:space="preserve">Gantt Chart and Milestones</w:t>
      </w:r>
    </w:p>
    <w:p>
      <w:pPr>
        <w:keepNext/>
        <w:spacing w:before="120" w:line="276"/>
      </w:pPr>
      <w:r>
        <w:rPr>
          <w:rFonts w:ascii="Times New Roman" w:cs="Times New Roman" w:eastAsia="Times New Roman" w:hAnsi="Times New Roman"/>
          <w:b/>
          <w:bCs/>
          <w:sz w:val="24"/>
          <w:szCs w:val="24"/>
        </w:rPr>
        <w:t xml:space="preserve">Figure 3</w:t>
      </w:r>
    </w:p>
    <w:p>
      <w:pPr>
        <w:keepNext/>
        <w:spacing w:after="80" w:line="276"/>
      </w:pPr>
      <w:r>
        <w:rPr>
          <w:rFonts w:ascii="Times New Roman" w:cs="Times New Roman" w:eastAsia="Times New Roman" w:hAnsi="Times New Roman"/>
          <w:i/>
          <w:iCs/>
          <w:sz w:val="24"/>
          <w:szCs w:val="24"/>
        </w:rPr>
        <w:t xml:space="preserve">Gantt Chart With Milestones and Critical Path</w:t>
      </w:r>
    </w:p>
    <w:p>
      <w:pPr>
        <w:jc w:val="center"/>
      </w:pPr>
      <w:r>
        <w:drawing>
          <wp:inline distT="0" distB="0" distL="0" distR="0">
            <wp:extent cx="7953375" cy="5353050"/>
            <wp:effectExtent t="0" r="0" b="0" l="0"/>
            <wp:docPr id="1" name="gantt.png" descr="gantt.png" title="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953375" cy="5353050"/>
                    </a:xfrm>
                    <a:prstGeom prst="rect">
                      <a:avLst/>
                    </a:prstGeom>
                  </pic:spPr>
                </pic:pic>
              </a:graphicData>
            </a:graphic>
          </wp:inline>
        </w:drawing>
      </w:r>
    </w:p>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Red bars are critical tasks (0 days of total float); diamonds are milestones M1–M9. The schedule is provided as the Microsoft Project file Food_Truck_Project_Plan.xml submitted with this report.</w:t>
      </w:r>
    </w:p>
    <w:p>
      <w:pPr>
        <w:sectPr>
          <w:headerReference w:type="default" r:id="rId10"/>
          <w:pgSz w:w="15840" w:h="12240" w:orient="landscape"/>
          <w:pgMar w:top="900" w:right="720" w:bottom="700" w:left="720" w:header="400" w:footer="708" w:gutter="0"/>
          <w:pgNumType/>
          <w:docGrid w:linePitch="360"/>
        </w:sectPr>
      </w:pPr>
    </w:p>
    <w:p>
      <w:pPr>
        <w:spacing w:after="0" w:before="0" w:line="480"/>
        <w:ind w:firstLine="720"/>
      </w:pPr>
      <w:r>
        <w:rPr>
          <w:rFonts w:ascii="Times New Roman" w:cs="Times New Roman" w:eastAsia="Times New Roman" w:hAnsi="Times New Roman"/>
          <w:sz w:val="24"/>
          <w:szCs w:val="24"/>
        </w:rPr>
        <w:t xml:space="preserve">The schedule is built on a Monday-to-Friday, 8-hour working calendar that treats Thanksgiving Day (October 12, 2026) as non-working. All 22 deliverables are scheduled with the links in Table 2, and the nine control accounts roll up as summary tasks. Durations are working days estimated by the team from the Assignment 1 phase plan, the scope of each deliverable, and the third-party lead times (municipal, health, fire, TSSA, and ESA approvals) that Assignment 1 assumed would be obtained within the schedule (Group 03, 2026a). The plan starts on September 8, 2026 and finishes on December 21, 2026, a total of 74 working days (14 weeks).</w:t>
      </w:r>
    </w:p>
    <w:p>
      <w:pPr>
        <w:spacing w:after="0" w:before="0" w:line="480"/>
        <w:ind w:firstLine="720"/>
      </w:pPr>
      <w:r>
        <w:rPr>
          <w:rFonts w:ascii="Times New Roman" w:cs="Times New Roman" w:eastAsia="Times New Roman" w:hAnsi="Times New Roman"/>
          <w:sz w:val="24"/>
          <w:szCs w:val="24"/>
        </w:rPr>
        <w:t xml:space="preserve">Nine milestones mark the decision gates (Table 4). Milestones have zero duration and are linked to the deliverable that triggers them; M7 (go/no-go review) is placed seven working days into the readiness-and-pilot deliverable 1.9.1, because the readiness review is part of that deliverable’s outputs. Table 3 gives the full schedule.</w:t>
      </w:r>
    </w:p>
    <w:p>
      <w:pPr>
        <w:keepNext/>
        <w:spacing w:before="120" w:line="276"/>
      </w:pPr>
      <w:r>
        <w:rPr>
          <w:rFonts w:ascii="Times New Roman" w:cs="Times New Roman" w:eastAsia="Times New Roman" w:hAnsi="Times New Roman"/>
          <w:b/>
          <w:bCs/>
          <w:sz w:val="24"/>
          <w:szCs w:val="24"/>
        </w:rPr>
        <w:t xml:space="preserve">Table 3</w:t>
      </w:r>
    </w:p>
    <w:p>
      <w:pPr>
        <w:keepNext/>
        <w:spacing w:after="80" w:line="276"/>
      </w:pPr>
      <w:r>
        <w:rPr>
          <w:rFonts w:ascii="Times New Roman" w:cs="Times New Roman" w:eastAsia="Times New Roman" w:hAnsi="Times New Roman"/>
          <w:i/>
          <w:iCs/>
          <w:sz w:val="24"/>
          <w:szCs w:val="24"/>
        </w:rPr>
        <w:t xml:space="preserve">Schedule of Deliverables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4500"/>
        <w:gridCol w:w="700"/>
        <w:gridCol w:w="800"/>
        <w:gridCol w:w="1400"/>
        <w:gridCol w:w="1400"/>
        <w:gridCol w:w="2800"/>
        <w:gridCol w:w="900"/>
        <w:gridCol w:w="1100"/>
      </w:tblGrid>
      <w:tr>
        <w:trPr>
          <w:cantSplit/>
          <w:tblHeader/>
        </w:trPr>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w:t>
            </w:r>
          </w:p>
        </w:tc>
        <w:tc>
          <w:tcPr>
            <w:tcW w:type="dxa" w:w="4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Act.</w:t>
            </w:r>
          </w:p>
        </w:tc>
        <w:tc>
          <w:tcPr>
            <w:tcW w:type="dxa" w:w="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Dur.</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Start</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Finish</w:t>
            </w:r>
          </w:p>
        </w:tc>
        <w:tc>
          <w:tcPr>
            <w:tcW w:type="dxa" w:w="2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Predecessor(s)</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Total float</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Critical</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1.1.1</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Approved food truck concept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SOW</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Sep 8,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Sep 14,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Start</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1.1.2</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Approved project planning package</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SOW</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Sep 15,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Sep 21,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1.1.1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1.2.1</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Validated operating requirements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10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Sep 22,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5,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1.1.2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1.2.2</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Trailer approvals and inspection records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2</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15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13,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Dec 3,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1.3.3, 1.3.4</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1.2.3</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Staff compliance documentation package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8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9,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18,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1.6.1 SS+5 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11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1.3.1</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Acquired trailer and equipment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4</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7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6,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15,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1.3.2</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Approved operational layout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16,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22,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1.3.3</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Installed kitchen equipment and fixtures</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6</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15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23,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12,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1.3.4</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Installed utilities and safety systems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12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9,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1.4.1</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Procured POS and technology package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20,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26,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1.3.2 SS+2 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18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1.4.2</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Configured POS and network</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10,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16,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1.3.4, 1.4.1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8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1.4.3</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Loaded menu and verified transaction flow</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17,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23,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1.4.2, 1.5.1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8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1.5.1</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Approved menu and pricing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9,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1.2.1, 1.3.1 SS+3 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1.5.2</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Supply and inventory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8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2,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11,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10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1.6.1</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Qualified and trained staffing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2,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20,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1.5.1, 1.6.2 SS+3 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1.6.2</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Transport and operating procedures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12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28,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12,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1.3.2, 1.3.3 FF, 1.3.4 FF</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1.7.1</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Completed branding and customer materials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12,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1.3.2, 1.5.1 FF</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1.7.2</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Launch promotion and booking channels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12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1.7.1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1.8.1</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Event and catering opportunity pipeline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25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Oct 6,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10,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11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1.8.2</w:t>
            </w:r>
          </w:p>
        </w:tc>
        <w:tc>
          <w:tcPr>
            <w:tcW w:type="dxa" w:w="4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Booking calendar and pilot event plan</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6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Nov 30, 2026</w:t>
            </w:r>
          </w:p>
        </w:tc>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1.5.2, 1.6.1, 1.6.2, 1.8.1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3 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No</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1.9.1</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Readiness test results and completed pilot</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19</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10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Dec 4,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Dec 17,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1.2.2, 1.2.3, 1.4.3, 1.7.2, 1.8.2</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r>
        <w:trPr>
          <w:cantSplit/>
        </w:trPr>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1.9.2</w:t>
            </w:r>
          </w:p>
        </w:tc>
        <w:tc>
          <w:tcPr>
            <w:tcW w:type="dxa" w:w="45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Corrective actions and handover package</w:t>
            </w:r>
          </w:p>
        </w:tc>
        <w:tc>
          <w:tcPr>
            <w:tcW w:type="dxa" w:w="7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20</w:t>
            </w:r>
          </w:p>
        </w:tc>
        <w:tc>
          <w:tcPr>
            <w:tcW w:type="dxa" w:w="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2 d</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Dec 18, 2026</w:t>
            </w:r>
          </w:p>
        </w:tc>
        <w:tc>
          <w:tcPr>
            <w:tcW w:type="dxa" w:w="14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Dec 21, 2026</w:t>
            </w:r>
          </w:p>
        </w:tc>
        <w:tc>
          <w:tcPr>
            <w:tcW w:type="dxa" w:w="28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val="false"/>
                <w:bCs w:val="false"/>
                <w:sz w:val="19"/>
                <w:szCs w:val="19"/>
              </w:rPr>
              <w:t xml:space="preserve">1.9.1</w:t>
            </w:r>
          </w:p>
        </w:tc>
        <w:tc>
          <w:tcPr>
            <w:tcW w:type="dxa" w:w="9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0 d</w:t>
            </w:r>
          </w:p>
        </w:tc>
        <w:tc>
          <w:tcPr>
            <w:tcW w:type="dxa" w:w="1100"/>
            <w:tcBorders>
              <w:top w:val="single" w:color="808080" w:sz="4"/>
              <w:left w:val="single" w:color="808080" w:sz="4"/>
              <w:bottom w:val="single" w:color="808080" w:sz="4"/>
              <w:right w:val="single" w:color="808080" w:sz="4"/>
            </w:tcBorders>
            <w:shd w:fill="FDECEC"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val="false"/>
                <w:bCs w:val="false"/>
                <w:sz w:val="19"/>
                <w:szCs w:val="19"/>
              </w:rPr>
              <w:t xml:space="preserve">Yes</w:t>
            </w:r>
          </w:p>
        </w:tc>
      </w:tr>
    </w:tbl>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Dur. = duration in working days. Total float is the number of working days a deliverable can slip without delaying the December 21, 2026 finish. Shaded rows are critical.</w:t>
      </w:r>
    </w:p>
    <w:p>
      <w:pPr>
        <w:sectPr>
          <w:headerReference w:type="default" r:id="rId11"/>
          <w:pgSz w:w="15840" w:h="12240" w:orient="landscape"/>
          <w:pgMar w:top="1000" w:right="720" w:bottom="900" w:left="720" w:header="400" w:footer="708" w:gutter="0"/>
          <w:pgNumType/>
          <w:docGrid w:linePitch="360"/>
        </w:sectPr>
      </w:pPr>
    </w:p>
    <w:p>
      <w:pPr>
        <w:keepNext/>
        <w:spacing w:before="120" w:line="276"/>
      </w:pPr>
      <w:r>
        <w:rPr>
          <w:rFonts w:ascii="Times New Roman" w:cs="Times New Roman" w:eastAsia="Times New Roman" w:hAnsi="Times New Roman"/>
          <w:b/>
          <w:bCs/>
          <w:sz w:val="24"/>
          <w:szCs w:val="24"/>
        </w:rPr>
        <w:t xml:space="preserve">Table 4</w:t>
      </w:r>
    </w:p>
    <w:p>
      <w:pPr>
        <w:keepNext/>
        <w:spacing w:after="80" w:line="276"/>
      </w:pPr>
      <w:r>
        <w:rPr>
          <w:rFonts w:ascii="Times New Roman" w:cs="Times New Roman" w:eastAsia="Times New Roman" w:hAnsi="Times New Roman"/>
          <w:i/>
          <w:iCs/>
          <w:sz w:val="24"/>
          <w:szCs w:val="24"/>
        </w:rPr>
        <w:t xml:space="preserve">Milestones: Assignment 1 Targets Compared With the Scheduled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100"/>
        <w:gridCol w:w="1500"/>
        <w:gridCol w:w="1400"/>
        <w:gridCol w:w="1400"/>
        <w:gridCol w:w="136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ID</w:t>
            </w:r>
          </w:p>
        </w:tc>
        <w:tc>
          <w:tcPr>
            <w:tcW w:type="dxa" w:w="3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Milestone</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Triggered by</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Assignment 1 target</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Scheduled</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Variance (calendar days)</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M1</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Concept, objectives and SOW approved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Sep 21,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Sep 21,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M2</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Compliance path and budget confirmed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M3</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delivered; equipment and fit-out contracted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15,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M4</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Unit fit-out complete and ready for inspection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1.3.3, 1.3.4</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12,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M5</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Menu and pricing frozen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1.5.1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Oct 30,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-16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M6</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Staff trained; compliance documents filed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1.6.1, 1.2.3</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23,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Nov 20,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M7</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Go/no-go readiness review passed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 SS+7 d</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15,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15,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M8</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Pilot event completed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18,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17,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 d</w:t>
            </w:r>
          </w:p>
        </w:tc>
      </w:tr>
      <w:tr>
        <w:trPr>
          <w:cantSplit/>
        </w:trPr>
        <w:tc>
          <w:tcPr>
            <w:tcW w:type="dxa" w:w="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M9</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Handover and project closure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21, 2026</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Dec 21, 2026</w:t>
            </w:r>
          </w:p>
        </w:tc>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0 d</w:t>
            </w:r>
          </w:p>
        </w:tc>
      </w:tr>
    </w:tbl>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M1, M2, M3, M7, and M9 match the Assignment 1 targets. Triggered by lists the WBS deliverable(s) whose completion drives the milestone.</w:t>
      </w:r>
    </w:p>
    <w:p>
      <w:pPr>
        <w:spacing w:after="0" w:before="0" w:line="480"/>
        <w:ind w:firstLine="720"/>
      </w:pPr>
      <w:r>
        <w:rPr>
          <w:rFonts w:ascii="Times New Roman" w:cs="Times New Roman" w:eastAsia="Times New Roman" w:hAnsi="Times New Roman"/>
          <w:sz w:val="24"/>
          <w:szCs w:val="24"/>
        </w:rPr>
        <w:t xml:space="preserve">Four milestone dates differ from the Assignment 1 estimates because the dependency analysis gave a more detailed sequence. M4 moves seven days later because the fit-out of the kitchen equipment (1.3.3) takes 15 working days after the layout is approved. M5 moves 16 days earlier because the menu (1.5.1) can start as soon as operating requirements are validated, while the standard operating procedures are finalised later in 1.6.2. M6 is three days earlier and M8 one day earlier. Because the Project Sponsor approved the Assignment 1 dates as targets, these four changes should be recorded through the project’s change-control process (Group 03, 2026a).</w:t>
      </w:r>
    </w:p>
    <w:p>
      <w:pPr>
        <w:keepNext/>
        <w:spacing w:line="480"/>
        <w:jc w:val="center"/>
      </w:pPr>
      <w:r>
        <w:rPr>
          <w:rFonts w:ascii="Times New Roman" w:cs="Times New Roman" w:eastAsia="Times New Roman" w:hAnsi="Times New Roman"/>
          <w:b/>
          <w:bCs/>
          <w:sz w:val="24"/>
          <w:szCs w:val="24"/>
        </w:rPr>
        <w:t xml:space="preserve">Critical Path</w:t>
      </w:r>
    </w:p>
    <w:p>
      <w:pPr>
        <w:spacing w:after="0" w:before="0" w:line="480"/>
        <w:ind w:firstLine="720"/>
      </w:pPr>
      <w:r>
        <w:rPr>
          <w:rFonts w:ascii="Times New Roman" w:cs="Times New Roman" w:eastAsia="Times New Roman" w:hAnsi="Times New Roman"/>
          <w:sz w:val="24"/>
          <w:szCs w:val="24"/>
        </w:rPr>
        <w:t xml:space="preserve">The critical path is the longest sequence of dependent deliverables and therefore determines the earliest possible finish date (Kelley &amp; Walker, 1959; PMI, 2021). The path, highlighted in red in Figures 2 and 3, is 1.1.1 → 1.1.2 → 1.2.1 → 1.3.1 → 1.3.2 → 1.3.3 → 1.2.2 → 1.9.1 → 1.9.2. Its nine deliverables add up to 74 working days, so every day of delay on any of them delays the December 21, 2026 handover by a day (Table 5).</w:t>
      </w:r>
    </w:p>
    <w:p>
      <w:pPr>
        <w:keepNext/>
        <w:spacing w:before="120" w:line="276"/>
      </w:pPr>
      <w:r>
        <w:rPr>
          <w:rFonts w:ascii="Times New Roman" w:cs="Times New Roman" w:eastAsia="Times New Roman" w:hAnsi="Times New Roman"/>
          <w:b/>
          <w:bCs/>
          <w:sz w:val="24"/>
          <w:szCs w:val="24"/>
        </w:rPr>
        <w:t xml:space="preserve">Table 5</w:t>
      </w:r>
    </w:p>
    <w:p>
      <w:pPr>
        <w:keepNext/>
        <w:spacing w:after="80" w:line="276"/>
      </w:pPr>
      <w:r>
        <w:rPr>
          <w:rFonts w:ascii="Times New Roman" w:cs="Times New Roman" w:eastAsia="Times New Roman" w:hAnsi="Times New Roman"/>
          <w:i/>
          <w:iCs/>
          <w:sz w:val="24"/>
          <w:szCs w:val="24"/>
        </w:rPr>
        <w:t xml:space="preserve">Critical Path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4160"/>
        <w:gridCol w:w="1000"/>
        <w:gridCol w:w="1300"/>
        <w:gridCol w:w="13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Seq.</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WBS</w:t>
            </w:r>
          </w:p>
        </w:tc>
        <w:tc>
          <w:tcPr>
            <w:tcW w:type="dxa" w:w="4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Deliverable</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Duration</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Start</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Finish</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food truck concept</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8,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14,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1.1.2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project planning package</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15,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21,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Validated operating requirements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Sep 22,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5,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Acquired trailer and equipment</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6,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15,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Approved operational layout</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5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16,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22,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1.3.3</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Installed kitchen equipment and fixtures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Oct 23,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12,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1.2.2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Trailer approvals and inspection records</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15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Nov 13,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3,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1.9.1</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Readiness test results and completed pilot</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10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4,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17,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1.9.2</w:t>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Corrective actions and handover package</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sz w:val="19"/>
                <w:szCs w:val="19"/>
              </w:rPr>
              <w:t xml:space="preserve">2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18,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sz w:val="19"/>
                <w:szCs w:val="19"/>
              </w:rPr>
              <w:t xml:space="preserve">Dec 21, 2026</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
            </w:r>
          </w:p>
        </w:tc>
        <w:tc>
          <w:tcPr>
            <w:tcW w:type="dxa" w:w="41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Total critical path duration</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center"/>
            </w:pPr>
            <w:r>
              <w:rPr>
                <w:rFonts w:ascii="Times New Roman" w:cs="Times New Roman" w:eastAsia="Times New Roman" w:hAnsi="Times New Roman"/>
                <w:b/>
                <w:bCs/>
                <w:sz w:val="19"/>
                <w:szCs w:val="19"/>
              </w:rPr>
              <w:t xml:space="preserve">74 d</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Sep 8, 2026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keepNext w:val="false"/>
              <w:spacing w:line="240"/>
              <w:jc w:val="left"/>
            </w:pPr>
            <w:r>
              <w:rPr>
                <w:rFonts w:ascii="Times New Roman" w:cs="Times New Roman" w:eastAsia="Times New Roman" w:hAnsi="Times New Roman"/>
                <w:b/>
                <w:bCs/>
                <w:sz w:val="19"/>
                <w:szCs w:val="19"/>
              </w:rPr>
              <w:t xml:space="preserve">Dec 21, 2026</w:t>
            </w:r>
          </w:p>
        </w:tc>
      </w:tr>
    </w:tbl>
    <w:p>
      <w:pPr>
        <w:spacing w:after="200" w:before="60" w:line="24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Durations are working days. The path is driven by the physical trailer chain (acquisition, layout, kitchen installation) followed by the final trailer approvals and inspections.</w:t>
      </w:r>
    </w:p>
    <w:p>
      <w:pPr>
        <w:keepNext/>
        <w:spacing w:line="480"/>
      </w:pPr>
      <w:r>
        <w:rPr>
          <w:rFonts w:ascii="Times New Roman" w:cs="Times New Roman" w:eastAsia="Times New Roman" w:hAnsi="Times New Roman"/>
          <w:b/>
          <w:bCs/>
          <w:sz w:val="24"/>
          <w:szCs w:val="24"/>
        </w:rPr>
        <w:t xml:space="preserve">Schedule Implications</w:t>
      </w:r>
    </w:p>
    <w:p>
      <w:pPr>
        <w:spacing w:after="0" w:before="0" w:line="480"/>
        <w:ind w:firstLine="720"/>
      </w:pPr>
      <w:r>
        <w:rPr>
          <w:rFonts w:ascii="Times New Roman" w:cs="Times New Roman" w:eastAsia="Times New Roman" w:hAnsi="Times New Roman"/>
          <w:sz w:val="24"/>
          <w:szCs w:val="24"/>
        </w:rPr>
        <w:t xml:space="preserve">The plan has no schedule reserve on the critical path. The longest and least controllable activity on it is 1.2.2, trailer approvals and inspections (15 working days), which depends on external inspectors. The team can protect the date by booking inspection slots early while 1.3.3 is under way, by asking contractors to pre-inspect the installation, and by splitting the approvals so that fire, electrical, propane, and health inspections run in parallel (fast tracking). If the date is still at risk, adding installation crew to 1.3.3 would shorten it (crashing) at the cost of the contingency in the Assignment 1 budget (Group 03, 2026a; PMI, 2021).</w:t>
      </w:r>
    </w:p>
    <w:p>
      <w:pPr>
        <w:spacing w:after="0" w:before="0" w:line="480"/>
        <w:ind w:firstLine="720"/>
      </w:pPr>
      <w:r>
        <w:rPr>
          <w:rFonts w:ascii="Times New Roman" w:cs="Times New Roman" w:eastAsia="Times New Roman" w:hAnsi="Times New Roman"/>
          <w:sz w:val="24"/>
          <w:szCs w:val="24"/>
        </w:rPr>
        <w:t xml:space="preserve">A second chain is almost as long: menu and pricing (1.5.1) → staffing and training (1.6.1) → booking calendar (1.8.2) → pilot (1.9.1) has three working days of float, as do utilities installation (1.3.4), procedures (1.6.2), and branding and promotion (1.7.1 and 1.7.2). These near-critical deliverables should be reported with the same attention as the critical path. The Project Manager should review progress weekly and report any slip on these chains to the Sponsor.</w:t>
      </w:r>
    </w:p>
    <w:p>
      <w:pPr>
        <w:keepNext/>
        <w:spacing w:line="480"/>
        <w:jc w:val="center"/>
      </w:pPr>
      <w:r>
        <w:rPr>
          <w:rFonts w:ascii="Times New Roman" w:cs="Times New Roman" w:eastAsia="Times New Roman" w:hAnsi="Times New Roman"/>
          <w:b/>
          <w:bCs/>
          <w:sz w:val="24"/>
          <w:szCs w:val="24"/>
        </w:rPr>
        <w:t xml:space="preserve">AI Use Disclosure</w:t>
      </w:r>
    </w:p>
    <w:p>
      <w:pPr>
        <w:spacing w:after="0" w:before="0" w:line="480"/>
        <w:ind w:firstLine="720"/>
      </w:pPr>
      <w:r>
        <w:rPr>
          <w:rFonts w:ascii="Times New Roman" w:cs="Times New Roman" w:eastAsia="Times New Roman" w:hAnsi="Times New Roman"/>
          <w:sz w:val="24"/>
          <w:szCs w:val="24"/>
        </w:rPr>
        <w:t xml:space="preserve">An AI assistant (Claude, Anthropic) was used to apply critical path calculations to the group’s activity list, generate the diagrams and the Microsoft Project file, and draft text. The activities, dependencies, and project context come from the group’s Assignment 1 work, and the team reviewed the content before submission.</w:t>
      </w:r>
    </w:p>
    <w:p>
      <w:r>
        <w:br w:type="page"/>
      </w:r>
    </w:p>
    <w:p>
      <w:pPr>
        <w:keepNext/>
        <w:spacing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Group 03. (2026a). </w:t>
      </w:r>
      <w:r>
        <w:rPr>
          <w:rFonts w:ascii="Times New Roman" w:cs="Times New Roman" w:eastAsia="Times New Roman" w:hAnsi="Times New Roman"/>
          <w:i/>
          <w:iCs/>
          <w:sz w:val="24"/>
          <w:szCs w:val="24"/>
        </w:rPr>
        <w:t xml:space="preserve">Assignment 1: SOW Enterprise – statement of work for launching a food truck in London, Ontario</w:t>
      </w:r>
      <w:r>
        <w:rPr>
          <w:rFonts w:ascii="Times New Roman" w:cs="Times New Roman" w:eastAsia="Times New Roman" w:hAnsi="Times New Roman"/>
          <w:sz w:val="24"/>
          <w:szCs w:val="24"/>
        </w:rPr>
        <w:t xml:space="preserve"> [Unpublished course assignment]. MGMT-6128, Fanshawe College.</w:t>
      </w:r>
    </w:p>
    <w:p>
      <w:pPr>
        <w:spacing w:line="480"/>
        <w:ind w:left="720" w:hanging="720"/>
      </w:pPr>
      <w:r>
        <w:rPr>
          <w:rFonts w:ascii="Times New Roman" w:cs="Times New Roman" w:eastAsia="Times New Roman" w:hAnsi="Times New Roman"/>
          <w:sz w:val="24"/>
          <w:szCs w:val="24"/>
        </w:rPr>
        <w:t xml:space="preserve">Group 03. (2026b). </w:t>
      </w:r>
      <w:r>
        <w:rPr>
          <w:rFonts w:ascii="Times New Roman" w:cs="Times New Roman" w:eastAsia="Times New Roman" w:hAnsi="Times New Roman"/>
          <w:i/>
          <w:iCs/>
          <w:sz w:val="24"/>
          <w:szCs w:val="24"/>
        </w:rPr>
        <w:t xml:space="preserve">Food truck project activities and interdependencies</w:t>
      </w:r>
      <w:r>
        <w:rPr>
          <w:rFonts w:ascii="Times New Roman" w:cs="Times New Roman" w:eastAsia="Times New Roman" w:hAnsi="Times New Roman"/>
          <w:sz w:val="24"/>
          <w:szCs w:val="24"/>
        </w:rPr>
        <w:t xml:space="preserve"> [Unpublished course document]. MGMT-6128, Fanshawe College.</w:t>
      </w:r>
    </w:p>
    <w:p>
      <w:pPr>
        <w:spacing w:line="480"/>
        <w:ind w:left="720" w:hanging="720"/>
      </w:pPr>
      <w:r>
        <w:rPr>
          <w:rFonts w:ascii="Times New Roman" w:cs="Times New Roman" w:eastAsia="Times New Roman" w:hAnsi="Times New Roman"/>
          <w:sz w:val="24"/>
          <w:szCs w:val="24"/>
        </w:rPr>
        <w:t xml:space="preserve">Group 03. (2026c). </w:t>
      </w:r>
      <w:r>
        <w:rPr>
          <w:rFonts w:ascii="Times New Roman" w:cs="Times New Roman" w:eastAsia="Times New Roman" w:hAnsi="Times New Roman"/>
          <w:i/>
          <w:iCs/>
          <w:sz w:val="24"/>
          <w:szCs w:val="24"/>
        </w:rPr>
        <w:t xml:space="preserve">Food truck project work breakdown structure</w:t>
      </w:r>
      <w:r>
        <w:rPr>
          <w:rFonts w:ascii="Times New Roman" w:cs="Times New Roman" w:eastAsia="Times New Roman" w:hAnsi="Times New Roman"/>
          <w:sz w:val="24"/>
          <w:szCs w:val="24"/>
        </w:rPr>
        <w:t xml:space="preserve"> [Unpublished course document]. MGMT-6128, Fanshawe College.</w:t>
      </w:r>
    </w:p>
    <w:p>
      <w:pPr>
        <w:spacing w:line="480"/>
        <w:ind w:left="720" w:hanging="720"/>
      </w:pPr>
      <w:r>
        <w:rPr>
          <w:rFonts w:ascii="Times New Roman" w:cs="Times New Roman" w:eastAsia="Times New Roman" w:hAnsi="Times New Roman"/>
          <w:sz w:val="24"/>
          <w:szCs w:val="24"/>
        </w:rPr>
        <w:t xml:space="preserve">Kelley, J. E., Jr., &amp; Walker, M. R. (1959). Critical-path planning and scheduling. In </w:t>
      </w:r>
      <w:r>
        <w:rPr>
          <w:rFonts w:ascii="Times New Roman" w:cs="Times New Roman" w:eastAsia="Times New Roman" w:hAnsi="Times New Roman"/>
          <w:i/>
          <w:iCs/>
          <w:sz w:val="24"/>
          <w:szCs w:val="24"/>
        </w:rPr>
        <w:t xml:space="preserve">Papers presented at the December 1–3, 1959, Eastern Joint IRE-AIEE-ACM Computer Conference</w:t>
      </w:r>
      <w:r>
        <w:rPr>
          <w:rFonts w:ascii="Times New Roman" w:cs="Times New Roman" w:eastAsia="Times New Roman" w:hAnsi="Times New Roman"/>
          <w:sz w:val="24"/>
          <w:szCs w:val="24"/>
        </w:rPr>
        <w:t xml:space="preserve"> (pp. 160–173). Association for Computing Machinery. https://doi.org/10.1145/1460299.1460318</w:t>
      </w:r>
    </w:p>
    <w:p>
      <w:pPr>
        <w:spacing w:line="480"/>
        <w:ind w:left="720" w:hanging="720"/>
      </w:pPr>
      <w:r>
        <w:rPr>
          <w:rFonts w:ascii="Times New Roman" w:cs="Times New Roman" w:eastAsia="Times New Roman" w:hAnsi="Times New Roman"/>
          <w:sz w:val="24"/>
          <w:szCs w:val="24"/>
        </w:rPr>
        <w:t xml:space="preserve">Project Management Institute. (2019). </w:t>
      </w:r>
      <w:r>
        <w:rPr>
          <w:rFonts w:ascii="Times New Roman" w:cs="Times New Roman" w:eastAsia="Times New Roman" w:hAnsi="Times New Roman"/>
          <w:i/>
          <w:iCs/>
          <w:sz w:val="24"/>
          <w:szCs w:val="24"/>
        </w:rPr>
        <w:t xml:space="preserve">Practice standard for work breakdown structures</w:t>
      </w:r>
      <w:r>
        <w:rPr>
          <w:rFonts w:ascii="Times New Roman" w:cs="Times New Roman" w:eastAsia="Times New Roman" w:hAnsi="Times New Roman"/>
          <w:sz w:val="24"/>
          <w:szCs w:val="24"/>
        </w:rPr>
        <w:t xml:space="preserve"> (3rd ed.). Author.</w:t>
      </w:r>
    </w:p>
    <w:p>
      <w:pPr>
        <w:spacing w:line="480"/>
        <w:ind w:left="720" w:hanging="720"/>
      </w:pPr>
      <w:r>
        <w:rPr>
          <w:rFonts w:ascii="Times New Roman" w:cs="Times New Roman" w:eastAsia="Times New Roman" w:hAnsi="Times New Roman"/>
          <w:sz w:val="24"/>
          <w:szCs w:val="24"/>
        </w:rPr>
        <w:t xml:space="preserve">Project Management Institute. (2021). </w:t>
      </w:r>
      <w:r>
        <w:rPr>
          <w:rFonts w:ascii="Times New Roman" w:cs="Times New Roman" w:eastAsia="Times New Roman" w:hAnsi="Times New Roman"/>
          <w:i/>
          <w:iCs/>
          <w:sz w:val="24"/>
          <w:szCs w:val="24"/>
        </w:rPr>
        <w:t xml:space="preserve">A guide to the project management body of knowledge (PMBOK® guide)</w:t>
      </w:r>
      <w:r>
        <w:rPr>
          <w:rFonts w:ascii="Times New Roman" w:cs="Times New Roman" w:eastAsia="Times New Roman" w:hAnsi="Times New Roman"/>
          <w:sz w:val="24"/>
          <w:szCs w:val="24"/>
        </w:rPr>
        <w:t xml:space="preserve"> (7th ed.). Author.</w:t>
      </w:r>
    </w:p>
    <w:sectPr>
      <w:headerReference w:type="default" r:id="rId12"/>
      <w:pgSz w:w="12240" w:h="15840"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image" Target="media/055ee01d5292f2ff00b55a1e008e222a83c5d04b.png"/><Relationship Id="rId14" Type="http://schemas.openxmlformats.org/officeDocument/2006/relationships/image" Target="media/e34fdf6e1ce9bf59d378063982c58197bdb9f830.png"/><Relationship Id="rId15" Type="http://schemas.openxmlformats.org/officeDocument/2006/relationships/image" Target="media/a1f216f168f44a3c4ae650eb84c12dec55b40f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2026-10-06T23:30:12.965Z</dcterms:created>
  <dcterms:modified xsi:type="dcterms:W3CDTF">2026-10-06T23:30:12.966Z</dcterms:modified>
</cp:coreProperties>
</file>

<file path=docProps/custom.xml><?xml version="1.0" encoding="utf-8"?>
<Properties xmlns="http://schemas.openxmlformats.org/officeDocument/2006/custom-properties" xmlns:vt="http://schemas.openxmlformats.org/officeDocument/2006/docPropsVTypes"/>
</file>