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44546A"/>
          <w:sz w:val="20"/>
          <w:szCs w:val="20"/>
        </w:rPr>
        <w:t xml:space="preserve">MDPM 883 · DESIGNING THE DIGITAL PRODUCT</w:t>
      </w:r>
    </w:p>
    <w:p>
      <w:pPr>
        <w:spacing w:after="0" w:before="300"/>
        <w:jc w:val="center"/>
      </w:pPr>
      <w:r>
        <w:rPr>
          <w:rFonts w:ascii="Calibri" w:cs="Calibri" w:eastAsia="Calibri" w:hAnsi="Calibri"/>
          <w:b/>
          <w:bCs/>
          <w:color w:val="1F3864"/>
          <w:sz w:val="56"/>
          <w:szCs w:val="56"/>
        </w:rPr>
        <w:t xml:space="preserve">PRISM Furniture Request</w:t>
      </w:r>
    </w:p>
    <w:p>
      <w:pPr>
        <w:spacing w:after="420" w:before="120"/>
        <w:jc w:val="center"/>
      </w:pPr>
      <w:r>
        <w:rPr>
          <w:rFonts w:ascii="Calibri" w:cs="Calibri" w:eastAsia="Calibri" w:hAnsi="Calibri"/>
          <w:color w:val="44546A"/>
          <w:sz w:val="30"/>
          <w:szCs w:val="30"/>
        </w:rPr>
        <w:t xml:space="preserve">Requirements Document</w:t>
      </w:r>
    </w:p>
    <w:p>
      <w:pPr>
        <w:spacing w:after="700" w:before="0"/>
        <w:jc w:val="center"/>
      </w:pPr>
      <w:r>
        <w:rPr>
          <w:rFonts w:ascii="Calibri" w:cs="Calibri" w:eastAsia="Calibri" w:hAnsi="Calibri"/>
          <w:i/>
          <w:iCs/>
          <w:color w:val="44546A"/>
          <w:sz w:val="22"/>
          <w:szCs w:val="22"/>
        </w:rPr>
        <w:t xml:space="preserve">Government of Alberta · Ministry of Infrastructure</w:t>
      </w:r>
    </w:p>
    <w:tbl>
      <w:tblPr>
        <w:tblW w:type="dxa" w:w="7000"/>
        <w:tblBorders>
          <w:top w:val="single" w:color="C6D0E0" w:sz="4"/>
          <w:left w:val="single" w:color="C6D0E0" w:sz="4"/>
          <w:bottom w:val="single" w:color="C6D0E0" w:sz="4"/>
          <w:right w:val="single" w:color="C6D0E0" w:sz="4"/>
          <w:insideH w:val="single" w:color="C6D0E0" w:sz="2"/>
          <w:insideV w:val="single" w:color="C6D0E0" w:sz="2"/>
        </w:tblBorders>
      </w:tblPr>
      <w:tblGrid>
        <w:gridCol w:w="2600"/>
        <w:gridCol w:w="4400"/>
      </w:tblGrid>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Course</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MDPM 883 – Designing the Digital Product</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Deliverable</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Milestone 2 – Requirements Documents</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Product</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PRISM Furniture Request</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Companion document</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PRISM Furniture Request – Task Descriptions</w:t>
            </w:r>
          </w:p>
        </w:tc>
      </w:tr>
    </w:tbl>
    <w:p>
      <w:pPr>
        <w:keepNext w:val="false"/>
        <w:spacing w:after="220" w:before="0" w:line="276"/>
        <w:jc w:val="both"/>
      </w:pPr>
      <w:r>
        <w:rPr>
          <w:rFonts w:ascii="Calibri" w:cs="Calibri" w:eastAsia="Calibri" w:hAnsi="Calibri"/>
          <w:b w:val="false"/>
          <w:bCs w:val="false"/>
          <w:i/>
          <w:iCs/>
          <w:color w:val="5A6270"/>
          <w:sz w:val="20"/>
          <w:szCs w:val="20"/>
        </w:rPr>
        <w:t xml:space="preserve">Artifact 1 of the Milestone 2 Requirements Documents deliverable for the PRISM Furniture Request product. Section numbers are those of the full deliverable, so a cross-reference such as “section 4.2” points to the same place in every file. The artifacts are also held together on the team Miro board. This file carries the problem statement the requirements answer to, then the drivers and constraints, the functional requirements and the non-functional requirements.</w:t>
      </w:r>
    </w:p>
    <w:p>
      <w:pPr>
        <w:pStyle w:val="Heading1"/>
        <w:pBdr>
          <w:bottom w:val="single" w:color="C6D0E0" w:sz="8" w:space="6"/>
        </w:pBdr>
        <w:spacing w:after="160" w:before="360"/>
      </w:pPr>
      <w:r>
        <w:rPr>
          <w:rFonts w:ascii="Calibri" w:cs="Calibri" w:eastAsia="Calibri" w:hAnsi="Calibri"/>
          <w:b/>
          <w:bCs/>
          <w:color w:val="1F3864"/>
          <w:sz w:val="30"/>
          <w:szCs w:val="30"/>
        </w:rPr>
        <w:t xml:space="preserve">2.   Problem Statement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Government of Alberta Client Ministry Accommodation Contacts, who typically represent an office, submit Furniture Requests to Infrastructure for needs such as new furniture, moves or reconfiguration. The current process uses WORTS mainly for tracking and reporting, while much of the work and the communication happens elsewhere. This leaves information fragmented, contributes to duplicate and incomplete requests, and makes status, ownership and next steps difficult to follow. CMACs need a consistent and effective way to submit and follow requests, while Infrastructure staff need connected information to manage work across multiple groups and handoffs.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Two consequences drive everything that follows. First, the record of a request is scattered across a work-order system, email, Teams, spreadsheets and paper, so nowhere can answer the question "what is happening with my request?". Second, the effort of holding the process together falls on people rather than on the system: requesters remember what they asked for, coordinators remember who is doing what, and both chase each other when something stalls. The product is aimed less at replacing the transaction than at making the request itself a coherent object that can be followed.</w:t>
      </w:r>
    </w:p>
    <w:p>
      <w:pPr>
        <w:pStyle w:val="Heading1"/>
        <w:pBdr>
          <w:bottom w:val="single" w:color="C6D0E0" w:sz="8" w:space="6"/>
        </w:pBdr>
        <w:spacing w:after="160" w:before="360"/>
      </w:pPr>
      <w:r>
        <w:rPr>
          <w:rFonts w:ascii="Calibri" w:cs="Calibri" w:eastAsia="Calibri" w:hAnsi="Calibri"/>
          <w:b/>
          <w:bCs/>
          <w:color w:val="1F3864"/>
          <w:sz w:val="30"/>
          <w:szCs w:val="30"/>
        </w:rPr>
        <w:t xml:space="preserve">3.   Requirements Document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requirements follow the simplified Volere structure used in the course: drivers and constraints, the scope of the product, functional requirements, then non-functional requirements under the Volere headings. Each states a function or a property of the product rather than an interface design, and each is written so that it can be judged as met or not met.</w:t>
      </w:r>
    </w:p>
    <w:p>
      <w:pPr>
        <w:pStyle w:val="Heading2"/>
        <w:keepNext/>
        <w:spacing w:after="120" w:before="260"/>
      </w:pPr>
      <w:r>
        <w:rPr>
          <w:rFonts w:ascii="Calibri" w:cs="Calibri" w:eastAsia="Calibri" w:hAnsi="Calibri"/>
          <w:b/>
          <w:bCs/>
          <w:color w:val="44546A"/>
          <w:sz w:val="25"/>
          <w:szCs w:val="25"/>
        </w:rPr>
        <w:t xml:space="preserve">3.1   Purpose of the Product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product supports a more consistent and reliable Furniture Request process. It helps CMACs submit and follow requests, and it helps Infrastructure staff manage request information across the several groups and handoffs involved in fulfilling them. Its value is measured by whether a request can be prepared correctly the first time, followed without chasing, and understood later by someone who was not involved in it.</w:t>
      </w:r>
    </w:p>
    <w:p>
      <w:pPr>
        <w:pStyle w:val="Heading2"/>
        <w:keepNext/>
        <w:spacing w:after="120" w:before="260"/>
      </w:pPr>
      <w:r>
        <w:rPr>
          <w:rFonts w:ascii="Calibri" w:cs="Calibri" w:eastAsia="Calibri" w:hAnsi="Calibri"/>
          <w:b/>
          <w:bCs/>
          <w:color w:val="44546A"/>
          <w:sz w:val="25"/>
          <w:szCs w:val="25"/>
        </w:rPr>
        <w:t xml:space="preserve">3.2   Stakeholders and User Groups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Client Ministry Accommodation Contacts and other authorized requesters are the primary stakeholders. They represent requesting ministries and business areas and are the people who prepare, submit and follow Furniture Requests. Infrastructure staff and the service groups who process and fulfil requests are the second group. Managers and approvers are stakeholders wherever an approval forms part of a request, and the PRISM product and service team owns and operates the platform. External suppliers, movers and installers are affected by the product but do not transact in it; their progress is reflected in the request rather than entered by them.</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Within that population the design serves three distinct user groups, and the personas in section 8 are drawn from them:</w:t>
      </w:r>
    </w:p>
    <w:p>
      <w:pPr>
        <w:pStyle w:val="ListParagraph"/>
        <w:numPr>
          <w:ilvl w:val="0"/>
          <w:numId w:val="2"/>
        </w:numPr>
        <w:spacing w:after="80" w:line="276"/>
      </w:pPr>
      <w:r>
        <w:rPr>
          <w:rFonts w:ascii="Calibri" w:cs="Calibri" w:eastAsia="Calibri" w:hAnsi="Calibri"/>
          <w:sz w:val="22"/>
          <w:szCs w:val="22"/>
        </w:rPr>
        <w:t xml:space="preserve">Occasional and infrequent requesters, including regional CMACs, who use the process a few times a year and have to reconstruct it each time.</w:t>
      </w:r>
    </w:p>
    <w:p>
      <w:pPr>
        <w:pStyle w:val="ListParagraph"/>
        <w:numPr>
          <w:ilvl w:val="0"/>
          <w:numId w:val="2"/>
        </w:numPr>
        <w:spacing w:after="80" w:line="276"/>
      </w:pPr>
      <w:r>
        <w:rPr>
          <w:rFonts w:ascii="Calibri" w:cs="Calibri" w:eastAsia="Calibri" w:hAnsi="Calibri"/>
          <w:sz w:val="22"/>
          <w:szCs w:val="22"/>
        </w:rPr>
        <w:t xml:space="preserve">Experienced and high-volume requesters, including CMACs who manage a portfolio of active requests for a business area.</w:t>
      </w:r>
    </w:p>
    <w:p>
      <w:pPr>
        <w:pStyle w:val="ListParagraph"/>
        <w:numPr>
          <w:ilvl w:val="0"/>
          <w:numId w:val="2"/>
        </w:numPr>
        <w:spacing w:after="80" w:line="276"/>
      </w:pPr>
      <w:r>
        <w:rPr>
          <w:rFonts w:ascii="Calibri" w:cs="Calibri" w:eastAsia="Calibri" w:hAnsi="Calibri"/>
          <w:sz w:val="22"/>
          <w:szCs w:val="22"/>
        </w:rPr>
        <w:t xml:space="preserve">Infrastructure service staff, who receive requests, coordinate the work across service groups and record its progress.</w:t>
      </w:r>
    </w:p>
    <w:p>
      <w:pPr>
        <w:pStyle w:val="Heading2"/>
        <w:keepNext/>
        <w:spacing w:after="120" w:before="260"/>
      </w:pPr>
      <w:r>
        <w:rPr>
          <w:rFonts w:ascii="Calibri" w:cs="Calibri" w:eastAsia="Calibri" w:hAnsi="Calibri"/>
          <w:b/>
          <w:bCs/>
          <w:color w:val="44546A"/>
          <w:sz w:val="25"/>
          <w:szCs w:val="25"/>
        </w:rPr>
        <w:t xml:space="preserve">3.3   Mandated Constraints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Four constraints were fixed before design began. Product scope is limited to the Furniture Request service rather than the whole of Infrastructure service delivery. The solution must work within a process involving multiple Infrastructure groups and handoffs, so it cannot assume a single owner from intake to completion. The product must fit within the broader PRISM Core system rather than operate as a standalone service, which means shared data such as buildings, people and organizational identity is inherited rather than re-created. Existing Government of Alberta roles, approvals and access rules must be respected, so authorization is a property of the request rather than a convenience setting in the interface.</w:t>
      </w:r>
    </w:p>
    <w:p>
      <w:pPr>
        <w:pStyle w:val="Heading2"/>
        <w:keepNext/>
        <w:spacing w:after="120" w:before="260"/>
      </w:pPr>
      <w:r>
        <w:rPr>
          <w:rFonts w:ascii="Calibri" w:cs="Calibri" w:eastAsia="Calibri" w:hAnsi="Calibri"/>
          <w:b/>
          <w:bCs/>
          <w:color w:val="44546A"/>
          <w:sz w:val="25"/>
          <w:szCs w:val="25"/>
        </w:rPr>
        <w:t xml:space="preserve">3.4   Scope of the Product and the System Boundary</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product covers the Furniture Request service and supports authorized requesters from preparing and submitting a request, through follow-up, to closure. Within that span it keeps the key information and status for a request connected, so that requesters and authorized Infrastructure staff can follow the same request throughout its lifecycle instead of reconstructing it from separate messages.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Procurement, warehouse activities, installation and delivery sit outside the boundary. The product may track the status of those activities where they form part of fulfilling a request, but it does not perform or manage them, and the suppliers and installers who carry them out are not expected to work inside it. The same principle applies to the platform: identity, building and facility data are mastered in PRISM Core and consumed by this service, not maintained by it. The boundary is drawn around the request as a record and a conversation, not around the physical furniture work.</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200"/>
        <w:gridCol w:w="3580"/>
        <w:gridCol w:w="3580"/>
      </w:tblGrid>
      <w:tr>
        <w:trPr>
          <w:tblHeader/>
        </w:trPr>
        <w:tc>
          <w:tcPr>
            <w:tcW w:type="dxa" w:w="22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Area</w:t>
            </w:r>
          </w:p>
        </w:tc>
        <w:tc>
          <w:tcPr>
            <w:tcW w:type="dxa" w:w="358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Inside the product</w:t>
            </w:r>
          </w:p>
        </w:tc>
        <w:tc>
          <w:tcPr>
            <w:tcW w:type="dxa" w:w="358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Outside the product</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Request lifecycle</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Preparation, submission, follow-up and closure of a Furniture Request</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physical furniture work itself</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Fulfilment</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Recording and displaying fulfilment progress and stages</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Performing procurement, warehousing, delivery or installation</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Reference data</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Using building, facility, location and person data from PRISM Core</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Mastering or maintaining that data</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Procurement</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Holding the purchase order reference against the request</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Raising and managing the purchase order</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Communication</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Material request communication and updates tied to the request</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General ministry email and chat</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External parties</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Visibility of supplier and installer progress</w:t>
            </w:r>
          </w:p>
        </w:tc>
        <w:tc>
          <w:tcPr>
            <w:tcW w:type="dxa" w:w="35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Supplier and installer transactions in the system</w:t>
            </w:r>
          </w:p>
        </w:tc>
      </w:tr>
    </w:tbl>
    <w:p>
      <w:pPr>
        <w:pStyle w:val="Heading2"/>
        <w:keepNext/>
        <w:spacing w:after="120" w:before="260"/>
      </w:pPr>
      <w:r>
        <w:rPr>
          <w:rFonts w:ascii="Calibri" w:cs="Calibri" w:eastAsia="Calibri" w:hAnsi="Calibri"/>
          <w:b/>
          <w:bCs/>
          <w:color w:val="44546A"/>
          <w:sz w:val="25"/>
          <w:szCs w:val="25"/>
        </w:rPr>
        <w:t xml:space="preserve">3.5   Functional Requirements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functional requirements are grouped by the part of the journey they serve. They are written in the active voice, one function to a requirement, and they describe what the product does rather than how a screen presents it.</w:t>
      </w:r>
    </w:p>
    <w:p>
      <w:pPr>
        <w:pStyle w:val="Heading3"/>
        <w:keepNext/>
        <w:spacing w:after="100" w:before="200"/>
      </w:pPr>
      <w:r>
        <w:rPr>
          <w:rFonts w:ascii="Calibri" w:cs="Calibri" w:eastAsia="Calibri" w:hAnsi="Calibri"/>
          <w:b/>
          <w:bCs/>
          <w:color w:val="44546A"/>
          <w:sz w:val="22"/>
          <w:szCs w:val="22"/>
        </w:rPr>
        <w:t xml:space="preserve">Preparing and submitting a request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A request begins when a CMAC recognizes a need and has to turn it into something Infrastructure can act on. This group exists because incomplete and mis-typed requests are one of the two main sources of rework identified in Milestone 1. Request type does most of the work here: it determines which attachments are mandatory and what the minimum lead time is, so getting it right at the start prevents a request from stalling later.</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FR-01</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a CMAC to create a furniture work order for all supported request types: Purchase New, Reconfiguration, Ergonomics, Moves, Recycle, Combination, Greater than 9 Workstations, and STIP.</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FR-02</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capture the information required by the Furniture Request process as part of the request record.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FR-03</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require the attachments that are mandatory for the selected request type.</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FR-04</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capture the date by which the requester needs the furniture work completed.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FR-05</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authorized requesters to save a draft Furniture Request and resume it later without losing entered information.</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FR-06</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users to attach the common document and image files required to support a Furniture Request.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FR-07</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service shall identify missing required information before a Furniture Request is submitted.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FR-08</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a completed Furniture Request to be submitted without requiring a separate status-change process.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FR-09</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service shall confirm successful submission to the requester.</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FR-10</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For Moves requests, the system shall capture both the origin and destination locations and the supporting information required for the move.</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FR-11</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a requester to indicate when recycled furniture is preferred or required.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FR-12</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record required approvals and the related decision information when an approval is part of a Furniture Request.</w:t>
            </w:r>
          </w:p>
        </w:tc>
      </w:tr>
    </w:tbl>
    <w:p>
      <w:pPr>
        <w:pStyle w:val="Heading3"/>
        <w:keepNext/>
        <w:spacing w:after="100" w:before="200"/>
      </w:pPr>
      <w:r>
        <w:rPr>
          <w:rFonts w:ascii="Calibri" w:cs="Calibri" w:eastAsia="Calibri" w:hAnsi="Calibri"/>
          <w:b/>
          <w:bCs/>
          <w:color w:val="44546A"/>
          <w:sz w:val="22"/>
          <w:szCs w:val="22"/>
        </w:rPr>
        <w:t xml:space="preserve">Following, managing and closing a request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second group answers the question the problem statement says cannot be answered today: where is my request, who has it, and what happens next. It also covers the interesting cases the scenarios explore, from a duplicate arriving by a second route to a request that has to be found again years later.</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FR-13</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display the current status of a Furniture Request, for example created, submitted, assigned or completed.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FR-14</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represent the Furniture Request lifecycle using meaningful stages from submission through to closure.</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FR-15</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maintain a single Furniture Request record containing the material information, decisions and updates needed to follow the request.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FR-16</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keep material request communications and updates associated with the relevant Furniture Request.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FR-17</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track relevant external fulfilment progress without requiring external parties to transact directly in the system.</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FR-18</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record the asset identity and warranty information for furniture supplied through a request, where that information is available.</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FR-19</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authorized requesters to retrieve their active and completed Furniture Requests.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FR-20</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authorized users to search and filter Furniture Requests using relevant information such as location and status.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FR-21</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allow authorized users to retrieve relevant information from completed Furniture Requests for later follow-up.</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FR-22</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support identifying and resolving duplicate Furniture Requests while preserving the history of the request that continues.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FR-23</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provide guidance when users need help understanding the request information that is required.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FR-24</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support authorized staff reporting using relevant request information such as location, status and time period.</w:t>
            </w:r>
          </w:p>
        </w:tc>
      </w:tr>
    </w:tbl>
    <w:p>
      <w:pPr>
        <w:pStyle w:val="Heading3"/>
        <w:keepNext/>
        <w:spacing w:after="100" w:before="200"/>
      </w:pPr>
      <w:r>
        <w:rPr>
          <w:rFonts w:ascii="Calibri" w:cs="Calibri" w:eastAsia="Calibri" w:hAnsi="Calibri"/>
          <w:b/>
          <w:bCs/>
          <w:color w:val="44546A"/>
          <w:sz w:val="22"/>
          <w:szCs w:val="22"/>
        </w:rPr>
        <w:t xml:space="preserve">Access and administration</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Because the product sits inside PRISM Core and inherits Government of Alberta authorization rules, access is a functional matter and not only a security property.</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FR-25</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restrict the creation of, viewing of, and actions on Furniture Requests according to the user’s authorized role.</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FR-26</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support assigning and maintaining authorized user roles.</w:t>
            </w:r>
          </w:p>
        </w:tc>
      </w:tr>
    </w:tbl>
    <w:p>
      <w:pPr>
        <w:pStyle w:val="Heading2"/>
        <w:keepNext/>
        <w:spacing w:after="120" w:before="260"/>
      </w:pPr>
      <w:r>
        <w:rPr>
          <w:rFonts w:ascii="Calibri" w:cs="Calibri" w:eastAsia="Calibri" w:hAnsi="Calibri"/>
          <w:b/>
          <w:bCs/>
          <w:color w:val="44546A"/>
          <w:sz w:val="25"/>
          <w:szCs w:val="25"/>
        </w:rPr>
        <w:t xml:space="preserve">3.6   Non-Functional Requirements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These describe qualities of the product rather than functions it performs, grouped under the Volere headings used in the course template. Where a quality was expressed in general terms, a measurable target is proposed so that the requirement can be tested; the targets themselves should be confirmed with the client.</w:t>
      </w:r>
    </w:p>
    <w:p>
      <w:pPr>
        <w:pStyle w:val="Heading3"/>
        <w:keepNext/>
        <w:spacing w:after="100" w:before="200"/>
      </w:pPr>
      <w:r>
        <w:rPr>
          <w:rFonts w:ascii="Calibri" w:cs="Calibri" w:eastAsia="Calibri" w:hAnsi="Calibri"/>
          <w:b/>
          <w:bCs/>
          <w:color w:val="44546A"/>
          <w:sz w:val="22"/>
          <w:szCs w:val="22"/>
        </w:rPr>
        <w:t xml:space="preserve">Look and feel requirements</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NFR-01</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product shall follow the Government of Alberta design system for visual style, components and interaction patterns wherever it applies.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NFR-02</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interface shall present Furniture Request information using a clear and consistent visual hierarchy throughout the request process.</w:t>
            </w:r>
          </w:p>
        </w:tc>
      </w:tr>
    </w:tbl>
    <w:p>
      <w:pPr>
        <w:pStyle w:val="Heading3"/>
        <w:keepNext/>
        <w:spacing w:after="100" w:before="200"/>
      </w:pPr>
      <w:r>
        <w:rPr>
          <w:rFonts w:ascii="Calibri" w:cs="Calibri" w:eastAsia="Calibri" w:hAnsi="Calibri"/>
          <w:b/>
          <w:bCs/>
          <w:color w:val="44546A"/>
          <w:sz w:val="22"/>
          <w:szCs w:val="22"/>
        </w:rPr>
        <w:t xml:space="preserve">Usability and humanity requirements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This is the largest group. The user characterization found that the sharpest difference between users is not ability or age but how often they use the process, so the product has to serve an experienced coordinator and a once-a-year requester equally well.</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NFR-03</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workflow shall be understandable to both new and experienced requesters.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NFR-04</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Users shall be able to complete a Furniture Request with minimal training or prior process knowledge.</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NFR-05</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 new or infrequent CMAC shall be able to complete a standard request without needing help from outside the product.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NFR-06</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request process shall guide users clearly from starting a request through to submission.</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NFR-07</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Users shall be able to understand the current status of their request without interpretation or enquiry.</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NFR-08</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use clear, familiar workplace language and shall explain unfamiliar terms where they are used.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NFR-09</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reduce unnecessary repeated data entry where the information is already available to it.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NFR-10</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provide a consistent experience as users move through a request and return to it later.</w:t>
            </w:r>
          </w:p>
        </w:tc>
      </w:tr>
    </w:tbl>
    <w:p>
      <w:pPr>
        <w:pStyle w:val="Heading3"/>
        <w:keepNext/>
        <w:spacing w:after="100" w:before="200"/>
      </w:pPr>
      <w:r>
        <w:rPr>
          <w:rFonts w:ascii="Calibri" w:cs="Calibri" w:eastAsia="Calibri" w:hAnsi="Calibri"/>
          <w:b/>
          <w:bCs/>
          <w:color w:val="44546A"/>
          <w:sz w:val="22"/>
          <w:szCs w:val="22"/>
        </w:rPr>
        <w:t xml:space="preserve">Performance requirements</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NFR-11</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Search results and request lists shall load promptly at the expected data volume (target: within three seconds under normal load).</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NFR-12</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File uploads and retrievals shall complete without unnecessary delay during normal use (target: a ten-megabyte attachment within ten seconds on a standard departmental connection).</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NFR-13</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Reports shall generate promptly during normal use (target: a standard location, status or period report within thirty seconds).</w:t>
            </w:r>
          </w:p>
        </w:tc>
      </w:tr>
    </w:tbl>
    <w:p>
      <w:pPr>
        <w:pStyle w:val="Heading3"/>
        <w:keepNext/>
        <w:spacing w:after="100" w:before="200"/>
      </w:pPr>
      <w:r>
        <w:rPr>
          <w:rFonts w:ascii="Calibri" w:cs="Calibri" w:eastAsia="Calibri" w:hAnsi="Calibri"/>
          <w:b/>
          <w:bCs/>
          <w:color w:val="44546A"/>
          <w:sz w:val="22"/>
          <w:szCs w:val="22"/>
        </w:rPr>
        <w:t xml:space="preserve">Security requirements</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NFR-14</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Furniture Request information shall be visible only to users who are authorized to access it.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NFR-15</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Authorized users shall be able to access only those Furniture Requests their role permits them to view.</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NFR-16</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Administrative users shall have access to requests only where their role requires it.</w:t>
            </w:r>
          </w:p>
        </w:tc>
      </w:tr>
    </w:tbl>
    <w:p>
      <w:pPr>
        <w:pStyle w:val="Heading3"/>
        <w:keepNext/>
        <w:spacing w:after="100" w:before="200"/>
      </w:pPr>
      <w:r>
        <w:rPr>
          <w:rFonts w:ascii="Calibri" w:cs="Calibri" w:eastAsia="Calibri" w:hAnsi="Calibri"/>
          <w:b/>
          <w:bCs/>
          <w:color w:val="44546A"/>
          <w:sz w:val="22"/>
          <w:szCs w:val="22"/>
        </w:rPr>
        <w:t xml:space="preserve">Other requirements</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1000"/>
        <w:gridCol w:w="8360"/>
      </w:tblGrid>
      <w:tr>
        <w:trPr>
          <w:tblHeader/>
        </w:trPr>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Ref</w:t>
            </w:r>
          </w:p>
        </w:tc>
        <w:tc>
          <w:tcPr>
            <w:tcW w:type="dxa" w:w="83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Requirement</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NFR-17</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retain completed Furniture Request records for the period required by Government of Alberta records and support requirements.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NFR-18</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be accessible through supported modern web browsers.</w:t>
            </w:r>
          </w:p>
        </w:tc>
      </w:tr>
      <w:tr>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NFR-19</w:t>
            </w:r>
          </w:p>
        </w:tc>
        <w:tc>
          <w:tcPr>
            <w:tcW w:type="dxa" w:w="83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system shall provide a usable experience across supported desktop and mobile devices.</w:t>
            </w:r>
          </w:p>
        </w:tc>
      </w:tr>
    </w:tbl>
    <w:p>
      <w:pPr>
        <w:keepNext w:val="false"/>
        <w:spacing w:after="140" w:before="120" w:line="276"/>
        <w:jc w:val="both"/>
      </w:pPr>
      <w:r>
        <w:rPr>
          <w:rFonts w:ascii="Calibri" w:cs="Calibri" w:eastAsia="Calibri" w:hAnsi="Calibri"/>
          <w:b w:val="false"/>
          <w:bCs w:val="false"/>
          <w:i w:val="false"/>
          <w:iCs w:val="false"/>
          <w:color w:val="000000"/>
          <w:sz w:val="22"/>
          <w:szCs w:val="22"/>
        </w:rPr>
        <w:t xml:space="preserve">Two technology decisions follow from this group and shape the design. The product is a browser-based web application delivered inside PRISM rather than a separately installed application, and it must remain usable on a phone, because requesters routinely photograph a broken chair or a cluttered floor area at the moment they notice the problem.</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E0" w:sz="6" w:space="4"/>
      </w:pBdr>
      <w:tabs>
        <w:tab w:val="right" w:pos="9026"/>
      </w:tabs>
      <w:spacing w:before="60"/>
    </w:pPr>
    <w:r>
      <w:rPr>
        <w:rFonts w:ascii="Calibri" w:cs="Calibri" w:eastAsia="Calibri" w:hAnsi="Calibri"/>
        <w:color w:val="44546A"/>
        <w:sz w:val="16"/>
        <w:szCs w:val="16"/>
      </w:rPr>
      <w:t xml:space="preserve">PRISM Furniture Request — Milestone 2</w:t>
    </w:r>
    <w:r>
      <w:rPr>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0E0" w:sz="6" w:space="4"/>
      </w:pBdr>
      <w:spacing w:after="60"/>
      <w:jc w:val="right"/>
    </w:pPr>
    <w:r>
      <w:rPr>
        <w:rFonts w:ascii="Calibri" w:cs="Calibri" w:eastAsia="Calibri" w:hAnsi="Calibri"/>
        <w:color w:val="44546A"/>
        <w:sz w:val="16"/>
        <w:szCs w:val="16"/>
      </w:rPr>
      <w:t xml:space="preserve">MDPM 883 · PRISM Furniture Request · Requirements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lvl w:ilvl="2" w15:tentative="1">
      <w:start w:val="1"/>
      <w:numFmt w:val="bullet"/>
      <w:lvlText w:val="◦"/>
      <w:lvlJc w:val="left"/>
      <w:pPr>
        <w:ind w:left="1296" w:hanging="288"/>
      </w:pPr>
    </w:lvl>
  </w:abstractNum>
  <w:abstractNum w:abstractNumId="3">
    <w:multiLevelType w:val="multilevel"/>
    <w:lvl w:ilvl="0">
      <w:start w:val="1"/>
      <w:numFmt w:val="decimal"/>
      <w:lvlText w:val="%1."/>
      <w:lvlJc w:val="left"/>
      <w:pPr>
        <w:ind w:left="420" w:hanging="420"/>
      </w:pPr>
    </w:lvl>
    <w:lvl w:ilvl="1">
      <w:start w:val="1"/>
      <w:numFmt w:val="decimal"/>
      <w:lvlText w:val="%1.%2"/>
      <w:lvlJc w:val="left"/>
      <w:pPr>
        <w:ind w:left="980" w:hanging="520"/>
      </w:pPr>
    </w:lvl>
    <w:lvl w:ilvl="2">
      <w:start w:val="1"/>
      <w:numFmt w:val="decimal"/>
      <w:lvlText w:val="%1.%2.%3"/>
      <w:lvlJc w:val="left"/>
      <w:pPr>
        <w:ind w:left="1560" w:hanging="520"/>
      </w:pPr>
    </w:lvl>
  </w:abstractNum>
  <w:num w:numId="1">
    <w:abstractNumId w:val="1"/>
    <w:lvlOverride w:ilvl="0">
      <w:startOverride w:val="1"/>
    </w:lvlOverride>
  </w:num>
  <w:num w:numId="2">
    <w:abstractNumId w:val="2"/>
    <w:lvlOverride w:ilvl="0">
      <w:startOverride w:val="1"/>
    </w:lvlOverride>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Furniture Request — Requirements, Task Model, Scenarios, Data Dictionary and Users</dc:title>
  <dc:creator>MDPM 883 Project Team</dc:creator>
  <dc:description>MDPM 883 Milestone 2 requirements deliverable</dc:description>
  <cp:lastModifiedBy>Un-named</cp:lastModifiedBy>
  <cp:revision>1</cp:revision>
  <dcterms:created xsi:type="dcterms:W3CDTF">2026-09-19T10:18:06.965Z</dcterms:created>
  <dcterms:modified xsi:type="dcterms:W3CDTF">2026-09-19T10:18:06.965Z</dcterms:modified>
</cp:coreProperties>
</file>

<file path=docProps/custom.xml><?xml version="1.0" encoding="utf-8"?>
<Properties xmlns="http://schemas.openxmlformats.org/officeDocument/2006/custom-properties" xmlns:vt="http://schemas.openxmlformats.org/officeDocument/2006/docPropsVTypes"/>
</file>