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44546A"/>
          <w:sz w:val="20"/>
          <w:szCs w:val="20"/>
        </w:rPr>
        <w:t xml:space="preserve">MDPM 883 · DESIGNING THE DIGITAL PRODUCT</w:t>
      </w:r>
    </w:p>
    <w:p>
      <w:pPr>
        <w:spacing w:after="0" w:before="300"/>
        <w:jc w:val="center"/>
      </w:pPr>
      <w:r>
        <w:rPr>
          <w:rFonts w:ascii="Calibri" w:cs="Calibri" w:eastAsia="Calibri" w:hAnsi="Calibri"/>
          <w:b/>
          <w:bCs/>
          <w:color w:val="1F3864"/>
          <w:sz w:val="56"/>
          <w:szCs w:val="56"/>
        </w:rPr>
        <w:t xml:space="preserve">PRISM Furniture Request</w:t>
      </w:r>
    </w:p>
    <w:p>
      <w:pPr>
        <w:spacing w:after="420" w:before="120"/>
        <w:jc w:val="center"/>
      </w:pPr>
      <w:r>
        <w:rPr>
          <w:rFonts w:ascii="Calibri" w:cs="Calibri" w:eastAsia="Calibri" w:hAnsi="Calibri"/>
          <w:color w:val="44546A"/>
          <w:sz w:val="30"/>
          <w:szCs w:val="30"/>
        </w:rPr>
        <w:t xml:space="preserve">Scenarios of Use</w:t>
      </w:r>
    </w:p>
    <w:p>
      <w:pPr>
        <w:spacing w:after="700" w:before="0"/>
        <w:jc w:val="center"/>
      </w:pPr>
      <w:r>
        <w:rPr>
          <w:rFonts w:ascii="Calibri" w:cs="Calibri" w:eastAsia="Calibri" w:hAnsi="Calibri"/>
          <w:i/>
          <w:iCs/>
          <w:color w:val="44546A"/>
          <w:sz w:val="22"/>
          <w:szCs w:val="22"/>
        </w:rPr>
        <w:t xml:space="preserve">Government of Alberta · Ministry of Infrastructure</w:t>
      </w:r>
    </w:p>
    <w:tbl>
      <w:tblPr>
        <w:tblW w:type="dxa" w:w="7000"/>
        <w:tblBorders>
          <w:top w:val="single" w:color="C6D0E0" w:sz="4"/>
          <w:left w:val="single" w:color="C6D0E0" w:sz="4"/>
          <w:bottom w:val="single" w:color="C6D0E0" w:sz="4"/>
          <w:right w:val="single" w:color="C6D0E0" w:sz="4"/>
          <w:insideH w:val="single" w:color="C6D0E0" w:sz="2"/>
          <w:insideV w:val="single" w:color="C6D0E0" w:sz="2"/>
        </w:tblBorders>
      </w:tblPr>
      <w:tblGrid>
        <w:gridCol w:w="2600"/>
        <w:gridCol w:w="4400"/>
      </w:tblGrid>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Course</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MDPM 883 – Designing the Digital Product</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Deliverable</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Milestone 2 – Requirements Documents</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Product</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PRISM Furniture Request</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Companion document</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PRISM Furniture Request – Task Descriptions</w:t>
            </w:r>
          </w:p>
        </w:tc>
      </w:tr>
    </w:tbl>
    <w:p>
      <w:pPr>
        <w:keepNext w:val="false"/>
        <w:spacing w:after="220" w:before="0" w:line="276"/>
        <w:jc w:val="both"/>
      </w:pPr>
      <w:r>
        <w:rPr>
          <w:rFonts w:ascii="Calibri" w:cs="Calibri" w:eastAsia="Calibri" w:hAnsi="Calibri"/>
          <w:b w:val="false"/>
          <w:bCs w:val="false"/>
          <w:i/>
          <w:iCs/>
          <w:color w:val="5A6270"/>
          <w:sz w:val="20"/>
          <w:szCs w:val="20"/>
        </w:rPr>
        <w:t xml:space="preserve">Artifact 3 of the Milestone 2 Requirements Documents deliverable for the PRISM Furniture Request product. Section numbers are those of the full deliverable, so a cross-reference such as “section 4.2” points to the same place in every file. The artifacts are also held together on the team Miro board.</w:t>
      </w:r>
    </w:p>
    <w:p>
      <w:pPr>
        <w:pStyle w:val="Heading1"/>
        <w:pBdr>
          <w:bottom w:val="single" w:color="C6D0E0" w:sz="8" w:space="6"/>
        </w:pBdr>
        <w:spacing w:after="160" w:before="360"/>
      </w:pPr>
      <w:r>
        <w:rPr>
          <w:rFonts w:ascii="Calibri" w:cs="Calibri" w:eastAsia="Calibri" w:hAnsi="Calibri"/>
          <w:b/>
          <w:bCs/>
          <w:color w:val="1F3864"/>
          <w:sz w:val="30"/>
          <w:szCs w:val="30"/>
        </w:rPr>
        <w:t xml:space="preserve">5.   Scenarios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scenarios below show the product in use. In the sense used by Carroll and Rosson they are activity scenarios: each has a named protagonist in a concrete situation, each describes what that person is thinking and why they act as they do, and none specifies the user interface. Together they cover typical use across all three user groups and the interesting cases the problem statement makes likely, including an incomplete request, a duplicate arriving by two routes, and a decision about which supply path a need should take.</w:t>
      </w:r>
    </w:p>
    <w:p>
      <w:pPr>
        <w:pStyle w:val="Heading2"/>
        <w:keepNext/>
        <w:spacing w:after="120" w:before="260"/>
      </w:pPr>
      <w:r>
        <w:rPr>
          <w:rFonts w:ascii="Calibri" w:cs="Calibri" w:eastAsia="Calibri" w:hAnsi="Calibri"/>
          <w:b/>
          <w:bCs/>
          <w:color w:val="44546A"/>
          <w:sz w:val="25"/>
          <w:szCs w:val="25"/>
        </w:rPr>
        <w:t xml:space="preserve">Scenario 1 – Following up on a furniture delivery issue</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Kevin is a CMAC who submitted a Furniture Request three weeks ago for furniture to be delivered to a specific office location. Since submitting it, information and updates have been shared through email, Teams messages and conversations with Infrastructure staff. When the furniture is delivered to the wrong location, Kevin needs to understand what was originally requested, what decisions were made, and who is responsible for correcting the issue. Rather than creating a new request or searching through separate messages, he returns to the existing request and reviews its history. He confirms the intended delivery location, checks the current status and next step, and identifies who is responsible for the correction. He provides the updated information needed to resolve the issue and keeps following the request until the furniture is moved to the correct location. Having the history and the current information together lets him resolve the problem without duplicating work or losing track of previous decisions.</w:t>
      </w:r>
    </w:p>
    <w:p>
      <w:pPr>
        <w:pStyle w:val="Heading2"/>
        <w:keepNext/>
        <w:spacing w:after="120" w:before="260"/>
      </w:pPr>
      <w:r>
        <w:rPr>
          <w:rFonts w:ascii="Calibri" w:cs="Calibri" w:eastAsia="Calibri" w:hAnsi="Calibri"/>
          <w:b/>
          <w:bCs/>
          <w:color w:val="44546A"/>
          <w:sz w:val="25"/>
          <w:szCs w:val="25"/>
        </w:rPr>
        <w:t xml:space="preserve">Scenario 2 – A duplicate request arriving by a second route</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Owen is a CMAC representing an office area. A manager tells him a chair needs to be replaced, so Owen submits a Furniture Request with the information he has been given. He does not know that another authorized requester has already submitted a request for the same chair. Later, Owen learns that two requests are now in progress for the same need. He wants to avoid having both continue and creating unnecessary work for Infrastructure. He reviews the two requests to understand when they were submitted, what information each contains and who submitted them. He confirms that they relate to the same furniture need and identifies which request should continue. He then provides the information needed to resolve the duplicate and follows the remaining request so that he can see its current status and next step. The duplicate is dealt with without losing the original request information or creating further confusion.</w:t>
      </w:r>
    </w:p>
    <w:p>
      <w:pPr>
        <w:pStyle w:val="Heading2"/>
        <w:keepNext/>
        <w:spacing w:after="120" w:before="260"/>
      </w:pPr>
      <w:r>
        <w:rPr>
          <w:rFonts w:ascii="Calibri" w:cs="Calibri" w:eastAsia="Calibri" w:hAnsi="Calibri"/>
          <w:b/>
          <w:bCs/>
          <w:color w:val="44546A"/>
          <w:sz w:val="25"/>
          <w:szCs w:val="25"/>
        </w:rPr>
        <w:t xml:space="preserve">Scenario 3 – Submitting a recycled-furniture request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Kevin needs fourteen chairs for an office in Calgary. Because he wants to keep costs down and make use of available government furniture, he first wants to know whether suitable recycled chairs can meet the need before new furniture is considered. He starts a Furniture Request and identifies the office location, the number and type of chairs required, and the reason for the request. He provides the information and the supporting photographs needed to show what the office requires, and indicates that recycled furniture is preferred. As he prepares the request he confirms that the necessary information is included, and submits it for review. Kevin then checks that the request was received and follows its progress, so that he knows whether suitable recycled furniture can be provided or whether another option needs to be considered.</w:t>
      </w:r>
    </w:p>
    <w:p>
      <w:pPr>
        <w:pStyle w:val="Heading2"/>
        <w:keepNext/>
        <w:spacing w:after="120" w:before="260"/>
      </w:pPr>
      <w:r>
        <w:rPr>
          <w:rFonts w:ascii="Calibri" w:cs="Calibri" w:eastAsia="Calibri" w:hAnsi="Calibri"/>
          <w:b/>
          <w:bCs/>
          <w:color w:val="44546A"/>
          <w:sz w:val="25"/>
          <w:szCs w:val="25"/>
        </w:rPr>
        <w:t xml:space="preserve">Scenario 4 – Monitoring many concurrent requests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Priya is an experienced CMAC who regularly manages several Furniture Requests on behalf of her business area. At the start of the week she reviews her active requests to understand which are progressing normally and which may need attention. She notices that one has not moved forward as expected. Priya reviews that request’s history, current status, ownership and next step to understand what is causing the delay and whether action is needed from her or from Infrastructure. Once she has identified what needs attention she follows up on that request and leaves the others to continue normally. This lets her spend her time on the requests that need intervention, instead of tracking every request through memory, email or separate notes.</w:t>
      </w:r>
    </w:p>
    <w:p>
      <w:pPr>
        <w:pStyle w:val="Heading2"/>
        <w:keepNext/>
        <w:spacing w:after="120" w:before="260"/>
      </w:pPr>
      <w:r>
        <w:rPr>
          <w:rFonts w:ascii="Calibri" w:cs="Calibri" w:eastAsia="Calibri" w:hAnsi="Calibri"/>
          <w:b/>
          <w:bCs/>
          <w:color w:val="44546A"/>
          <w:sz w:val="25"/>
          <w:szCs w:val="25"/>
        </w:rPr>
        <w:t xml:space="preserve">Scenario 5 – Moving a workstation between buildings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Lina is a CMAC arranging for a workstation to be moved from the seventh floor of one building to the eighth floor of another. Because the move involves two locations, she needs to be sure Infrastructure understands both where the workstation is coming from and where it needs to go. She gathers the origin and destination details, prepares the relevant floor plans, marks the workstation locations on them, and provides the information needed to explain the move. She submits the Furniture Request and checks that the details for both locations have been captured correctly. As the request progresses she follows its status and responds when additional information is needed. Before the scheduled move she confirms that the origin, destination and move details are still correct, so that the furniture can be collected and delivered to the intended location without delay or rescheduling.</w:t>
      </w:r>
    </w:p>
    <w:p>
      <w:pPr>
        <w:pStyle w:val="Heading2"/>
        <w:keepNext/>
        <w:spacing w:after="120" w:before="260"/>
      </w:pPr>
      <w:r>
        <w:rPr>
          <w:rFonts w:ascii="Calibri" w:cs="Calibri" w:eastAsia="Calibri" w:hAnsi="Calibri"/>
          <w:b/>
          <w:bCs/>
          <w:color w:val="44546A"/>
          <w:sz w:val="25"/>
          <w:szCs w:val="25"/>
        </w:rPr>
        <w:t xml:space="preserve">Scenario 6 – Finding information for a warranty claim</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Hugh is a CMAC who submitted a Furniture Request for a sit-stand desk two years ago. A manager contacts him because the desk has stopped raising and may still be under warranty. Hugh needs to find the original request and the information required to determine what should happen next. He searches his completed requests using details such as the office location and the approximate date, then reviews the original request and its history. He checks the available purchase, installation, supplier and product information to determine whether there is enough to support a warranty claim. He gathers the relevant details and provides them to the person handling the issue. Because he can find the original request and its supporting information, he follows up on the warranty issue without reconstructing the history from old emails or contacting several people.</w:t>
      </w:r>
    </w:p>
    <w:p>
      <w:pPr>
        <w:pStyle w:val="Heading2"/>
        <w:keepNext/>
        <w:spacing w:after="120" w:before="260"/>
      </w:pPr>
      <w:r>
        <w:rPr>
          <w:rFonts w:ascii="Calibri" w:cs="Calibri" w:eastAsia="Calibri" w:hAnsi="Calibri"/>
          <w:b/>
          <w:bCs/>
          <w:color w:val="44546A"/>
          <w:sz w:val="25"/>
          <w:szCs w:val="25"/>
        </w:rPr>
        <w:t xml:space="preserve">Scenario 7 – Acting on an incomplete request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Daniel is a furniture coordinator in Infrastructure. A Reconfiguration request arrives from a regional office for an area he does not know, and when he opens it he sees that the floor is named but the area within it is not, and that the marked floor plan the request type requires has not been attached. He cannot assign the work to an installer without knowing where the furniture goes, and he does not want the request to sit in his queue while he works out who to telephone. He records against the request exactly what is missing and asks the requester for it, so that the question and the answer stay with the request rather than in his mailbox. The requester replies with a marked plan and confirms the area. Daniel checks that the request is now complete enough to act on, confirms the requirement with the requester, and assigns it to the responsible group. The exchange remains part of the request, so the installer who picks the work up later can see what was clarified and why.</w:t>
      </w:r>
    </w:p>
    <w:p>
      <w:pPr>
        <w:pStyle w:val="Heading2"/>
        <w:keepNext/>
        <w:spacing w:after="120" w:before="260"/>
      </w:pPr>
      <w:r>
        <w:rPr>
          <w:rFonts w:ascii="Calibri" w:cs="Calibri" w:eastAsia="Calibri" w:hAnsi="Calibri"/>
          <w:b/>
          <w:bCs/>
          <w:color w:val="44546A"/>
          <w:sz w:val="25"/>
          <w:szCs w:val="25"/>
        </w:rPr>
        <w:t xml:space="preserve">Coverage</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set is checked below to confirm that the scenarios span the user groups and the situations the product has to handle, rather than repeating the same story with different names.</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900"/>
        <w:gridCol w:w="1700"/>
        <w:gridCol w:w="2600"/>
        <w:gridCol w:w="4160"/>
      </w:tblGrid>
      <w:tr>
        <w:trPr>
          <w:tblHeader/>
        </w:trPr>
        <w:tc>
          <w:tcPr>
            <w:tcW w:type="dxa" w:w="9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No.</w:t>
            </w:r>
          </w:p>
        </w:tc>
        <w:tc>
          <w:tcPr>
            <w:tcW w:type="dxa" w:w="17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Protagonist</w:t>
            </w:r>
          </w:p>
        </w:tc>
        <w:tc>
          <w:tcPr>
            <w:tcW w:type="dxa" w:w="26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User group</w:t>
            </w:r>
          </w:p>
        </w:tc>
        <w:tc>
          <w:tcPr>
            <w:tcW w:type="dxa" w:w="41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Situation</w:t>
            </w:r>
          </w:p>
        </w:tc>
      </w:tr>
      <w:tr>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Kevin</w:t>
            </w:r>
          </w:p>
        </w:tc>
        <w:tc>
          <w:tcPr>
            <w:tcW w:type="dxa" w:w="2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Experienced requester</w:t>
            </w:r>
          </w:p>
        </w:tc>
        <w:tc>
          <w:tcPr>
            <w:tcW w:type="dxa" w:w="4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Interesting: correcting a mis-delivery using a fragmented history</w:t>
            </w:r>
          </w:p>
        </w:tc>
      </w:tr>
      <w:tr>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Owen</w:t>
            </w:r>
          </w:p>
        </w:tc>
        <w:tc>
          <w:tcPr>
            <w:tcW w:type="dxa" w:w="2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Occasional requester</w:t>
            </w:r>
          </w:p>
        </w:tc>
        <w:tc>
          <w:tcPr>
            <w:tcW w:type="dxa" w:w="4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Interesting: a duplicate arriving by a second route</w:t>
            </w:r>
          </w:p>
        </w:tc>
      </w:tr>
      <w:tr>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Kevin</w:t>
            </w:r>
          </w:p>
        </w:tc>
        <w:tc>
          <w:tcPr>
            <w:tcW w:type="dxa" w:w="2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Experienced requester</w:t>
            </w:r>
          </w:p>
        </w:tc>
        <w:tc>
          <w:tcPr>
            <w:tcW w:type="dxa" w:w="4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Typical, and a decision about the supply path: recycled before new</w:t>
            </w:r>
          </w:p>
        </w:tc>
      </w:tr>
      <w:tr>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Priya</w:t>
            </w:r>
          </w:p>
        </w:tc>
        <w:tc>
          <w:tcPr>
            <w:tcW w:type="dxa" w:w="2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High-volume requester</w:t>
            </w:r>
          </w:p>
        </w:tc>
        <w:tc>
          <w:tcPr>
            <w:tcW w:type="dxa" w:w="4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Typical: managing a portfolio of concurrent requests</w:t>
            </w:r>
          </w:p>
        </w:tc>
      </w:tr>
      <w:tr>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Lina</w:t>
            </w:r>
          </w:p>
        </w:tc>
        <w:tc>
          <w:tcPr>
            <w:tcW w:type="dxa" w:w="2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Occasional requester</w:t>
            </w:r>
          </w:p>
        </w:tc>
        <w:tc>
          <w:tcPr>
            <w:tcW w:type="dxa" w:w="4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Typical: a move spanning two locations</w:t>
            </w:r>
          </w:p>
        </w:tc>
      </w:tr>
      <w:tr>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6</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Hugh</w:t>
            </w:r>
          </w:p>
        </w:tc>
        <w:tc>
          <w:tcPr>
            <w:tcW w:type="dxa" w:w="2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Infrequent requester</w:t>
            </w:r>
          </w:p>
        </w:tc>
        <w:tc>
          <w:tcPr>
            <w:tcW w:type="dxa" w:w="4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Interesting: retrieving a closed request years later</w:t>
            </w:r>
          </w:p>
        </w:tc>
      </w:tr>
      <w:tr>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7</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Daniel</w:t>
            </w:r>
          </w:p>
        </w:tc>
        <w:tc>
          <w:tcPr>
            <w:tcW w:type="dxa" w:w="2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Infrastructure service staff</w:t>
            </w:r>
          </w:p>
        </w:tc>
        <w:tc>
          <w:tcPr>
            <w:tcW w:type="dxa" w:w="4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Interesting: an incomplete request that cannot be actioned</w:t>
            </w:r>
          </w:p>
        </w:tc>
      </w:tr>
    </w:tbl>
    <w:p>
      <w:pPr>
        <w:keepNext w:val="false"/>
        <w:spacing w:after="140" w:before="140" w:line="276"/>
        <w:jc w:val="both"/>
      </w:pPr>
      <w:r>
        <w:rPr>
          <w:rFonts w:ascii="Calibri" w:cs="Calibri" w:eastAsia="Calibri" w:hAnsi="Calibri"/>
          <w:b w:val="false"/>
          <w:bCs w:val="false"/>
          <w:i w:val="false"/>
          <w:iCs w:val="false"/>
          <w:color w:val="000000"/>
          <w:sz w:val="22"/>
          <w:szCs w:val="22"/>
        </w:rPr>
        <w:t xml:space="preserve">Three scenarios produced requirements that had not been written down before. Scenario 2 is the origin of FR-22, resolving a duplicate while preserving the history of the request that continues. Scenario 6 is the origin of FR-21 and FR-18, retrieving a completed request and the asset and warranty information recorded against it. Scenario 7 is the origin of FR-03, requiring the attachments that are mandatory for the selected request type.</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E0" w:sz="6" w:space="4"/>
      </w:pBdr>
      <w:tabs>
        <w:tab w:val="right" w:pos="9026"/>
      </w:tabs>
      <w:spacing w:before="60"/>
    </w:pPr>
    <w:r>
      <w:rPr>
        <w:rFonts w:ascii="Calibri" w:cs="Calibri" w:eastAsia="Calibri" w:hAnsi="Calibri"/>
        <w:color w:val="44546A"/>
        <w:sz w:val="16"/>
        <w:szCs w:val="16"/>
      </w:rPr>
      <w:t xml:space="preserve">PRISM Furniture Request — Milestone 2</w:t>
    </w:r>
    <w:r>
      <w:rPr>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0E0" w:sz="6" w:space="4"/>
      </w:pBdr>
      <w:spacing w:after="60"/>
      <w:jc w:val="right"/>
    </w:pPr>
    <w:r>
      <w:rPr>
        <w:rFonts w:ascii="Calibri" w:cs="Calibri" w:eastAsia="Calibri" w:hAnsi="Calibri"/>
        <w:color w:val="44546A"/>
        <w:sz w:val="16"/>
        <w:szCs w:val="16"/>
      </w:rPr>
      <w:t xml:space="preserve">MDPM 883 · PRISM Furniture Request · Requirements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lvl w:ilvl="2" w15:tentative="1">
      <w:start w:val="1"/>
      <w:numFmt w:val="bullet"/>
      <w:lvlText w:val="◦"/>
      <w:lvlJc w:val="left"/>
      <w:pPr>
        <w:ind w:left="1296" w:hanging="288"/>
      </w:pPr>
    </w:lvl>
  </w:abstractNum>
  <w:abstractNum w:abstractNumId="3">
    <w:multiLevelType w:val="multilevel"/>
    <w:lvl w:ilvl="0">
      <w:start w:val="1"/>
      <w:numFmt w:val="decimal"/>
      <w:lvlText w:val="%1."/>
      <w:lvlJc w:val="left"/>
      <w:pPr>
        <w:ind w:left="420" w:hanging="420"/>
      </w:pPr>
    </w:lvl>
    <w:lvl w:ilvl="1">
      <w:start w:val="1"/>
      <w:numFmt w:val="decimal"/>
      <w:lvlText w:val="%1.%2"/>
      <w:lvlJc w:val="left"/>
      <w:pPr>
        <w:ind w:left="980" w:hanging="520"/>
      </w:pPr>
    </w:lvl>
    <w:lvl w:ilvl="2">
      <w:start w:val="1"/>
      <w:numFmt w:val="decimal"/>
      <w:lvlText w:val="%1.%2.%3"/>
      <w:lvlJc w:val="left"/>
      <w:pPr>
        <w:ind w:left="1560" w:hanging="520"/>
      </w:pPr>
    </w:lvl>
  </w:abstractNum>
  <w:num w:numId="1">
    <w:abstractNumId w:val="1"/>
    <w:lvlOverride w:ilvl="0">
      <w:startOverride w:val="1"/>
    </w:lvlOverride>
  </w:num>
  <w:num w:numId="2">
    <w:abstractNumId w:val="2"/>
    <w:lvlOverride w:ilvl="0">
      <w:startOverride w:val="1"/>
    </w:lvlOverride>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Furniture Request — Requirements, Task Model, Scenarios, Data Dictionary and Users</dc:title>
  <dc:creator>MDPM 883 Project Team</dc:creator>
  <dc:description>MDPM 883 Milestone 2 requirements deliverable</dc:description>
  <cp:lastModifiedBy>Un-named</cp:lastModifiedBy>
  <cp:revision>1</cp:revision>
  <dcterms:created xsi:type="dcterms:W3CDTF">2026-09-19T10:18:06.965Z</dcterms:created>
  <dcterms:modified xsi:type="dcterms:W3CDTF">2026-09-19T10:18:06.965Z</dcterms:modified>
</cp:coreProperties>
</file>

<file path=docProps/custom.xml><?xml version="1.0" encoding="utf-8"?>
<Properties xmlns="http://schemas.openxmlformats.org/officeDocument/2006/custom-properties" xmlns:vt="http://schemas.openxmlformats.org/officeDocument/2006/docPropsVTypes"/>
</file>