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44546A"/>
          <w:sz w:val="20"/>
          <w:szCs w:val="20"/>
        </w:rPr>
        <w:t xml:space="preserve">MDPM 883 · DESIGNING THE DIGITAL PRODUCT</w:t>
      </w:r>
    </w:p>
    <w:p>
      <w:pPr>
        <w:spacing w:after="0" w:before="300"/>
        <w:jc w:val="center"/>
      </w:pPr>
      <w:r>
        <w:rPr>
          <w:rFonts w:ascii="Calibri" w:cs="Calibri" w:eastAsia="Calibri" w:hAnsi="Calibri"/>
          <w:b/>
          <w:bCs/>
          <w:color w:val="1F3864"/>
          <w:sz w:val="56"/>
          <w:szCs w:val="56"/>
        </w:rPr>
        <w:t xml:space="preserve">PRISM Furniture Request</w:t>
      </w:r>
    </w:p>
    <w:p>
      <w:pPr>
        <w:spacing w:after="420" w:before="120"/>
        <w:jc w:val="center"/>
      </w:pPr>
      <w:r>
        <w:rPr>
          <w:rFonts w:ascii="Calibri" w:cs="Calibri" w:eastAsia="Calibri" w:hAnsi="Calibri"/>
          <w:color w:val="44546A"/>
          <w:sz w:val="30"/>
          <w:szCs w:val="30"/>
        </w:rPr>
        <w:t xml:space="preserve">Data Dictionary</w:t>
      </w:r>
    </w:p>
    <w:p>
      <w:pPr>
        <w:spacing w:after="700" w:before="0"/>
        <w:jc w:val="center"/>
      </w:pPr>
      <w:r>
        <w:rPr>
          <w:rFonts w:ascii="Calibri" w:cs="Calibri" w:eastAsia="Calibri" w:hAnsi="Calibri"/>
          <w:i/>
          <w:iCs/>
          <w:color w:val="44546A"/>
          <w:sz w:val="22"/>
          <w:szCs w:val="22"/>
        </w:rPr>
        <w:t xml:space="preserve">Government of Alberta · Ministry of Infrastructure</w:t>
      </w:r>
    </w:p>
    <w:tbl>
      <w:tblPr>
        <w:tblW w:type="dxa" w:w="7000"/>
        <w:tblBorders>
          <w:top w:val="single" w:color="C6D0E0" w:sz="4"/>
          <w:left w:val="single" w:color="C6D0E0" w:sz="4"/>
          <w:bottom w:val="single" w:color="C6D0E0" w:sz="4"/>
          <w:right w:val="single" w:color="C6D0E0" w:sz="4"/>
          <w:insideH w:val="single" w:color="C6D0E0" w:sz="2"/>
          <w:insideV w:val="single" w:color="C6D0E0" w:sz="2"/>
        </w:tblBorders>
      </w:tblPr>
      <w:tblGrid>
        <w:gridCol w:w="2600"/>
        <w:gridCol w:w="4400"/>
      </w:tblGrid>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Course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MDPM 883 – Designing the Digital Product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Deliverable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Milestone 2 – Requirements Documents</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Product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Companion document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 – Task Descriptions</w:t>
            </w:r>
          </w:p>
        </w:tc>
      </w:tr>
    </w:tbl>
    <w:p>
      <w:pPr>
        <w:keepNext w:val="false"/>
        <w:spacing w:after="220" w:before="0" w:line="276"/>
        <w:jc w:val="both"/>
      </w:pPr>
      <w:r>
        <w:rPr>
          <w:rFonts w:ascii="Calibri" w:cs="Calibri" w:eastAsia="Calibri" w:hAnsi="Calibri"/>
          <w:b w:val="false"/>
          <w:bCs w:val="false"/>
          <w:i/>
          <w:iCs/>
          <w:color w:val="5A6270"/>
          <w:sz w:val="20"/>
          <w:szCs w:val="20"/>
        </w:rPr>
        <w:t xml:space="preserve">Artifact 4 of the Milestone 2 Requirements Documents deliverable for the PRISM Furniture Request product. Section numbers are those of the full deliverable, so a cross-reference such as “section 4.2” points to the same place in every file. The artifacts are also held together on the team Miro board.</w:t>
      </w:r>
    </w:p>
    <w:p>
      <w:pPr>
        <w:pStyle w:val="Heading1"/>
        <w:pBdr>
          <w:bottom w:val="single" w:color="C6D0E0" w:sz="8" w:space="6"/>
        </w:pBdr>
        <w:spacing w:after="160" w:before="360"/>
      </w:pPr>
      <w:r>
        <w:rPr>
          <w:rFonts w:ascii="Calibri" w:cs="Calibri" w:eastAsia="Calibri" w:hAnsi="Calibri"/>
          <w:b/>
          <w:bCs/>
          <w:color w:val="1F3864"/>
          <w:sz w:val="30"/>
          <w:szCs w:val="30"/>
        </w:rPr>
        <w:t xml:space="preserve">6.   Data Dictionary</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data dictionary records the data that matters to the business, described for business users rather than for database designers. It is deliberately lightweight: it names the most important elements, says what each one means, and shows where each is mastered. That last column matters because the mandated constraints place the product inside PRISM Core. Anything mastered there is inherited rather than re-keyed, which is the direct source of NFR-09, and anything mastered by this service is the product’s own responsibility to hold and protect.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Elements are grouped as they are on the board: identity and classification, people, location, item and asset, timing, cost and approval, and the progress record.</w:t>
      </w:r>
    </w:p>
    <w:p>
      <w:pPr>
        <w:pStyle w:val="Heading2"/>
        <w:keepNext/>
        <w:spacing w:after="120" w:before="260"/>
      </w:pPr>
      <w:r>
        <w:rPr>
          <w:rFonts w:ascii="Calibri" w:cs="Calibri" w:eastAsia="Calibri" w:hAnsi="Calibri"/>
          <w:b/>
          <w:bCs/>
          <w:color w:val="44546A"/>
          <w:sz w:val="25"/>
          <w:szCs w:val="25"/>
        </w:rPr>
        <w:t xml:space="preserve">Request identity and classification</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 Order ID</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unique identifier for the work order created from a submitted Furniture Request, used to track the resulting work through fulfilment.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 Type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category of request, which determines the mandatory attachments and the minimum lead time. One of Purchase New, Reconfiguration, Ergonomics, Moves, Recycle, Combination, Greater than 9 Workstations, or STIP, as listed in FR-01 and selected at task 2.2.</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Priority Level</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urgency assigned to the request by the requester.</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People and organization</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Requester (CMAC)</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authorized requester or CMAC representing the office or business area who submits and monitors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Requester Contact Information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contact details for the requester or CMAC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Requesting Ministry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government body the CMAC represents and to which the Furniture Request belongs.</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Assigned Coordinator</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Infrastructure staff member or team currently responsible for progressing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Location</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Building Code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Government of Alberta identifier for the facility or building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Facility / Building</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Government of Alberta facility or building associated with the Furniture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Location / Address</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street address and city of the facility or building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Floor Plan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plan document held for a facility, including its source, date and format. The copy marked up for a request is held by the service.</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Origin and Destination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For a Moves request, the location the furniture is collected from and the location it is delivered to.</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Item and asset</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Furniture Item ID</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unique identifier for each furniture item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Item Condition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known condition of an existing furniture item, such as new, used, damaged or beyond repair.</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Asset Identity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manufacturer, model, serial number or equivalent information used to identify a specific furniture item.</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Warranty Information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information used to determine warranty coverage for a furniture item, such as the warranty period or expiry date where available.</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Inventory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stock of available furniture, new or recycled, that can be matched to a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Core</w:t>
            </w:r>
          </w:p>
        </w:tc>
      </w:tr>
    </w:tbl>
    <w:p>
      <w:pPr>
        <w:pStyle w:val="Heading2"/>
        <w:keepNext/>
        <w:spacing w:after="120" w:before="260"/>
      </w:pPr>
      <w:r>
        <w:rPr>
          <w:rFonts w:ascii="Calibri" w:cs="Calibri" w:eastAsia="Calibri" w:hAnsi="Calibri"/>
          <w:b/>
          <w:bCs/>
          <w:color w:val="44546A"/>
          <w:sz w:val="25"/>
          <w:szCs w:val="25"/>
        </w:rPr>
        <w:t xml:space="preserve">Timing</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 Order Submission Date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date and time the request was formally submitted.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Required Date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date by which the requester needs the furniture work completed.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Scheduled Event</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planned date for a delivery, move, installation or other scheduled fulfilment activity.</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Fulfilment Date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date the work order request was completed.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Cost and approval</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Purchase Order Reference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procurement reference associated with a furniture purchase and linked to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Procurement</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Approval Record</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approval required for a request, together with who gave it and the related decision information.</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pPr>
        <w:pStyle w:val="Heading2"/>
        <w:keepNext/>
        <w:spacing w:after="120" w:before="260"/>
      </w:pPr>
      <w:r>
        <w:rPr>
          <w:rFonts w:ascii="Calibri" w:cs="Calibri" w:eastAsia="Calibri" w:hAnsi="Calibri"/>
          <w:b/>
          <w:bCs/>
          <w:color w:val="44546A"/>
          <w:sz w:val="25"/>
          <w:szCs w:val="25"/>
        </w:rPr>
        <w:t xml:space="preserve">Progress and record</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100"/>
        <w:gridCol w:w="5860"/>
        <w:gridCol w:w="1400"/>
      </w:tblGrid>
      <w:tr>
        <w:trPr>
          <w:tblHeader/>
        </w:trPr>
        <w:tc>
          <w:tcPr>
            <w:tcW w:type="dxa" w:w="21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Name</w:t>
            </w:r>
          </w:p>
        </w:tc>
        <w:tc>
          <w:tcPr>
            <w:tcW w:type="dxa" w:w="58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c>
          <w:tcPr>
            <w:tcW w:type="dxa" w:w="14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Mastered in</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 Status</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current status of the request, such as created, submitted, assigned, in progress, completed or cancelled. FR-13 and task 5.1 use the same values.</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Workflow Stage</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 stage in the fulfilment process, such as installation or need confirmation.</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 History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record of significant status changes, dates, handoffs and actions associated with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Interaction History</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time-stamped log of meaningful communication, updates or decisions related to the request.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Attachments</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Files associated with the request, such as a checklist, floor plan, quote, photograph, video, approval, invoice or marked-up layout.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Submission Confirmation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record confirming that the work order was successfully submitted.</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Client Checklist</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structured intake information currently completed outside the system and attached as a separate document.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Comments</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 free-text note added to the request by an authorized user.</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Closure Confirmation</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record of whether the requester accepted completion or reported an outstanding issue.</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r>
        <w:tc>
          <w:tcPr>
            <w:tcW w:type="dxa" w:w="21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Issue Report</w:t>
            </w:r>
          </w:p>
        </w:tc>
        <w:tc>
          <w:tcPr>
            <w:tcW w:type="dxa" w:w="58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 scope or installation issue reported after fulfilment.</w:t>
            </w:r>
          </w:p>
        </w:tc>
        <w:tc>
          <w:tcPr>
            <w:tcW w:type="dxa" w:w="1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Service</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Milestone 2</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Requirements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abstractNum w:abstractNumId="3">
    <w:multiLevelType w:val="multilevel"/>
    <w:lvl w:ilvl="0">
      <w:start w:val="1"/>
      <w:numFmt w:val="decimal"/>
      <w:lvlText w:val="%1."/>
      <w:lvlJc w:val="left"/>
      <w:pPr>
        <w:ind w:left="420" w:hanging="420"/>
      </w:pPr>
    </w:lvl>
    <w:lvl w:ilvl="1">
      <w:start w:val="1"/>
      <w:numFmt w:val="decimal"/>
      <w:lvlText w:val="%1.%2"/>
      <w:lvlJc w:val="left"/>
      <w:pPr>
        <w:ind w:left="980" w:hanging="520"/>
      </w:pPr>
    </w:lvl>
    <w:lvl w:ilvl="2">
      <w:start w:val="1"/>
      <w:numFmt w:val="decimal"/>
      <w:lvlText w:val="%1.%2.%3"/>
      <w:lvlJc w:val="left"/>
      <w:pPr>
        <w:ind w:left="1560" w:hanging="520"/>
      </w:pPr>
    </w:lvl>
  </w:abstractNum>
  <w:num w:numId="1">
    <w:abstractNumId w:val="1"/>
    <w:lvlOverride w:ilvl="0">
      <w:startOverride w:val="1"/>
    </w:lvlOverride>
  </w:num>
  <w:num w:numId="2">
    <w:abstractNumId w:val="2"/>
    <w:lvlOverride w:ilvl="0">
      <w:startOverride w:val="1"/>
    </w:lvlOverride>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Requirements, Task Model, Scenarios, Data Dictionary and Users</dc:title>
  <dc:creator>MDPM 883 Project Team</dc:creator>
  <dc:description>MDPM 883 Milestone 2 requirements deliverable</dc:description>
  <cp:lastModifiedBy>Un-named</cp:lastModifiedBy>
  <cp:revision>1</cp:revision>
  <dcterms:created xsi:type="dcterms:W3CDTF">2026-09-19T10:18:06.965Z</dcterms:created>
  <dcterms:modified xsi:type="dcterms:W3CDTF">2026-09-19T10:18:06.965Z</dcterms:modified>
</cp:coreProperties>
</file>

<file path=docProps/custom.xml><?xml version="1.0" encoding="utf-8"?>
<Properties xmlns="http://schemas.openxmlformats.org/officeDocument/2006/custom-properties" xmlns:vt="http://schemas.openxmlformats.org/officeDocument/2006/docPropsVTypes"/>
</file>