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rFonts w:ascii="Calibri" w:cs="Calibri" w:eastAsia="Calibri" w:hAnsi="Calibri"/>
          <w:b/>
          <w:bCs/>
          <w:color w:val="44546A"/>
          <w:sz w:val="20"/>
          <w:szCs w:val="20"/>
        </w:rPr>
        <w:t xml:space="preserve">MDPM 883 · DESIGNING THE DIGITAL PRODUCT</w:t>
      </w:r>
    </w:p>
    <w:p>
      <w:pPr>
        <w:spacing w:after="0" w:before="300"/>
        <w:jc w:val="center"/>
      </w:pPr>
      <w:r>
        <w:rPr>
          <w:rFonts w:ascii="Calibri" w:cs="Calibri" w:eastAsia="Calibri" w:hAnsi="Calibri"/>
          <w:b/>
          <w:bCs/>
          <w:color w:val="1F3864"/>
          <w:sz w:val="56"/>
          <w:szCs w:val="56"/>
        </w:rPr>
        <w:t xml:space="preserve">PRISM Furniture Request</w:t>
      </w:r>
    </w:p>
    <w:p>
      <w:pPr>
        <w:spacing w:after="420" w:before="120"/>
        <w:jc w:val="center"/>
      </w:pPr>
      <w:r>
        <w:rPr>
          <w:rFonts w:ascii="Calibri" w:cs="Calibri" w:eastAsia="Calibri" w:hAnsi="Calibri"/>
          <w:color w:val="44546A"/>
          <w:sz w:val="30"/>
          <w:szCs w:val="30"/>
        </w:rPr>
        <w:t xml:space="preserve">Consistency, Traceability and Open Issues</w:t>
      </w:r>
    </w:p>
    <w:p>
      <w:pPr>
        <w:spacing w:after="700" w:before="0"/>
        <w:jc w:val="center"/>
      </w:pPr>
      <w:r>
        <w:rPr>
          <w:rFonts w:ascii="Calibri" w:cs="Calibri" w:eastAsia="Calibri" w:hAnsi="Calibri"/>
          <w:i/>
          <w:iCs/>
          <w:color w:val="44546A"/>
          <w:sz w:val="22"/>
          <w:szCs w:val="22"/>
        </w:rPr>
        <w:t xml:space="preserve">Government of Alberta · Ministry of Infrastructure</w:t>
      </w:r>
    </w:p>
    <w:tbl>
      <w:tblPr>
        <w:tblW w:type="dxa" w:w="7000"/>
        <w:tblBorders>
          <w:top w:val="single" w:color="C6D0E0" w:sz="4"/>
          <w:left w:val="single" w:color="C6D0E0" w:sz="4"/>
          <w:bottom w:val="single" w:color="C6D0E0" w:sz="4"/>
          <w:right w:val="single" w:color="C6D0E0" w:sz="4"/>
          <w:insideH w:val="single" w:color="C6D0E0" w:sz="2"/>
          <w:insideV w:val="single" w:color="C6D0E0" w:sz="2"/>
        </w:tblBorders>
      </w:tblPr>
      <w:tblGrid>
        <w:gridCol w:w="2600"/>
        <w:gridCol w:w="4400"/>
      </w:tblGrid>
      <w:tr>
        <w:tc>
          <w:tcPr>
            <w:tcW w:type="dxa" w:w="26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Course</w:t>
            </w:r>
          </w:p>
        </w:tc>
        <w:tc>
          <w:tcPr>
            <w:tcW w:type="dxa" w:w="4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MDPM 883 – Designing the Digital Product</w:t>
            </w:r>
          </w:p>
        </w:tc>
      </w:tr>
      <w:tr>
        <w:tc>
          <w:tcPr>
            <w:tcW w:type="dxa" w:w="26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Deliverable</w:t>
            </w:r>
          </w:p>
        </w:tc>
        <w:tc>
          <w:tcPr>
            <w:tcW w:type="dxa" w:w="4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Milestone 2 – Requirements Documents</w:t>
            </w:r>
          </w:p>
        </w:tc>
      </w:tr>
      <w:tr>
        <w:tc>
          <w:tcPr>
            <w:tcW w:type="dxa" w:w="26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Product</w:t>
            </w:r>
          </w:p>
        </w:tc>
        <w:tc>
          <w:tcPr>
            <w:tcW w:type="dxa" w:w="4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PRISM Furniture Request</w:t>
            </w:r>
          </w:p>
        </w:tc>
      </w:tr>
      <w:tr>
        <w:tc>
          <w:tcPr>
            <w:tcW w:type="dxa" w:w="26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Companion document</w:t>
            </w:r>
          </w:p>
        </w:tc>
        <w:tc>
          <w:tcPr>
            <w:tcW w:type="dxa" w:w="4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PRISM Furniture Request – Task Descriptions</w:t>
            </w:r>
          </w:p>
        </w:tc>
      </w:tr>
    </w:tbl>
    <w:p>
      <w:pPr>
        <w:keepNext w:val="false"/>
        <w:spacing w:after="220" w:before="0" w:line="276"/>
        <w:jc w:val="both"/>
      </w:pPr>
      <w:r>
        <w:rPr>
          <w:rFonts w:ascii="Calibri" w:cs="Calibri" w:eastAsia="Calibri" w:hAnsi="Calibri"/>
          <w:b w:val="false"/>
          <w:bCs w:val="false"/>
          <w:i/>
          <w:iCs/>
          <w:color w:val="5A6270"/>
          <w:sz w:val="20"/>
          <w:szCs w:val="20"/>
        </w:rPr>
        <w:t xml:space="preserve">Artifact 6 of the Milestone 2 Requirements Documents deliverable for the PRISM Furniture Request product. Section numbers are those of the full deliverable, so a cross-reference such as “section 4.2” points to the same place in every file. The artifacts are also held together on the team Miro board. It records how the artifacts were checked against one another and what remains open.</w:t>
      </w:r>
    </w:p>
    <w:p>
      <w:pPr>
        <w:pStyle w:val="Heading1"/>
        <w:pBdr>
          <w:bottom w:val="single" w:color="C6D0E0" w:sz="8" w:space="6"/>
        </w:pBdr>
        <w:spacing w:after="160" w:before="360"/>
      </w:pPr>
      <w:r>
        <w:rPr>
          <w:rFonts w:ascii="Calibri" w:cs="Calibri" w:eastAsia="Calibri" w:hAnsi="Calibri"/>
          <w:b/>
          <w:bCs/>
          <w:color w:val="1F3864"/>
          <w:sz w:val="30"/>
          <w:szCs w:val="30"/>
        </w:rPr>
        <w:t xml:space="preserve">9.   Consistency and Traceability</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The artifacts were checked against one another before submission. Each row below can be read across: a need identified in the characterization produces a persona, which appears in a scenario, which exercises a task, which is met by a requirement and supported by a piece of data.</w:t>
      </w:r>
    </w:p>
    <w:tbl>
      <w:tblPr>
        <w:tblW w:type="dxa" w:w="9360"/>
        <w:tblBorders>
          <w:top w:val="single" w:color="C6D0E0" w:sz="4"/>
          <w:left w:val="single" w:color="C6D0E0" w:sz="4"/>
          <w:bottom w:val="single" w:color="C6D0E0" w:sz="4"/>
          <w:right w:val="single" w:color="C6D0E0" w:sz="4"/>
          <w:insideH w:val="single" w:color="C6D0E0" w:sz="2"/>
          <w:insideV w:val="single" w:color="C6D0E0" w:sz="2"/>
        </w:tblBorders>
      </w:tblPr>
      <w:tblGrid>
        <w:gridCol w:w="2300"/>
        <w:gridCol w:w="900"/>
        <w:gridCol w:w="900"/>
        <w:gridCol w:w="1600"/>
        <w:gridCol w:w="3660"/>
      </w:tblGrid>
      <w:tr>
        <w:trPr>
          <w:cantSplit/>
          <w:tblHeader/>
        </w:trPr>
        <w:tc>
          <w:tcPr>
            <w:tcW w:type="dxa" w:w="230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Thread</w:t>
            </w:r>
          </w:p>
        </w:tc>
        <w:tc>
          <w:tcPr>
            <w:tcW w:type="dxa" w:w="90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Persona</w:t>
            </w:r>
          </w:p>
        </w:tc>
        <w:tc>
          <w:tcPr>
            <w:tcW w:type="dxa" w:w="90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Scenario</w:t>
            </w:r>
          </w:p>
        </w:tc>
        <w:tc>
          <w:tcPr>
            <w:tcW w:type="dxa" w:w="160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Tasks</w:t>
            </w:r>
          </w:p>
        </w:tc>
        <w:tc>
          <w:tcPr>
            <w:tcW w:type="dxa" w:w="366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Requirements and data</w:t>
            </w:r>
          </w:p>
        </w:tc>
      </w:tr>
      <w:tr>
        <w:tc>
          <w:tcPr>
            <w:tcW w:type="dxa" w:w="23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Getting it right first time without process knowledge</w:t>
            </w:r>
          </w:p>
        </w:tc>
        <w:tc>
          <w:tcPr>
            <w:tcW w:type="dxa" w:w="9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Elena</w:t>
            </w:r>
          </w:p>
        </w:tc>
        <w:tc>
          <w:tcPr>
            <w:tcW w:type="dxa" w:w="9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3</w:t>
            </w:r>
          </w:p>
        </w:tc>
        <w:tc>
          <w:tcPr>
            <w:tcW w:type="dxa" w:w="16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1.3, 1.3.1, 4.1, 4.6</w:t>
            </w:r>
          </w:p>
        </w:tc>
        <w:tc>
          <w:tcPr>
            <w:tcW w:type="dxa" w:w="36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FR-02, FR-03, FR-07, FR-23; NFR-04 to NFR-08; Request Type, Client Checklist, Attachments</w:t>
            </w:r>
          </w:p>
        </w:tc>
      </w:tr>
      <w:tr>
        <w:tc>
          <w:tcPr>
            <w:tcW w:type="dxa" w:w="23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Following a request without chasing</w:t>
            </w:r>
          </w:p>
        </w:tc>
        <w:tc>
          <w:tcPr>
            <w:tcW w:type="dxa" w:w="9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Priya</w:t>
            </w:r>
          </w:p>
        </w:tc>
        <w:tc>
          <w:tcPr>
            <w:tcW w:type="dxa" w:w="9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1 and 4</w:t>
            </w:r>
          </w:p>
        </w:tc>
        <w:tc>
          <w:tcPr>
            <w:tcW w:type="dxa" w:w="16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5.1 to 5.4.1</w:t>
            </w:r>
          </w:p>
        </w:tc>
        <w:tc>
          <w:tcPr>
            <w:tcW w:type="dxa" w:w="36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FR-13 to FR-16, FR-19, FR-20; Request Status, Workflow Stage, Interaction History</w:t>
            </w:r>
          </w:p>
        </w:tc>
      </w:tr>
      <w:tr>
        <w:tc>
          <w:tcPr>
            <w:tcW w:type="dxa" w:w="23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Acting on an incomplete request</w:t>
            </w:r>
          </w:p>
        </w:tc>
        <w:tc>
          <w:tcPr>
            <w:tcW w:type="dxa" w:w="9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Daniel</w:t>
            </w:r>
          </w:p>
        </w:tc>
        <w:tc>
          <w:tcPr>
            <w:tcW w:type="dxa" w:w="9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7</w:t>
            </w:r>
          </w:p>
        </w:tc>
        <w:tc>
          <w:tcPr>
            <w:tcW w:type="dxa" w:w="16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5.5; staff 1.2, 1.3</w:t>
            </w:r>
          </w:p>
        </w:tc>
        <w:tc>
          <w:tcPr>
            <w:tcW w:type="dxa" w:w="36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FR-03, FR-07, FR-16; Attachments, Comments, Interaction History</w:t>
            </w:r>
          </w:p>
        </w:tc>
      </w:tr>
      <w:tr>
        <w:tc>
          <w:tcPr>
            <w:tcW w:type="dxa" w:w="23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Resolving a duplicate that arrived twice</w:t>
            </w:r>
          </w:p>
        </w:tc>
        <w:tc>
          <w:tcPr>
            <w:tcW w:type="dxa" w:w="9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Owen and Daniel</w:t>
            </w:r>
          </w:p>
        </w:tc>
        <w:tc>
          <w:tcPr>
            <w:tcW w:type="dxa" w:w="9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6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2.5; staff 1.4</w:t>
            </w:r>
          </w:p>
        </w:tc>
        <w:tc>
          <w:tcPr>
            <w:tcW w:type="dxa" w:w="36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FR-22; Request History, Work Order Submission Date, Requester</w:t>
            </w:r>
          </w:p>
        </w:tc>
      </w:tr>
      <w:tr>
        <w:tc>
          <w:tcPr>
            <w:tcW w:type="dxa" w:w="23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Choosing between the recycled and new supply paths</w:t>
            </w:r>
          </w:p>
        </w:tc>
        <w:tc>
          <w:tcPr>
            <w:tcW w:type="dxa" w:w="9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Kevin and Daniel</w:t>
            </w:r>
          </w:p>
        </w:tc>
        <w:tc>
          <w:tcPr>
            <w:tcW w:type="dxa" w:w="9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3</w:t>
            </w:r>
          </w:p>
        </w:tc>
        <w:tc>
          <w:tcPr>
            <w:tcW w:type="dxa" w:w="16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2.4, 2.4.1; staff 2.1, 2.2</w:t>
            </w:r>
          </w:p>
        </w:tc>
        <w:tc>
          <w:tcPr>
            <w:tcW w:type="dxa" w:w="36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FR-11, FR-12; Request Type, Inventory, Purchase Order Reference</w:t>
            </w:r>
          </w:p>
        </w:tc>
      </w:tr>
      <w:tr>
        <w:tc>
          <w:tcPr>
            <w:tcW w:type="dxa" w:w="23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Capturing a move correctly across two locations</w:t>
            </w:r>
          </w:p>
        </w:tc>
        <w:tc>
          <w:tcPr>
            <w:tcW w:type="dxa" w:w="9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Lina</w:t>
            </w:r>
          </w:p>
        </w:tc>
        <w:tc>
          <w:tcPr>
            <w:tcW w:type="dxa" w:w="9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5</w:t>
            </w:r>
          </w:p>
        </w:tc>
        <w:tc>
          <w:tcPr>
            <w:tcW w:type="dxa" w:w="16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3.1 to 3.4.2</w:t>
            </w:r>
          </w:p>
        </w:tc>
        <w:tc>
          <w:tcPr>
            <w:tcW w:type="dxa" w:w="36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FR-10; Origin and Destination, Floor Plan</w:t>
            </w:r>
          </w:p>
        </w:tc>
      </w:tr>
      <w:tr>
        <w:tc>
          <w:tcPr>
            <w:tcW w:type="dxa" w:w="23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Finding a closed request years later</w:t>
            </w:r>
          </w:p>
        </w:tc>
        <w:tc>
          <w:tcPr>
            <w:tcW w:type="dxa" w:w="9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Hugh and Kevin</w:t>
            </w:r>
          </w:p>
        </w:tc>
        <w:tc>
          <w:tcPr>
            <w:tcW w:type="dxa" w:w="9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6</w:t>
            </w:r>
          </w:p>
        </w:tc>
        <w:tc>
          <w:tcPr>
            <w:tcW w:type="dxa" w:w="16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2.6; staff 5.2</w:t>
            </w:r>
          </w:p>
        </w:tc>
        <w:tc>
          <w:tcPr>
            <w:tcW w:type="dxa" w:w="36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FR-18, FR-21, NFR-17; Work Order ID, Asset Identity, Warranty Information, Fulfilment Date</w:t>
            </w:r>
          </w:p>
        </w:tc>
      </w:tr>
      <w:tr>
        <w:tc>
          <w:tcPr>
            <w:tcW w:type="dxa" w:w="23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Knowing when the work is actually needed</w:t>
            </w:r>
          </w:p>
        </w:tc>
        <w:tc>
          <w:tcPr>
            <w:tcW w:type="dxa" w:w="9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Kevin and Daniel</w:t>
            </w:r>
          </w:p>
        </w:tc>
        <w:tc>
          <w:tcPr>
            <w:tcW w:type="dxa" w:w="9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1 and 7</w:t>
            </w:r>
          </w:p>
        </w:tc>
        <w:tc>
          <w:tcPr>
            <w:tcW w:type="dxa" w:w="16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4.1; staff 3.5</w:t>
            </w:r>
          </w:p>
        </w:tc>
        <w:tc>
          <w:tcPr>
            <w:tcW w:type="dxa" w:w="36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FR-04; Required Date, Scheduled Event, Priority Level</w:t>
            </w:r>
          </w:p>
        </w:tc>
      </w:tr>
      <w:tr>
        <w:tc>
          <w:tcPr>
            <w:tcW w:type="dxa" w:w="23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Accepting the work, or saying what is still outstanding</w:t>
            </w:r>
          </w:p>
        </w:tc>
        <w:tc>
          <w:tcPr>
            <w:tcW w:type="dxa" w:w="9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Kevin</w:t>
            </w:r>
          </w:p>
        </w:tc>
        <w:tc>
          <w:tcPr>
            <w:tcW w:type="dxa" w:w="9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1</w:t>
            </w:r>
          </w:p>
        </w:tc>
        <w:tc>
          <w:tcPr>
            <w:tcW w:type="dxa" w:w="16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5.7 to 6.2; staff 5.1, 5.3</w:t>
            </w:r>
          </w:p>
        </w:tc>
        <w:tc>
          <w:tcPr>
            <w:tcW w:type="dxa" w:w="36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FR-14, FR-15; Closure Confirmation, Issue Report</w:t>
            </w:r>
          </w:p>
        </w:tc>
      </w:tr>
    </w:tbl>
    <w:p>
      <w:pPr>
        <w:keepNext w:val="false"/>
        <w:spacing w:after="140" w:before="140" w:line="276"/>
        <w:jc w:val="both"/>
      </w:pPr>
      <w:r>
        <w:rPr>
          <w:rFonts w:ascii="Calibri" w:cs="Calibri" w:eastAsia="Calibri" w:hAnsi="Calibri"/>
          <w:b w:val="false"/>
          <w:bCs w:val="false"/>
          <w:i w:val="false"/>
          <w:iCs w:val="false"/>
          <w:color w:val="000000"/>
          <w:sz w:val="22"/>
          <w:szCs w:val="22"/>
        </w:rPr>
        <w:t xml:space="preserve">The non-functional requirements trace to the characterization rather than to individual scenarios. NFR-03 to NFR-10 follow from the finding that frequency of use, not ability or age, is the sharpest difference between users. NFR-14 to NFR-16 follow from the mandated constraint that Government of Alberta roles, approvals and access rules must be respected. NFR-18 and NFR-19 follow from the decision to deliver the product as a browser-based service that remains usable on a phone.</w:t>
      </w:r>
    </w:p>
    <w:p>
      <w:pPr>
        <w:pStyle w:val="Heading1"/>
        <w:pBdr>
          <w:bottom w:val="single" w:color="C6D0E0" w:sz="8" w:space="6"/>
        </w:pBdr>
        <w:spacing w:after="160" w:before="360"/>
      </w:pPr>
      <w:r>
        <w:rPr>
          <w:rFonts w:ascii="Calibri" w:cs="Calibri" w:eastAsia="Calibri" w:hAnsi="Calibri"/>
          <w:b/>
          <w:bCs/>
          <w:color w:val="1F3864"/>
          <w:sz w:val="30"/>
          <w:szCs w:val="30"/>
        </w:rPr>
        <w:t xml:space="preserve">10.   Open Issues and Assumptions</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The brief expects these artifacts to keep co-evolving with the design, so the points still open are recorded here rather than left implicit. None of them blocks design from proceeding.</w:t>
      </w:r>
    </w:p>
    <w:p>
      <w:pPr>
        <w:pStyle w:val="ListParagraph"/>
        <w:numPr>
          <w:ilvl w:val="0"/>
          <w:numId w:val="2"/>
        </w:numPr>
        <w:spacing w:after="80" w:line="276"/>
      </w:pPr>
      <w:r>
        <w:rPr>
          <w:rFonts w:ascii="Calibri" w:cs="Calibri" w:eastAsia="Calibri" w:hAnsi="Calibri"/>
          <w:sz w:val="22"/>
          <w:szCs w:val="22"/>
        </w:rPr>
        <w:t xml:space="preserve">The request-type taxonomy in FR-01 follows the eight types recorded in the data dictionary, which come from the client demonstrations. An earlier five-type list is still in circulation; the eight-type list is treated as authoritative and the earlier one should be retired.</w:t>
      </w:r>
    </w:p>
    <w:p>
      <w:pPr>
        <w:pStyle w:val="ListParagraph"/>
        <w:numPr>
          <w:ilvl w:val="0"/>
          <w:numId w:val="2"/>
        </w:numPr>
        <w:spacing w:after="80" w:line="276"/>
      </w:pPr>
      <w:r>
        <w:rPr>
          <w:rFonts w:ascii="Calibri" w:cs="Calibri" w:eastAsia="Calibri" w:hAnsi="Calibri"/>
          <w:sz w:val="22"/>
          <w:szCs w:val="22"/>
        </w:rPr>
        <w:t xml:space="preserve">The performance targets in NFR-11 to NFR-13 are proposals intended to make those requirements testable. They need confirming with the client against real data volumes.</w:t>
      </w:r>
    </w:p>
    <w:p>
      <w:pPr>
        <w:pStyle w:val="ListParagraph"/>
        <w:numPr>
          <w:ilvl w:val="0"/>
          <w:numId w:val="2"/>
        </w:numPr>
        <w:spacing w:after="80" w:line="276"/>
      </w:pPr>
      <w:r>
        <w:rPr>
          <w:rFonts w:ascii="Calibri" w:cs="Calibri" w:eastAsia="Calibri" w:hAnsi="Calibri"/>
          <w:sz w:val="22"/>
          <w:szCs w:val="22"/>
        </w:rPr>
        <w:t xml:space="preserve">Whether warranty information is reliably available at the point of supply is not yet established, which is why FR-18 is qualified with "where that information is available".</w:t>
      </w:r>
    </w:p>
    <w:p>
      <w:pPr>
        <w:pStyle w:val="ListParagraph"/>
        <w:numPr>
          <w:ilvl w:val="0"/>
          <w:numId w:val="2"/>
        </w:numPr>
        <w:spacing w:after="80" w:line="276"/>
      </w:pPr>
      <w:r>
        <w:rPr>
          <w:rFonts w:ascii="Calibri" w:cs="Calibri" w:eastAsia="Calibri" w:hAnsi="Calibri"/>
          <w:sz w:val="22"/>
          <w:szCs w:val="22"/>
        </w:rPr>
        <w:t xml:space="preserve">The retention period behind NFR-17 must be taken from the applicable Government of Alberta records schedule rather than assumed. The task model board carries six scenarios and a five-type request sticky; Scenario 7 and the eight-type taxonomy used here should be carried back to it so the board and this document stay in step.</w:t>
      </w:r>
    </w:p>
    <w:p>
      <w:pPr>
        <w:pStyle w:val="ListParagraph"/>
        <w:numPr>
          <w:ilvl w:val="0"/>
          <w:numId w:val="2"/>
        </w:numPr>
        <w:spacing w:after="80" w:line="276"/>
      </w:pPr>
      <w:r>
        <w:rPr>
          <w:rFonts w:ascii="Calibri" w:cs="Calibri" w:eastAsia="Calibri" w:hAnsi="Calibri"/>
          <w:sz w:val="22"/>
          <w:szCs w:val="22"/>
        </w:rPr>
        <w:t xml:space="preserve">No physical, cognitive or accessibility profile was identified in the research. The product is designed to be accessible by default, but this should be tested with users rather than inferred.</w:t>
      </w:r>
    </w:p>
    <w:p>
      <w:pPr>
        <w:pStyle w:val="ListParagraph"/>
        <w:numPr>
          <w:ilvl w:val="0"/>
          <w:numId w:val="2"/>
        </w:numPr>
        <w:spacing w:after="80" w:line="276"/>
      </w:pPr>
      <w:r>
        <w:rPr>
          <w:rFonts w:ascii="Calibri" w:cs="Calibri" w:eastAsia="Calibri" w:hAnsi="Calibri"/>
          <w:sz w:val="22"/>
          <w:szCs w:val="22"/>
        </w:rPr>
        <w:t xml:space="preserve">Language and localization needs beyond clear English have not been established and should not be assumed without further research.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6D0E0" w:sz="6" w:space="4"/>
      </w:pBdr>
      <w:tabs>
        <w:tab w:val="right" w:pos="9026"/>
      </w:tabs>
      <w:spacing w:before="60"/>
    </w:pPr>
    <w:r>
      <w:rPr>
        <w:rFonts w:ascii="Calibri" w:cs="Calibri" w:eastAsia="Calibri" w:hAnsi="Calibri"/>
        <w:color w:val="44546A"/>
        <w:sz w:val="16"/>
        <w:szCs w:val="16"/>
      </w:rPr>
      <w:t xml:space="preserve">PRISM Furniture Request — Milestone 2</w:t>
    </w:r>
    <w:r>
      <w:rPr>
        <w:sz w:val="16"/>
        <w:szCs w:val="16"/>
      </w:rPr>
      <w:t xml:space="preserve">	</w:t>
    </w:r>
    <w:r>
      <w:rPr>
        <w:rFonts w:ascii="Calibri" w:cs="Calibri" w:eastAsia="Calibri" w:hAnsi="Calibri"/>
        <w:color w:val="44546A"/>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6D0E0" w:sz="6" w:space="4"/>
      </w:pBdr>
      <w:spacing w:after="60"/>
      <w:jc w:val="right"/>
    </w:pPr>
    <w:r>
      <w:rPr>
        <w:rFonts w:ascii="Calibri" w:cs="Calibri" w:eastAsia="Calibri" w:hAnsi="Calibri"/>
        <w:color w:val="44546A"/>
        <w:sz w:val="16"/>
        <w:szCs w:val="16"/>
      </w:rPr>
      <w:t xml:space="preserve">MDPM 883 · PRISM Furniture Request · Requirements Documents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lvl w:ilvl="1" w15:tentative="1">
      <w:start w:val="1"/>
      <w:numFmt w:val="bullet"/>
      <w:lvlText w:val="–"/>
      <w:lvlJc w:val="left"/>
      <w:pPr>
        <w:ind w:left="863" w:hanging="288"/>
      </w:pPr>
    </w:lvl>
    <w:lvl w:ilvl="2" w15:tentative="1">
      <w:start w:val="1"/>
      <w:numFmt w:val="bullet"/>
      <w:lvlText w:val="◦"/>
      <w:lvlJc w:val="left"/>
      <w:pPr>
        <w:ind w:left="1296" w:hanging="288"/>
      </w:pPr>
    </w:lvl>
  </w:abstractNum>
  <w:abstractNum w:abstractNumId="3">
    <w:multiLevelType w:val="multilevel"/>
    <w:lvl w:ilvl="0">
      <w:start w:val="1"/>
      <w:numFmt w:val="decimal"/>
      <w:lvlText w:val="%1."/>
      <w:lvlJc w:val="left"/>
      <w:pPr>
        <w:ind w:left="420" w:hanging="420"/>
      </w:pPr>
    </w:lvl>
    <w:lvl w:ilvl="1">
      <w:start w:val="1"/>
      <w:numFmt w:val="decimal"/>
      <w:lvlText w:val="%1.%2"/>
      <w:lvlJc w:val="left"/>
      <w:pPr>
        <w:ind w:left="980" w:hanging="520"/>
      </w:pPr>
    </w:lvl>
    <w:lvl w:ilvl="2">
      <w:start w:val="1"/>
      <w:numFmt w:val="decimal"/>
      <w:lvlText w:val="%1.%2.%3"/>
      <w:lvlJc w:val="left"/>
      <w:pPr>
        <w:ind w:left="1560" w:hanging="520"/>
      </w:pPr>
    </w:lvl>
  </w:abstractNum>
  <w:num w:numId="1">
    <w:abstractNumId w:val="1"/>
    <w:lvlOverride w:ilvl="0">
      <w:startOverride w:val="1"/>
    </w:lvlOverride>
  </w:num>
  <w:num w:numId="2">
    <w:abstractNumId w:val="2"/>
    <w:lvlOverride w:ilvl="0">
      <w:startOverride w:val="1"/>
    </w:lvlOverride>
  </w:num>
  <w:num w:numId="3">
    <w:abstractNumId w:val="3"/>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PRISM Furniture Request — Requirements, Task Model, Scenarios, Data Dictionary and Users</dc:title>
  <dc:creator>MDPM 883 Project Team</dc:creator>
  <dc:description>MDPM 883 Milestone 2 requirements deliverable</dc:description>
  <cp:lastModifiedBy>Un-named</cp:lastModifiedBy>
  <cp:revision>1</cp:revision>
  <dcterms:created xsi:type="dcterms:W3CDTF">2026-09-19T10:18:06.965Z</dcterms:created>
  <dcterms:modified xsi:type="dcterms:W3CDTF">2026-09-19T10:18:06.965Z</dcterms:modified>
</cp:coreProperties>
</file>

<file path=docProps/custom.xml><?xml version="1.0" encoding="utf-8"?>
<Properties xmlns="http://schemas.openxmlformats.org/officeDocument/2006/custom-properties" xmlns:vt="http://schemas.openxmlformats.org/officeDocument/2006/docPropsVTypes"/>
</file>