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5C8A"/>
          <w:sz w:val="18"/>
          <w:szCs w:val="18"/>
        </w:rPr>
        <w:t xml:space="preserve">RESEARCH PROPOSAL | MASc, FALL 2027</w:t>
      </w:r>
    </w:p>
    <w:p>
      <w:pPr>
        <w:spacing w:after="100"/>
      </w:pPr>
      <w:r>
        <w:rPr>
          <w:rFonts w:ascii="Calibri" w:cs="Calibri" w:eastAsia="Calibri" w:hAnsi="Calibri"/>
          <w:b/>
          <w:bCs/>
          <w:color w:val="1F3A5F"/>
          <w:sz w:val="44"/>
          <w:szCs w:val="44"/>
        </w:rPr>
        <w:t xml:space="preserve">Uncertainty-Aware, Data-Driven Selection of Hybrid Natural and Synthetic Fibre Laminates for a Small-UAV Wing Spar</w:t>
      </w:r>
    </w:p>
    <w:p>
      <w:pPr>
        <w:pBdr>
          <w:bottom w:val="single" w:color="1F3A5F" w:sz="12" w:space="6"/>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Abbas Milani, Professor. Email: abbas.milani@ubc.ca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School of Engineering, UBC Okanagan (Materials and Manufacturing Research Institute; Composites Research Network)</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MASc in Mechanical Engineering (thesis), UBC Okanagan</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Summary</w:t>
      </w:r>
    </w:p>
    <w:p>
      <w:pPr>
        <w:spacing w:after="100" w:line="276"/>
      </w:pPr>
      <w:r>
        <w:rPr>
          <w:rFonts w:ascii="Calibri" w:cs="Calibri" w:eastAsia="Calibri" w:hAnsi="Calibri"/>
          <w:sz w:val="21"/>
          <w:szCs w:val="21"/>
        </w:rPr>
        <w:t xml:space="preserve">This proposal outlines a two-year, thesis-based MASc project in the UBC Okanagan School of Engineering for a September 2027 start. It asks how to choose a laminate for a small-UAV structural part when stiffness, mass, embodied carbon, cost and manufacturability conflict and natural-fibre properties vary. The project builds a measured dataset for five carbon, glass, flax and hybrid laminates, adds a screening life cycle assessment and a measured manufacturability score, ranks candidates with Monte Carlo propagation of uncertainty, and tests the resulting predictions on tube spar segments. A scoping search found close neighbours for several elements, including the supervisor's published work, so the gap is a narrow combination held with low confidence; a four-month systematic review (Work Package 0) can narrow or re-scope the thesis. The applicant is a UAV technician with a training plan for the missing finite element, Python, statistics, LCA and composites testing skills. Supervisor availability and funding are posed as questions.</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 Background and motivation</w:t>
      </w:r>
    </w:p>
    <w:p>
      <w:pPr>
        <w:spacing w:after="100" w:line="276"/>
      </w:pPr>
      <w:r>
        <w:rPr>
          <w:rFonts w:ascii="Calibri" w:cs="Calibri" w:eastAsia="Calibri" w:hAnsi="Calibri"/>
          <w:sz w:val="21"/>
          <w:szCs w:val="21"/>
        </w:rPr>
        <w:t xml:space="preserve">Small uncrewed aerial vehicles (UAVs) are widely used for mapping and inspection, and every gram of airframe displaces payload or battery. Composites are the usual route to light, stiff airframes; carbon fibre dominates where performance matters, but is generally regarded as energy-intensive to produce, and cured thermoset parts are difficult to recycle (to be checked in WP0). The life cycle assessment in WP3 will quantify embodied carbon instead of assuming it.</w:t>
      </w:r>
    </w:p>
    <w:p>
      <w:pPr>
        <w:spacing w:after="100" w:line="276"/>
      </w:pPr>
      <w:r>
        <w:rPr>
          <w:rFonts w:ascii="Calibri" w:cs="Calibri" w:eastAsia="Calibri" w:hAnsi="Calibri"/>
          <w:sz w:val="21"/>
          <w:szCs w:val="21"/>
        </w:rPr>
        <w:t xml:space="preserve">Natural-fibre composites have been widely reviewed [1]. Flax is renewable and lower in density than glass, but its composites are generally reported to be less stiff and strong than glass-fibre composites, and more moisture-sensitive and variable; WP0 will check this against primary sources. Hybrid laminates pairing stiff synthetic plies with flax plies are an obvious compromise, but not a certain one: in a thin-walled tube the through-wall stress gradient is small, so stiff outer plies may help less than in a thick beam, and a flax-containing wall may need more material, and mass, to match a carbon tube's stiffness (a WP1 screening calculation will test this). The choice is also multi-dimensional: the lightest layup is rarely the lowest in embodied carbon or the easiest to make well, mean-property rankings can hide unpredictable candidates, and rankings depend on method, as the normalization norm changed a TOPSIS ranking in a gear material selection study [2].</w:t>
      </w:r>
    </w:p>
    <w:p>
      <w:pPr>
        <w:spacing w:after="100" w:line="276"/>
      </w:pPr>
      <w:r>
        <w:rPr>
          <w:rFonts w:ascii="Calibri" w:cs="Calibri" w:eastAsia="Calibri" w:hAnsi="Calibri"/>
          <w:sz w:val="21"/>
          <w:szCs w:val="21"/>
        </w:rPr>
        <w:t xml:space="preserve">Flax/Elium composites for a fixed-wing UAV have been analyzed by finite element methods [3], and an open-access </w:t>
      </w:r>
      <w:r>
        <w:rPr>
          <w:rFonts w:ascii="Calibri" w:cs="Calibri" w:eastAsia="Calibri" w:hAnsi="Calibri"/>
          <w:i/>
          <w:iCs/>
          <w:sz w:val="21"/>
          <w:szCs w:val="21"/>
        </w:rPr>
        <w:t xml:space="preserve">Matéria</w:t>
      </w:r>
      <w:r>
        <w:rPr>
          <w:rFonts w:ascii="Calibri" w:cs="Calibri" w:eastAsia="Calibri" w:hAnsi="Calibri"/>
          <w:sz w:val="21"/>
          <w:szCs w:val="21"/>
        </w:rPr>
        <w:t xml:space="preserve"> paper ranks biocomposites for UAV wings; Section 2 sets out what these leave open.</w:t>
      </w:r>
    </w:p>
    <w:p>
      <w:pPr>
        <w:spacing w:after="100" w:line="276"/>
      </w:pPr>
      <w:r>
        <w:rPr>
          <w:rFonts w:ascii="Calibri" w:cs="Calibri" w:eastAsia="Calibri" w:hAnsi="Calibri"/>
          <w:sz w:val="21"/>
          <w:szCs w:val="21"/>
        </w:rPr>
        <w:t xml:space="preserve">Small-UAV structures are a practical, low-cost setting in which to develop a transparent selection method and check its predictions on real parts, and the theme suits the prospective supervisor's chair in Sustainable &amp; Smart Manufacturing. My background is practical (multirotor and FPV drone work, machining, prototyping), with no documented experience of FEA, topology optimization, composites testing, MATLAB or Python; Section 10 sets out how I will address that.</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One structural part, a tubular wing spar for one reference class of small fixed-wing UAV, and five reference and hybrid laminates, with dry and moisture-conditioned testing, a cradle-to-gate screening life cycle assessment (LCA), a measured manufacturability score, uncertainty-aware ranking and part-scale testing. It excludes fatigue, impact, airworthiness certification and end-of-life work such as recyclable thermoplastic matrices.</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2. Literature review and research gap</w:t>
      </w:r>
    </w:p>
    <w:p>
      <w:pPr>
        <w:spacing w:after="100" w:line="276"/>
      </w:pPr>
      <w:r>
        <w:rPr>
          <w:rFonts w:ascii="Calibri" w:cs="Calibri" w:eastAsia="Calibri" w:hAnsi="Calibri"/>
          <w:sz w:val="21"/>
          <w:szCs w:val="21"/>
        </w:rPr>
        <w:t xml:space="preserve">This section reports a scoping search, not a systematic review: targeted web searches on composite and UAV material selection, uncertainty-aware selection, natural-fibre UAV structures and the supervisor's group. It did not use Scopus or Web of Science and relied on abstract-level information of abstracts and bibliographic records, not the abstracts or full texts, so each statement is limited to what those summaries support.</w:t>
      </w:r>
    </w:p>
    <w:p>
      <w:pPr>
        <w:pStyle w:val="Heading2"/>
        <w:keepNext/>
        <w:spacing w:after="100" w:before="260"/>
      </w:pPr>
      <w:r>
        <w:rPr>
          <w:rFonts w:ascii="Calibri" w:cs="Calibri" w:eastAsia="Calibri" w:hAnsi="Calibri"/>
          <w:b/>
          <w:bCs/>
          <w:color w:val="2E5C8A"/>
          <w:sz w:val="26"/>
          <w:szCs w:val="26"/>
        </w:rPr>
        <w:t xml:space="preserve">2.1 What the literature establishes</w:t>
      </w:r>
    </w:p>
    <w:p>
      <w:pPr>
        <w:spacing w:after="100" w:line="276"/>
      </w:pPr>
      <w:r>
        <w:rPr>
          <w:rFonts w:ascii="Calibri" w:cs="Calibri" w:eastAsia="Calibri" w:hAnsi="Calibri"/>
          <w:sz w:val="21"/>
          <w:szCs w:val="21"/>
        </w:rPr>
        <w:t xml:space="preserve">Classical laminate theory predicts in-plane stiffness from ply properties, while strength, interlaminar behaviour and voids need testing. Natural-fibre composites are well reviewed [1]. Hybridizing with stiffer fibres is a common response to their generally lower stiffness and strength (to be checked in WP0). LCA is standardized (ISO 14040 and 14044) but depends strongly on functional unit and system boundary. MCDM methods such as TOPSIS, VIKOR and AHP are mature and have been reviewed (WP0 will cite verified reviews); rankings are sensitive to method choices [2], and WP0 will document sensitivity to criterion weights.</w:t>
      </w:r>
    </w:p>
    <w:p>
      <w:pPr>
        <w:pStyle w:val="Heading2"/>
        <w:keepNext/>
        <w:spacing w:after="100" w:before="260"/>
      </w:pPr>
      <w:r>
        <w:rPr>
          <w:rFonts w:ascii="Calibri" w:cs="Calibri" w:eastAsia="Calibri" w:hAnsi="Calibri"/>
          <w:b/>
          <w:bCs/>
          <w:color w:val="2E5C8A"/>
          <w:sz w:val="26"/>
          <w:szCs w:val="26"/>
        </w:rPr>
        <w:t xml:space="preserve">2.2 Closest existing work</w:t>
      </w:r>
    </w:p>
    <w:p>
      <w:pPr>
        <w:spacing w:after="100" w:line="276"/>
      </w:pPr>
      <w:r>
        <w:rPr>
          <w:rFonts w:ascii="Calibri" w:cs="Calibri" w:eastAsia="Calibri" w:hAnsi="Calibri"/>
          <w:sz w:val="21"/>
          <w:szCs w:val="21"/>
        </w:rPr>
        <w:t xml:space="preserve">Elements (i) to (iv) are defined in Section 2.3.</w:t>
      </w:r>
    </w:p>
    <w:p>
      <w:pPr>
        <w:keepNext/>
        <w:spacing w:after="60" w:before="80"/>
      </w:pPr>
      <w:r>
        <w:rPr>
          <w:rFonts w:ascii="Calibri" w:cs="Calibri" w:eastAsia="Calibri" w:hAnsi="Calibri"/>
          <w:b/>
          <w:bCs/>
          <w:sz w:val="19"/>
          <w:szCs w:val="19"/>
        </w:rPr>
        <w:t xml:space="preserve">Closest works found in the scoping search, with overlap judged from abstract-level information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30"/>
        <w:gridCol w:w="4175"/>
        <w:gridCol w:w="4175"/>
      </w:tblGrid>
      <w:tr>
        <w:trPr>
          <w:cantSplit/>
          <w:tblHeader/>
        </w:trPr>
        <w:tc>
          <w:tcPr>
            <w:tcW w:type="dxa" w:w="17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Work</w:t>
            </w:r>
          </w:p>
        </w:tc>
        <w:tc>
          <w:tcPr>
            <w:tcW w:type="dxa" w:w="41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the available summary reports</w:t>
            </w:r>
          </w:p>
        </w:tc>
        <w:tc>
          <w:tcPr>
            <w:tcW w:type="dxa" w:w="41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Overlap with elements (i) to (iv), as far as seen</w:t>
            </w:r>
          </w:p>
        </w:tc>
      </w:tr>
      <w:tr>
        <w:trPr>
          <w:cantSplit/>
          <w:tblHeader w:val="false"/>
        </w:trPr>
        <w:tc>
          <w:tcPr>
            <w:tcW w:type="dxa" w:w="17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 </w:t>
            </w:r>
            <w:r>
              <w:rPr>
                <w:rFonts w:ascii="Calibri" w:cs="Calibri" w:eastAsia="Calibri" w:hAnsi="Calibri"/>
                <w:b w:val="false"/>
                <w:bCs w:val="false"/>
                <w:i/>
                <w:iCs/>
                <w:sz w:val="18"/>
                <w:szCs w:val="18"/>
              </w:rPr>
              <w:t xml:space="preserve">Composite Structures</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Composite design under multiscale uncertainty: sparse polynomial chaos surrogate, stiffness and cost objectives, robust Pareto designs, leaf-spring example.</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Closest on element (ii). No embodied carbon, natural-fibre or hybrid laminates, measured plate data, manufacturability or part test seen.</w:t>
            </w:r>
          </w:p>
        </w:tc>
      </w:tr>
      <w:tr>
        <w:trPr>
          <w:cantSplit/>
          <w:tblHeader w:val="false"/>
        </w:trPr>
        <w:tc>
          <w:tcPr>
            <w:tcW w:type="dxa" w:w="17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i/>
                <w:iCs/>
                <w:sz w:val="18"/>
                <w:szCs w:val="18"/>
              </w:rPr>
              <w:t xml:space="preserve">Matéria</w:t>
            </w:r>
            <w:r>
              <w:rPr>
                <w:rFonts w:ascii="Calibri" w:cs="Calibri" w:eastAsia="Calibri" w:hAnsi="Calibri"/>
                <w:b w:val="false"/>
                <w:bCs w:val="false"/>
                <w:sz w:val="18"/>
                <w:szCs w:val="18"/>
              </w:rPr>
              <w:t xml:space="preserve"> paper on UAV wings (title below)</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Multi-criteria framework ranking natural-fibre biocomposites in epoxy and PLA against E-glass for UAV wings.</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Closest on the UAV, bio-based and MCDM axis; a structural and sustainability ranking, not a full LCA. No measured data, hybrids, uncertainty propagation or part test seen.</w:t>
            </w:r>
          </w:p>
        </w:tc>
      </w:tr>
      <w:tr>
        <w:trPr>
          <w:cantSplit/>
          <w:tblHeader w:val="false"/>
        </w:trPr>
        <w:tc>
          <w:tcPr>
            <w:tcW w:type="dxa" w:w="17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IMAV 2022</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study of recyclable flax/Elium composites for a fixed-wing UAV, with a simulated carbon spar and cap for comparison.</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flax feasibility work exists; thermoplastic resin, not epoxy. Summary ends before results; no ranking, LCA, uncertainty analysis or part test seen.</w:t>
            </w:r>
          </w:p>
        </w:tc>
      </w:tr>
      <w:tr>
        <w:trPr>
          <w:cantSplit/>
          <w:tblHeader w:val="false"/>
        </w:trPr>
        <w:tc>
          <w:tcPr>
            <w:tcW w:type="dxa" w:w="17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 </w:t>
            </w:r>
            <w:r>
              <w:rPr>
                <w:rFonts w:ascii="Calibri" w:cs="Calibri" w:eastAsia="Calibri" w:hAnsi="Calibri"/>
                <w:b w:val="false"/>
                <w:bCs w:val="false"/>
                <w:i/>
                <w:iCs/>
                <w:sz w:val="18"/>
                <w:szCs w:val="18"/>
              </w:rPr>
              <w:t xml:space="preserve">Soft Computing</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Fuzzy-logic materials selection under uncertainty, reported as relatively insensitive to criterion weights.</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Element (ii) by a different route. Not by the supervisor; from Sharif University. Any link to the group is a question for the supervisor.</w:t>
            </w:r>
          </w:p>
        </w:tc>
      </w:tr>
      <w:tr>
        <w:trPr>
          <w:cantSplit/>
          <w:tblHeader w:val="false"/>
        </w:trPr>
        <w:tc>
          <w:tcPr>
            <w:tcW w:type="dxa" w:w="17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 (group) and [2] (supervisor's earlier work)</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Machine-learning informatics linking X-ray CT images of woven fabric composites to properties (per a UBC Okanagan news story; DOI not seen); normalization effects on gear-material rankings.</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Foundations for element (i) and ranking sensitivity; neither concerns hybrid bio-based laminates, LCA or UAV parts, as far as seen.</w:t>
            </w:r>
          </w:p>
        </w:tc>
      </w:tr>
    </w:tbl>
    <w:p>
      <w:pPr>
        <w:spacing w:after="120"/>
      </w:pPr>
    </w:p>
    <w:p>
      <w:pPr>
        <w:spacing w:after="100" w:line="276"/>
      </w:pPr>
      <w:r>
        <w:rPr>
          <w:rFonts w:ascii="Calibri" w:cs="Calibri" w:eastAsia="Calibri" w:hAnsi="Calibri"/>
          <w:sz w:val="21"/>
          <w:szCs w:val="21"/>
        </w:rPr>
        <w:t xml:space="preserve">The </w:t>
      </w:r>
      <w:r>
        <w:rPr>
          <w:rFonts w:ascii="Calibri" w:cs="Calibri" w:eastAsia="Calibri" w:hAnsi="Calibri"/>
          <w:i/>
          <w:iCs/>
          <w:sz w:val="21"/>
          <w:szCs w:val="21"/>
        </w:rPr>
        <w:t xml:space="preserve">Matéria</w:t>
      </w:r>
      <w:r>
        <w:rPr>
          <w:rFonts w:ascii="Calibri" w:cs="Calibri" w:eastAsia="Calibri" w:hAnsi="Calibri"/>
          <w:sz w:val="21"/>
          <w:szCs w:val="21"/>
        </w:rPr>
        <w:t xml:space="preserve"> paper is “Novel multi-criteria aero-structural framework for sustainable UAV wings using PLA and epoxy biocomposites” (https://scielo.br/j/rmat/a/V8Bpmr5gg6sLRNN4mL73DzL/?lang=en); the records I used did not show its authors, year or volume, which WP0 will complete. Leads seen only as titles are uncited and uncoded for elements (i) to (iv) and go on the WP0 reading list, with the group's 2023 to 2026 output (the records showed no group journal article after 2022): an AHP-TOPSIS study of hybrid natural-fibre composites (2014); a polymer-selection study for natural fibres under uncertainty, which may overlap element (ii); a decision-support review of biocomposites for production tooling; the book </w:t>
      </w:r>
      <w:r>
        <w:rPr>
          <w:rFonts w:ascii="Calibri" w:cs="Calibri" w:eastAsia="Calibri" w:hAnsi="Calibri"/>
          <w:i/>
          <w:iCs/>
          <w:sz w:val="21"/>
          <w:szCs w:val="21"/>
        </w:rPr>
        <w:t xml:space="preserve">Materials Selection for Natural Fiber Composites</w:t>
      </w:r>
      <w:r>
        <w:rPr>
          <w:rFonts w:ascii="Calibri" w:cs="Calibri" w:eastAsia="Calibri" w:hAnsi="Calibri"/>
          <w:sz w:val="21"/>
          <w:szCs w:val="21"/>
        </w:rPr>
        <w:t xml:space="preserve">; Jahan and co-authors' 2010 screening-methods review; and Bachmann and co-authors' 2017 aviation LCA review.</w:t>
      </w:r>
    </w:p>
    <w:p>
      <w:pPr>
        <w:pStyle w:val="Heading2"/>
        <w:keepNext/>
        <w:spacing w:after="100" w:before="260"/>
      </w:pPr>
      <w:r>
        <w:rPr>
          <w:rFonts w:ascii="Calibri" w:cs="Calibri" w:eastAsia="Calibri" w:hAnsi="Calibri"/>
          <w:b/>
          <w:bCs/>
          <w:color w:val="2E5C8A"/>
          <w:sz w:val="26"/>
          <w:szCs w:val="26"/>
        </w:rPr>
        <w:t xml:space="preserve">2.3 The research gap and what this thesis claims</w:t>
      </w:r>
    </w:p>
    <w:p>
      <w:pPr>
        <w:spacing w:after="100" w:line="276"/>
      </w:pPr>
      <w:r>
        <w:rPr>
          <w:rFonts w:ascii="Calibri" w:cs="Calibri" w:eastAsia="Calibri" w:hAnsi="Calibri"/>
          <w:sz w:val="21"/>
          <w:szCs w:val="21"/>
        </w:rPr>
        <w:t xml:space="preserve">None of the elements is new alone, and I do not claim that nobody has combined MCDM, sustainability and UAV composites. Uncertainty-aware selection ([4], [5]), a UAV biocomposite ranking (the </w:t>
      </w:r>
      <w:r>
        <w:rPr>
          <w:rFonts w:ascii="Calibri" w:cs="Calibri" w:eastAsia="Calibri" w:hAnsi="Calibri"/>
          <w:i/>
          <w:iCs/>
          <w:sz w:val="21"/>
          <w:szCs w:val="21"/>
        </w:rPr>
        <w:t xml:space="preserve">Matéria</w:t>
      </w:r>
      <w:r>
        <w:rPr>
          <w:rFonts w:ascii="Calibri" w:cs="Calibri" w:eastAsia="Calibri" w:hAnsi="Calibri"/>
          <w:sz w:val="21"/>
          <w:szCs w:val="21"/>
        </w:rPr>
        <w:t xml:space="preserve"> paper), a flax UAV study ([3]) and the supervisor's materials-informatics and ranking-sensitivity work ([6], [2]) all exist. The claim is a specific, falsifiable combination: (i) property models trained on measured data from defined reference and hybrid layups, with plate-level variability recorded; (ii) propagation of specimen, plate and criterion-weight uncertainty into the ranking; (iii) embodied carbon and a measured manufacturability score as explicit criteria; and (iv) part-scale testing, on one fabricated UAV part, of the stiffness and failure predictions behind the ranking, delivered as an open workflow. In the summaries of the Section 2.2 works none covers more than two of the four, but the uncoded leads might, so my confidence that the combination is open remains low. The thesis extends the supervisor's earlier ranking-sensitivity work and the group's materials informatics, from machine-learning property prediction for woven composites and generic selection studies to measured, plate-level data for flax-hybrid laminates, tested on a fabricated spar.</w:t>
      </w:r>
    </w:p>
    <w:p>
      <w:pPr>
        <w:pStyle w:val="Heading2"/>
        <w:keepNext/>
        <w:spacing w:after="100" w:before="260"/>
      </w:pPr>
      <w:r>
        <w:rPr>
          <w:rFonts w:ascii="Calibri" w:cs="Calibri" w:eastAsia="Calibri" w:hAnsi="Calibri"/>
          <w:b/>
          <w:bCs/>
          <w:color w:val="2E5C8A"/>
          <w:sz w:val="26"/>
          <w:szCs w:val="26"/>
        </w:rPr>
        <w:t xml:space="preserve">2.4 Decision rule for WP0</w:t>
      </w:r>
    </w:p>
    <w:p>
      <w:pPr>
        <w:spacing w:after="100" w:line="276"/>
      </w:pPr>
      <w:r>
        <w:rPr>
          <w:rFonts w:ascii="Calibri" w:cs="Calibri" w:eastAsia="Calibri" w:hAnsi="Calibri"/>
          <w:sz w:val="21"/>
          <w:szCs w:val="21"/>
        </w:rPr>
        <w:t xml:space="preserve">WP0 will code every included study for elements (i) to (iv), starting with Section 2.2. </w:t>
      </w:r>
      <w:r>
        <w:rPr>
          <w:rFonts w:ascii="Calibri" w:cs="Calibri" w:eastAsia="Calibri" w:hAnsi="Calibri"/>
          <w:b/>
          <w:bCs/>
          <w:sz w:val="21"/>
          <w:szCs w:val="21"/>
        </w:rPr>
        <w:t xml:space="preserve">Supported:</w:t>
      </w:r>
      <w:r>
        <w:rPr>
          <w:rFonts w:ascii="Calibri" w:cs="Calibri" w:eastAsia="Calibri" w:hAnsi="Calibri"/>
          <w:sz w:val="21"/>
          <w:szCs w:val="21"/>
        </w:rPr>
        <w:t xml:space="preserve"> no study has more than two elements. </w:t>
      </w:r>
      <w:r>
        <w:rPr>
          <w:rFonts w:ascii="Calibri" w:cs="Calibri" w:eastAsia="Calibri" w:hAnsi="Calibri"/>
          <w:b/>
          <w:bCs/>
          <w:sz w:val="21"/>
          <w:szCs w:val="21"/>
        </w:rPr>
        <w:t xml:space="preserve">Narrowed:</w:t>
      </w:r>
      <w:r>
        <w:rPr>
          <w:rFonts w:ascii="Calibri" w:cs="Calibri" w:eastAsia="Calibri" w:hAnsi="Calibri"/>
          <w:sz w:val="21"/>
          <w:szCs w:val="21"/>
        </w:rPr>
        <w:t xml:space="preserve"> at least one has exactly three and none has all four; the thesis then concentrates on the missing element, the dataset and the part-scale testing. </w:t>
      </w:r>
      <w:r>
        <w:rPr>
          <w:rFonts w:ascii="Calibri" w:cs="Calibri" w:eastAsia="Calibri" w:hAnsi="Calibri"/>
          <w:b/>
          <w:bCs/>
          <w:sz w:val="21"/>
          <w:szCs w:val="21"/>
        </w:rPr>
        <w:t xml:space="preserve">Not supported:</w:t>
      </w:r>
      <w:r>
        <w:rPr>
          <w:rFonts w:ascii="Calibri" w:cs="Calibri" w:eastAsia="Calibri" w:hAnsi="Calibri"/>
          <w:sz w:val="21"/>
          <w:szCs w:val="21"/>
        </w:rPr>
        <w:t xml:space="preserve"> at least one has all four with comparable rigour; the thesis is re-scoped with the supervisor, for example to a new part, loading case or material class. On the summaries seen the reading would be ‘Supported’, provisionally; uncoded leads could change it.</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3. Aim, objectives, research questions and hypotheses</w:t>
      </w:r>
    </w:p>
    <w:p>
      <w:pPr>
        <w:spacing w:after="100" w:line="276"/>
      </w:pPr>
      <w:r>
        <w:rPr>
          <w:rFonts w:ascii="Calibri" w:cs="Calibri" w:eastAsia="Calibri" w:hAnsi="Calibri"/>
          <w:b/>
          <w:bCs/>
          <w:sz w:val="21"/>
          <w:szCs w:val="21"/>
        </w:rPr>
        <w:t xml:space="preserve">Aim.</w:t>
      </w:r>
      <w:r>
        <w:rPr>
          <w:rFonts w:ascii="Calibri" w:cs="Calibri" w:eastAsia="Calibri" w:hAnsi="Calibri"/>
          <w:sz w:val="21"/>
          <w:szCs w:val="21"/>
        </w:rPr>
        <w:t xml:space="preserve"> To develop a documented workflow that selects a hybrid natural/synthetic fibre laminate using measured data, quantified uncertainty, embodied carbon and manufacturability, and to test its stiffness and failure predictions on one fabricated small-UAV part.</w:t>
      </w:r>
    </w:p>
    <w:p>
      <w:pPr>
        <w:spacing w:after="100" w:line="276"/>
      </w:pPr>
      <w:r>
        <w:rPr>
          <w:rFonts w:ascii="Calibri" w:cs="Calibri" w:eastAsia="Calibri" w:hAnsi="Calibri"/>
          <w:b/>
          <w:bCs/>
          <w:sz w:val="21"/>
          <w:szCs w:val="21"/>
        </w:rPr>
        <w:t xml:space="preserve">Objectives.</w:t>
      </w:r>
    </w:p>
    <w:p>
      <w:pPr>
        <w:pStyle w:val="ListParagraph"/>
        <w:numPr>
          <w:ilvl w:val="0"/>
          <w:numId w:val="2"/>
        </w:numPr>
        <w:spacing w:after="60" w:line="276"/>
      </w:pPr>
      <w:r>
        <w:rPr>
          <w:rFonts w:ascii="Calibri" w:cs="Calibri" w:eastAsia="Calibri" w:hAnsi="Calibri"/>
          <w:sz w:val="21"/>
          <w:szCs w:val="21"/>
        </w:rPr>
        <w:t xml:space="preserve">O1. By month 4, complete a systematic review and a documented decision on the research gap.</w:t>
      </w:r>
    </w:p>
    <w:p>
      <w:pPr>
        <w:pStyle w:val="ListParagraph"/>
        <w:numPr>
          <w:ilvl w:val="0"/>
          <w:numId w:val="2"/>
        </w:numPr>
        <w:spacing w:after="60" w:line="276"/>
      </w:pPr>
      <w:r>
        <w:rPr>
          <w:rFonts w:ascii="Calibri" w:cs="Calibri" w:eastAsia="Calibri" w:hAnsi="Calibri"/>
          <w:sz w:val="21"/>
          <w:szCs w:val="21"/>
        </w:rPr>
        <w:t xml:space="preserve">O2. By month 14, build a measured dataset for five laminates, with six valid specimens per condition from three independent plates (in-plane shear: one plate).</w:t>
      </w:r>
    </w:p>
    <w:p>
      <w:pPr>
        <w:pStyle w:val="ListParagraph"/>
        <w:numPr>
          <w:ilvl w:val="0"/>
          <w:numId w:val="2"/>
        </w:numPr>
        <w:spacing w:after="60" w:line="276"/>
      </w:pPr>
      <w:r>
        <w:rPr>
          <w:rFonts w:ascii="Calibri" w:cs="Calibri" w:eastAsia="Calibri" w:hAnsi="Calibri"/>
          <w:sz w:val="21"/>
          <w:szCs w:val="21"/>
        </w:rPr>
        <w:t xml:space="preserve">O3. By month 19, deliver a calibrated property model, a screening LCA, a manufacturability score and an uncertainty-aware ranking with stated rank stability.</w:t>
      </w:r>
    </w:p>
    <w:p>
      <w:pPr>
        <w:pStyle w:val="ListParagraph"/>
        <w:numPr>
          <w:ilvl w:val="0"/>
          <w:numId w:val="2"/>
        </w:numPr>
        <w:spacing w:after="60" w:line="276"/>
      </w:pPr>
      <w:r>
        <w:rPr>
          <w:rFonts w:ascii="Calibri" w:cs="Calibri" w:eastAsia="Calibri" w:hAnsi="Calibri"/>
          <w:sz w:val="21"/>
          <w:szCs w:val="21"/>
        </w:rPr>
        <w:t xml:space="preserve">O4. By month 21, fabricate tube spar segments of three designs and test them in bending against predictions locked beforehand (the final ranking itself is not tested).</w:t>
      </w:r>
    </w:p>
    <w:p>
      <w:pPr>
        <w:keepNext/>
        <w:spacing w:after="60" w:before="80"/>
      </w:pPr>
      <w:r>
        <w:rPr>
          <w:rFonts w:ascii="Calibri" w:cs="Calibri" w:eastAsia="Calibri" w:hAnsi="Calibri"/>
          <w:b/>
          <w:bCs/>
          <w:sz w:val="19"/>
          <w:szCs w:val="19"/>
        </w:rPr>
        <w:t xml:space="preserve">Research questions, hypotheses and measures. Thresholds are provisional targets, not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w:t>
            </w:r>
          </w:p>
        </w:tc>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 or test</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Can laminate theory calibrated on single-fibre laminates predict the hybrids, and does a simple correction help?</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(exploratory). A one-parameter correction fitted on one hybrid reduces prediction error on the other, compared with uncorrected theory.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Prediction error and interval coverage; n = 2, so descriptive (WP4).</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How much do variability, weight uncertainty and normalization choice change the ranking?</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The top-ranked laminate under mean-value scoring is not top-ranked in a substantial share of Monte Carlo draws (provisionally 20%, with sensitivity to the Dirichlet concentration reported).</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Rank-probability matrix, top-rank probability, Kendall rank correlation; weights and normalization varied (WP4).</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At equal bending stiffness, how much embodied carbon can a hybrid save, and at what mass and strength penalty?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At least one hybrid matches the reference stiffness within a pre-set mass tolerance above the all-carbon reference (provisionally 15%, set in WP1 from the UAV mass budget) with a GWP range below the reference's; a saving is plausible, not assumed, since thicker hybrid walls may erase it.</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 and strength margin at equal stiffness, GWP ranges and non-dominance, reported descriptively (WP1, WP3, WP4).</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RQ4. Does a measured manufacturability score change the preferred laminate?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H4 (exploratory). Adding the score changes the ranking under at least one weight scenario; no threshold, because with five candidates single swaps dominate.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Kendall rank correlation with and without the score (WP3, WP4).</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RQ5. Do the stiffness and failure predictions hold at part scale?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H5. Mean bending stiffness of each design is within 10% of prediction and mean failure load within 20% (provisional, to be agreed with the supervisor); interval coverage is reported as a count of the 18 outcomes.</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Four-point bending with strain gauges and stereo DIC against FE predictions (WP5).</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4. Research methodology</w:t>
      </w:r>
    </w:p>
    <w:p>
      <w:pPr>
        <w:spacing w:after="100" w:line="276"/>
      </w:pPr>
      <w:r>
        <w:rPr>
          <w:rFonts w:ascii="Calibri" w:cs="Calibri" w:eastAsia="Calibri" w:hAnsi="Calibri"/>
          <w:b/>
          <w:bCs/>
          <w:sz w:val="21"/>
          <w:szCs w:val="21"/>
        </w:rPr>
        <w:t xml:space="preserve">Design logic.</w:t>
      </w:r>
      <w:r>
        <w:rPr>
          <w:rFonts w:ascii="Calibri" w:cs="Calibri" w:eastAsia="Calibri" w:hAnsi="Calibri"/>
          <w:sz w:val="21"/>
          <w:szCs w:val="21"/>
        </w:rPr>
        <w:t xml:space="preserve"> The part is a constant-section, thin-walled circular tube spar in four-point bending, a simple form to fabricate and analyze (WP1 will check how representative it is of small-UAV spars), sized from WP1 loads. Five laminates are proposed, adjustable in WP1 to supplier availability and the group's capability: L1 carbon/epoxy and L2 glass/epoxy references; L3 flax/epoxy, a bio-based lower bound that supplies flax ply properties; L4, carbon outer plies with a flax core; L5, glass outer plies with a flax core. All use balanced fabrics, one epoxy batch and symmetric stacking; illustrative sequences are L4 = (C2/F4)s and L5 = (G2/F4)s (C, G, F: carbon, glass, flax plies; s: mirrored about the mid-plane). Because flax plies may cure thicker than carbon or glass plies, WP1 sets areal weights and ply counts for all five laminates (aiming at 2.5 to 3.5 mm, with the tube wall using the plate sequence) and freezes them at month 7. Basalt, Gaussian-process correction, multi-objective optimization, variance-based sensitivity analysis, hierarchical Bayesian modelling, cumulative energy demand and fuzzy or learned comparators are extensions, attempted only if all three descoping checkpoints in Section 7 pass.</w:t>
      </w:r>
    </w:p>
    <w:p>
      <w:pPr>
        <w:pStyle w:val="Heading2"/>
        <w:keepNext/>
        <w:spacing w:after="100" w:before="260"/>
      </w:pPr>
      <w:r>
        <w:rPr>
          <w:rFonts w:ascii="Calibri" w:cs="Calibri" w:eastAsia="Calibri" w:hAnsi="Calibri"/>
          <w:b/>
          <w:bCs/>
          <w:color w:val="2E5C8A"/>
          <w:sz w:val="26"/>
          <w:szCs w:val="26"/>
        </w:rPr>
        <w:t xml:space="preserve">4.1 WP0: Systematic literature review (months 1 to 4)</w:t>
      </w:r>
    </w:p>
    <w:p>
      <w:pPr>
        <w:spacing w:after="10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Test the gap in Section 2.3 and build a literature-derived data prior. Write a review protocol (questions, search strings, inclusion criteria, coding scheme) in month 1 and agree it with the supervisor. Read the Section 2.2 works and leads in full, complete the </w:t>
      </w:r>
      <w:r>
        <w:rPr>
          <w:rFonts w:ascii="Calibri" w:cs="Calibri" w:eastAsia="Calibri" w:hAnsi="Calibri"/>
          <w:i/>
          <w:iCs/>
          <w:sz w:val="21"/>
          <w:szCs w:val="21"/>
        </w:rPr>
        <w:t xml:space="preserve">Matéria</w:t>
      </w:r>
      <w:r>
        <w:rPr>
          <w:rFonts w:ascii="Calibri" w:cs="Calibri" w:eastAsia="Calibri" w:hAnsi="Calibri"/>
          <w:sz w:val="21"/>
          <w:szCs w:val="21"/>
        </w:rPr>
        <w:t xml:space="preserve"> entry and check the group's recent publications. Search Scopus, Web of Science, Google Scholar and publisher sites; screen titles, abstracts and full texts; code studies for elements (i) to (iv); extract property data with test standard and processing route.</w:t>
      </w:r>
    </w:p>
    <w:p>
      <w:pPr>
        <w:spacing w:after="10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Zotero, a PRISMA-style flow diagram and a coding spreadsheet. As sole reviewer, I will re-screen a random 10 to 20% sample after two weeks and report intra-rater agreement (Cohen's kappa). Protocol, evidence table, gap decision memo and data prior are due by month 4; success is a documented decision under the Section 2.4 rule, with deviations recorded.</w:t>
      </w:r>
    </w:p>
    <w:p>
      <w:pPr>
        <w:pStyle w:val="Heading2"/>
        <w:keepNext/>
        <w:spacing w:after="100" w:before="260"/>
      </w:pPr>
      <w:r>
        <w:rPr>
          <w:rFonts w:ascii="Calibri" w:cs="Calibri" w:eastAsia="Calibri" w:hAnsi="Calibri"/>
          <w:b/>
          <w:bCs/>
          <w:color w:val="2E5C8A"/>
          <w:sz w:val="26"/>
          <w:szCs w:val="26"/>
        </w:rPr>
        <w:t xml:space="preserve">4.2 WP1: Requirements and design space (months 3 to 7)</w:t>
      </w:r>
    </w:p>
    <w:p>
      <w:pPr>
        <w:spacing w:after="10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Define the reference UAV, spar geometry, load cases, criteria and candidates, using an open reference configuration or a reference airframe to be agreed with the supervisor. Derive spar loads from a simple beam model with agreed load and safety factors, and set the acceptable mass penalty from the UAV's mass budget. A screening beam and laminate-theory calculation, using the WP0 data prior, gives each candidate's tube diameter, wall, mass and D/t at the reference stiffness; hybrids that cannot meet the mass budget are redesigned or the hybrid rationale restated. Fix tube dimensions, constraints (stiffness, strength margin, mass), criteria and ply counts; build CAD and a baseline finite element (FE) model.</w:t>
      </w:r>
    </w:p>
    <w:p>
      <w:pPr>
        <w:spacing w:after="10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Classical laminate theory in Python; Abaqus or ANSYS, whichever the group licenses, with CalculiX as open-source fallback. FE is checked against closed-form beam solutions for an isotropic benchmark and a laminated tube, with a mesh-convergence study. Requirements note, screening calculation, frozen candidates and baseline FE model are due by month 7; success is FE within a pre-set tolerance (provisionally 2%) of closed-form solutions.</w:t>
      </w:r>
    </w:p>
    <w:p>
      <w:pPr>
        <w:pStyle w:val="Heading2"/>
        <w:keepNext/>
        <w:spacing w:after="100" w:before="260"/>
      </w:pPr>
      <w:r>
        <w:rPr>
          <w:rFonts w:ascii="Calibri" w:cs="Calibri" w:eastAsia="Calibri" w:hAnsi="Calibri"/>
          <w:b/>
          <w:bCs/>
          <w:color w:val="2E5C8A"/>
          <w:sz w:val="26"/>
          <w:szCs w:val="26"/>
        </w:rPr>
        <w:t xml:space="preserve">4.3 WP2: Fabrication and characterization (months 6 to 14)</w:t>
      </w:r>
    </w:p>
    <w:p>
      <w:pPr>
        <w:spacing w:after="10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Produce a measured, traceable dataset for the five laminates. Trial plates (months 6 to 8) establish the process and are excluded. Production comprises three structural plates per laminate (15) and one ±45 plate per laminate for in-plane shear (5), because ASTM D3518 needs a ±45 layup (for hybrids it gives laminate-level effective values). Each structural plate gives two specimens per condition, so six per condition; shear has one plate per laminate, so plate-to-plate variance is not estimated for it. Fabrication order is randomized, with one epoxy batch and one fabric roll per fibre type; flax fabric is dried before layup; operator hours, temperature and humidity are logged, so any learning curve of an operator new to composites (my planning assumption) can be modelled.</w:t>
      </w:r>
    </w:p>
    <w:p>
      <w:pPr>
        <w:spacing w:after="100" w:line="276"/>
      </w:pPr>
      <w:r>
        <w:rPr>
          <w:rFonts w:ascii="Calibri" w:cs="Calibri" w:eastAsia="Calibri" w:hAnsi="Calibri"/>
          <w:b/>
          <w:bCs/>
          <w:sz w:val="21"/>
          <w:szCs w:val="21"/>
        </w:rPr>
        <w:t xml:space="preserve">Methods and tools.</w:t>
      </w:r>
      <w:r>
        <w:rPr>
          <w:rFonts w:ascii="Calibri" w:cs="Calibri" w:eastAsia="Calibri" w:hAnsi="Calibri"/>
          <w:sz w:val="21"/>
          <w:szCs w:val="21"/>
        </w:rPr>
        <w:t xml:space="preserve"> Vacuum-assisted infusion or vacuum-bag layup, depending on the group's equipment. Fibre volume fraction from areal weight, ply count and thickness, cross-checked by ASTM D3171 digestion where the fibre allows. Void content by image analysis of polished sections, excluding flax lumens, and density-based ASTM D2734 (current status to be checked) only for carbon and glass, because density is unreliable for porous flax. Universal testing machine with extensometer or strain gauges, and digital image correlation (DIC) where available. Moisture conditioning uses a fixed-duration protocol (provisionally 28 days at fixed temperature and humidity, witness coupons weighed at test), because equilibrium conditioning of flax under ASTM D5229 can take months; each batch begins when its plates are cut, from month 10, so the last is tested by month 14.</w:t>
      </w:r>
    </w:p>
    <w:p>
      <w:pPr>
        <w:spacing w:after="100" w:line="276"/>
      </w:pPr>
      <w:r>
        <w:rPr>
          <w:rFonts w:ascii="Calibri" w:cs="Calibri" w:eastAsia="Calibri" w:hAnsi="Calibri"/>
          <w:b/>
          <w:bCs/>
          <w:sz w:val="21"/>
          <w:szCs w:val="21"/>
        </w:rPr>
        <w:t xml:space="preserve">Validation, analysis and deliverables.</w:t>
      </w:r>
      <w:r>
        <w:rPr>
          <w:rFonts w:ascii="Calibri" w:cs="Calibri" w:eastAsia="Calibri" w:hAnsi="Calibri"/>
          <w:sz w:val="21"/>
          <w:szCs w:val="21"/>
        </w:rPr>
        <w:t xml:space="preserve"> Failure modes are classified against each standard; specimens are excluded only for invalid failure modes, never by statistical trimming. Specimens from one plate are not independent, so the plate (three per laminate) is the replication unit for process variability: conditions are summarized by plate means and a mixed-effects model with plate as a random effect, with t-based or weakly informative Bayesian intervals (percentile bootstrap covers poorly at n = 6). Six specimens are planned where standards recommend five, so one invalid failure does not break the design. Laminates are compared descriptively, by effect sizes with intervals and a stated multiplicity correction; measurement uncertainty follows the GUM approach (JCGM 100). The analysis plan, with thresholds and the manufacturability indicators and weights (WP3), is dated and fixed by month 8, before production plates. The dataset with metadata and process log is due by month 14.</w:t>
      </w:r>
    </w:p>
    <w:p>
      <w:pPr>
        <w:keepNext/>
        <w:spacing w:after="60" w:before="80"/>
      </w:pPr>
      <w:r>
        <w:rPr>
          <w:rFonts w:ascii="Calibri" w:cs="Calibri" w:eastAsia="Calibri" w:hAnsi="Calibri"/>
          <w:b/>
          <w:bCs/>
          <w:sz w:val="19"/>
          <w:szCs w:val="19"/>
        </w:rPr>
        <w:t xml:space="preserve">Test matrix: 180 mechanical specimens from 20 plates, plus plate-quality measurements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26"/>
        <w:gridCol w:w="1849"/>
        <w:gridCol w:w="2168"/>
        <w:gridCol w:w="1000"/>
        <w:gridCol w:w="1937"/>
        <w:gridCol w:w="1000"/>
      </w:tblGrid>
      <w:tr>
        <w:trPr>
          <w:cantSplit/>
          <w:tblHeader/>
        </w:trPr>
        <w:tc>
          <w:tcPr>
            <w:tcW w:type="dxa" w:w="212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Test</w:t>
            </w:r>
          </w:p>
        </w:tc>
        <w:tc>
          <w:tcPr>
            <w:tcW w:type="dxa" w:w="184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Standard</w:t>
            </w:r>
          </w:p>
        </w:tc>
        <w:tc>
          <w:tcPr>
            <w:tcW w:type="dxa" w:w="216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Output</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Laminates</w:t>
            </w:r>
          </w:p>
        </w:tc>
        <w:tc>
          <w:tcPr>
            <w:tcW w:type="dxa" w:w="193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Specimens per laminate</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Total</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Tension</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D3039</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Modulus, strength, strain to failure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Three-point flexure</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D7264</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Flexural modulus and strength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Compression</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D6641</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Compressive strength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Short-beam shear</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D2344</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Apparent interlaminar shear strength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In-plane shear (±45 plates)</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D3518</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Effective laminate shear modulus and strength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Flexure after fixed-duration moisture conditioning</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D7264 after conditioning (ASTM D5229 guidance)</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Moisture knockdown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Plate quality: density, fibre volume fraction, void content</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D3171 where applicable; image analysis; ASTM D2734 where valid</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Plate quality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plates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 mechanical specimens</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180</w:t>
            </w:r>
          </w:p>
        </w:tc>
      </w:tr>
    </w:tbl>
    <w:p>
      <w:pPr>
        <w:spacing w:after="120"/>
      </w:pPr>
    </w:p>
    <w:p>
      <w:pPr>
        <w:pStyle w:val="Heading2"/>
        <w:keepNext/>
        <w:spacing w:after="100" w:before="260"/>
      </w:pPr>
      <w:r>
        <w:rPr>
          <w:rFonts w:ascii="Calibri" w:cs="Calibri" w:eastAsia="Calibri" w:hAnsi="Calibri"/>
          <w:b/>
          <w:bCs/>
          <w:color w:val="2E5C8A"/>
          <w:sz w:val="26"/>
          <w:szCs w:val="26"/>
        </w:rPr>
        <w:t xml:space="preserve">4.4 WP3: Screening LCA, cost and manufacturability (months 10 to 16)</w:t>
      </w:r>
    </w:p>
    <w:p>
      <w:pPr>
        <w:spacing w:after="10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Add embodied carbon, cost and manufacturability as measurable criteria. Define goal and scope under ISO 14040 and 14044, with the functional unit as one spar segment delivering the reference bending stiffness, so laminates of different thickness compare fairly. Use a cradle-to-gate boundary (fibre and resin production, consumables, processing energy), with inventory data from suppliers, the literature and my measured masses and cure-cycle energy. Report global warming potential (GWP, kg CO2-equivalent) as the primary indicator; cumulative energy demand and a use-phase scenario are extensions or sensitivities. Define the manufacturability score from measured indicators (void content, thickness variation, layup time per ply, rejected specimens) whose direction and weights are fixed in the dated analysis plan by month 8; scores are computed after production (month 13), before any ranking, with operator hours as a covariate. One operator makes all plates, so the score is not claimed to transfer.</w:t>
      </w:r>
    </w:p>
    <w:p>
      <w:pPr>
        <w:spacing w:after="10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openLCA with the university's background database if provided; supplier quotes for cost; Python for scoring. Inventory items carry data-quality notes, ranges replace point values where data are weak, and two background datasets are compared if available. The LCA model, cost model and scoring definition are due by month 16, with results as ranges.</w:t>
      </w:r>
    </w:p>
    <w:p>
      <w:pPr>
        <w:pStyle w:val="Heading2"/>
        <w:keepNext/>
        <w:spacing w:after="100" w:before="260"/>
      </w:pPr>
      <w:r>
        <w:rPr>
          <w:rFonts w:ascii="Calibri" w:cs="Calibri" w:eastAsia="Calibri" w:hAnsi="Calibri"/>
          <w:b/>
          <w:bCs/>
          <w:color w:val="2E5C8A"/>
          <w:sz w:val="26"/>
          <w:szCs w:val="26"/>
        </w:rPr>
        <w:t xml:space="preserve">4.5 WP4: Calibrated model and uncertainty-aware ranking (months 12 to 19)</w:t>
      </w:r>
    </w:p>
    <w:p>
      <w:pPr>
        <w:spacing w:after="10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Predict hybrid behaviour from single-fibre data and rank the candidates with their uncertainty.</w:t>
      </w:r>
    </w:p>
    <w:p>
      <w:pPr>
        <w:pStyle w:val="ListParagraph"/>
        <w:numPr>
          <w:ilvl w:val="0"/>
          <w:numId w:val="3"/>
        </w:numPr>
        <w:spacing w:after="60" w:line="276"/>
      </w:pPr>
      <w:r>
        <w:rPr>
          <w:rFonts w:ascii="Calibri" w:cs="Calibri" w:eastAsia="Calibri" w:hAnsi="Calibri"/>
          <w:sz w:val="21"/>
          <w:szCs w:val="21"/>
        </w:rPr>
        <w:t xml:space="preserve">Calibrate ply-level properties for carbon, glass and flax from L1 to L3 and predict hybrids L4 and L5 by classical laminate theory.</w:t>
      </w:r>
    </w:p>
    <w:p>
      <w:pPr>
        <w:pStyle w:val="ListParagraph"/>
        <w:numPr>
          <w:ilvl w:val="0"/>
          <w:numId w:val="3"/>
        </w:numPr>
        <w:spacing w:after="60" w:line="276"/>
      </w:pPr>
      <w:r>
        <w:rPr>
          <w:rFonts w:ascii="Calibri" w:cs="Calibri" w:eastAsia="Calibri" w:hAnsi="Calibri"/>
          <w:sz w:val="21"/>
          <w:szCs w:val="21"/>
        </w:rPr>
        <w:t xml:space="preserve">Fit a one-parameter hybrid correction on one hybrid, test it on the other and compare with uncorrected theory (exploratory, n = 2).</w:t>
      </w:r>
    </w:p>
    <w:p>
      <w:pPr>
        <w:pStyle w:val="ListParagraph"/>
        <w:numPr>
          <w:ilvl w:val="0"/>
          <w:numId w:val="3"/>
        </w:numPr>
        <w:spacing w:after="60" w:line="276"/>
      </w:pPr>
      <w:r>
        <w:rPr>
          <w:rFonts w:ascii="Calibri" w:cs="Calibri" w:eastAsia="Calibri" w:hAnsi="Calibri"/>
          <w:sz w:val="21"/>
          <w:szCs w:val="21"/>
        </w:rPr>
        <w:t xml:space="preserve">Estimate specimen and plate variance components with a mixed model (exploratory, with three plates per laminate); hierarchical Bayesian pooling across laminates is an extension.</w:t>
      </w:r>
    </w:p>
    <w:p>
      <w:pPr>
        <w:pStyle w:val="ListParagraph"/>
        <w:numPr>
          <w:ilvl w:val="0"/>
          <w:numId w:val="3"/>
        </w:numPr>
        <w:spacing w:after="60" w:line="276"/>
      </w:pPr>
      <w:r>
        <w:rPr>
          <w:rFonts w:ascii="Calibri" w:cs="Calibri" w:eastAsia="Calibri" w:hAnsi="Calibri"/>
          <w:sz w:val="21"/>
          <w:szCs w:val="21"/>
        </w:rPr>
        <w:t xml:space="preserve">Compute mass, stiffness and strength margins, GWP, cost, manufacturability and moisture knockdown for all laminates; identify the non-dominated set and rank by TOPSIS, with a weighted sum as comparator, repeating under more than one normalization norm because normalization alone can change a ranking [2].</w:t>
      </w:r>
    </w:p>
    <w:p>
      <w:pPr>
        <w:pStyle w:val="ListParagraph"/>
        <w:numPr>
          <w:ilvl w:val="0"/>
          <w:numId w:val="3"/>
        </w:numPr>
        <w:spacing w:after="60" w:line="276"/>
      </w:pPr>
      <w:r>
        <w:rPr>
          <w:rFonts w:ascii="Calibri" w:cs="Calibri" w:eastAsia="Calibri" w:hAnsi="Calibri"/>
          <w:sz w:val="21"/>
          <w:szCs w:val="21"/>
        </w:rPr>
        <w:t xml:space="preserve">Sample criterion weights from Dirichlet distributions centred on three declared scenarios (endurance-first, carbon-first, balanced), stating and varying the concentration; draw property values from fitted distributions and run at least 10,000 Monte Carlo draws, reporting rank-probability matrices, probability of being top-ranked and Kendall rank correlation with the deterministic ranking.</w:t>
      </w:r>
    </w:p>
    <w:p>
      <w:pPr>
        <w:spacing w:after="100" w:line="276"/>
      </w:pPr>
      <w:r>
        <w:rPr>
          <w:rFonts w:ascii="Calibri" w:cs="Calibri" w:eastAsia="Calibri" w:hAnsi="Calibri"/>
          <w:b/>
          <w:bCs/>
          <w:sz w:val="21"/>
          <w:szCs w:val="21"/>
        </w:rPr>
        <w:t xml:space="preserve">Methods, validation and deliverables.</w:t>
      </w:r>
      <w:r>
        <w:rPr>
          <w:rFonts w:ascii="Calibri" w:cs="Calibri" w:eastAsia="Calibri" w:hAnsi="Calibri"/>
          <w:sz w:val="21"/>
          <w:szCs w:val="21"/>
        </w:rPr>
        <w:t xml:space="preserve"> Python (NumPy, SciPy, pandas, statsmodels, scikit-learn; PyMC or Stan for any Bayesian model) under Git. Monte Carlo sampling is chosen for transparency with five candidates and a small dataset; polynomial chaos surrogates [4] and fuzzy treatments [5] are comparators WP0 will examine, and learned property models in the spirit of the group's materials informatics [6] are an extension. Code is checked by reproducing a textbook ranking; observed coverage of 95% intervals under leave-one-plate-out validation is reported descriptively (about 15 held-out points cannot establish nominal coverage). A provisional ranking is due at month 16, predictions are locked at month 18, and the final ranking report and open code are due by month 19; success is rank stability reported for every weight scenario.</w:t>
      </w:r>
    </w:p>
    <w:p>
      <w:pPr>
        <w:pStyle w:val="Heading2"/>
        <w:keepNext/>
        <w:spacing w:after="100" w:before="260"/>
      </w:pPr>
      <w:r>
        <w:rPr>
          <w:rFonts w:ascii="Calibri" w:cs="Calibri" w:eastAsia="Calibri" w:hAnsi="Calibri"/>
          <w:b/>
          <w:bCs/>
          <w:color w:val="2E5C8A"/>
          <w:sz w:val="26"/>
          <w:szCs w:val="26"/>
        </w:rPr>
        <w:t xml:space="preserve">4.6 WP5: Part fabrication and testing (months 15 to 21)</w:t>
      </w:r>
    </w:p>
    <w:p>
      <w:pPr>
        <w:spacing w:after="10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Test the workflow's stiffness and failure predictions on a fabricated part. Design the mandrel, tooling and bending fixture (months 15 to 16) and make one pilot tube of a promising hybrid to debug process and fixtures. At month 16 three designs are frozen from the provisional ranking: expected to be the carbon reference (always included) and the two hybrids; as this precedes the final ranking (month 19), WP5 tests the models, not that ranking. Three segments of each design (nine in total) are made in months 17 to 19 by wrapping fabric on a removable mandrel and curing under vacuum-bag or shrink-tape pressure, chosen with the pilot tube and the group's equipment. Because tubes and plates come from different process routes, any systematic gap between predicted and measured behaviour is reported as a possible process-route effect, not corrected for.</w:t>
      </w:r>
    </w:p>
    <w:p>
      <w:pPr>
        <w:spacing w:after="100" w:line="276"/>
      </w:pPr>
      <w:r>
        <w:rPr>
          <w:rFonts w:ascii="Calibri" w:cs="Calibri" w:eastAsia="Calibri" w:hAnsi="Calibri"/>
          <w:b/>
          <w:bCs/>
          <w:sz w:val="21"/>
          <w:szCs w:val="21"/>
        </w:rPr>
        <w:t xml:space="preserve">Testing, comparison and deliverables.</w:t>
      </w:r>
      <w:r>
        <w:rPr>
          <w:rFonts w:ascii="Calibri" w:cs="Calibri" w:eastAsia="Calibri" w:hAnsi="Calibri"/>
          <w:sz w:val="21"/>
          <w:szCs w:val="21"/>
        </w:rPr>
        <w:t xml:space="preserve"> Segments are tested in four-point bending to failure (months 19 to 21) with strain gauges and, if available, stereo (3D) DIC on one face; stiffness, strain distribution, failure load and mode are compared with FE predictions locked beforehand, using calibrated properties and their intervals. Failure is predicted by first-ply failure under the maximum-strain criterion with linear buckling and compressive-strength checks; this cannot capture strain mismatch between carbon and flax plies, so hybrid failure predictions are expected to be less accurate than stiffness predictions. Local reinforcement under the loading points guards against premature failure. The 18 outcomes from nine segments are not independent, so WP5 is a consistency check, not a statistical test; if the H5 tolerances are not met, an analysis of the discrepancy is itself a result.</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5. Work plan and timeline</w:t>
      </w:r>
    </w:p>
    <w:p>
      <w:pPr>
        <w:spacing w:after="100" w:line="276"/>
      </w:pPr>
      <w:r>
        <w:rPr>
          <w:rFonts w:ascii="Calibri" w:cs="Calibri" w:eastAsia="Calibri" w:hAnsi="Calibri"/>
          <w:sz w:val="21"/>
          <w:szCs w:val="21"/>
        </w:rPr>
        <w:t xml:space="preserve">The schedule rests on my planning assumptions: a 24-month program from September 2027 in six four-month terms, months counted from enrolment. Program length, coursework and committee steps will be checked with the graduate office.</w:t>
      </w:r>
    </w:p>
    <w:p>
      <w:pPr>
        <w:spacing w:after="100" w:line="276"/>
      </w:pPr>
      <w:r>
        <w:rPr>
          <w:rFonts w:ascii="Calibri" w:cs="Calibri" w:eastAsia="Calibri" w:hAnsi="Calibri"/>
          <w:b/>
          <w:bCs/>
          <w:sz w:val="21"/>
          <w:szCs w:val="21"/>
        </w:rPr>
        <w:t xml:space="preserve">Deadlines.</w:t>
      </w:r>
      <w:r>
        <w:rPr>
          <w:rFonts w:ascii="Calibri" w:cs="Calibri" w:eastAsia="Calibri" w:hAnsi="Calibri"/>
          <w:sz w:val="21"/>
          <w:szCs w:val="21"/>
        </w:rPr>
        <w:t xml:space="preserve"> The School of Engineering MASc page lists 26 February (international) and 22 May (domestic) for the September intake without, as far as I could see, a year; the Okanagan Master of Engineering page labels the same dates 2027, so 26 February 2027 is probable but not confirmed, and I will check the official page and the graduate office. As the application needs a supervising professor's recommendation, I will make contact well before then.</w:t>
      </w:r>
    </w:p>
    <w:p>
      <w:pPr>
        <w:keepNext/>
        <w:spacing w:after="60" w:before="80"/>
      </w:pPr>
      <w:r>
        <w:rPr>
          <w:rFonts w:ascii="Calibri" w:cs="Calibri" w:eastAsia="Calibri" w:hAnsi="Calibri"/>
          <w:b/>
          <w:bCs/>
          <w:sz w:val="19"/>
          <w:szCs w:val="19"/>
        </w:rPr>
        <w:t xml:space="preserve">24-month work plan, term by term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6"/>
        <w:gridCol w:w="3742"/>
        <w:gridCol w:w="3742"/>
      </w:tblGrid>
      <w:tr>
        <w:trPr>
          <w:cantSplit/>
          <w:tblHeader/>
        </w:trPr>
        <w:tc>
          <w:tcPr>
            <w:tcW w:type="dxa" w:w="259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37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37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Preparation: October 2026 to August 2027 (before enrolment)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Contact the prospective supervisor; confirm requirements, English test and funding; apply; self-study of Python, laminate theory, FEA, statistics and LCA; draft the WP0 protocol; study permit after any offer</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Supervisor reply; application submitted; draft WP0 protocol; first laminate-theory code; a simple FE benchmark attempted</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1: September to December 2027 (months 1 to 4)</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Coursework; safety, WHMIS and composites fabrication and testing training; WP0; start WP1</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 protocol agreed. Month 4: WP0 report and gap decision</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2: January to April 2028 (months 5 to 8)</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Coursework; complete WP1; trial plates and process development (WP2); research plan and committee steps if required</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7: design inputs and ply counts frozen. Month 8: acceptable trial plates; analysis plan fixed; descoping check 1</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May to August 2028 (months 9 to 12)</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Production plates and dry testing (WP2); conditioning from month 10; WP3 inventory; Python pipeline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12: dry-test dataset; descoping check 2; abstract to one composites conference, chosen with the supervisor</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3: September to December 2028 (months 13 to 16)</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Conditioned tests and dataset completion (WP2); WP3 LCA, cost and manufacturability; WP4 provisional ranking; WP5 tooling, pilot tube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13: manufacturability scores computed. Month 14: full dataset. Month 16: WP5 designs frozen; Paper 1 submitted</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4: January to April 2029 (months 17 to 20)</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Nine tube segments (WP5); complete WP4; lock predictions; start bending tests; draft thesis chapters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18: predictions locked. Month 19: nine segments built; final ranking; bending tests start; descoping check 3</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May to August 2029 (months 21 to 24)</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 tests and comparison; thesis writing and Paper 2; defence preparation; slack in months 22 and 23</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21: part-test report. Month 22: thesis to committee. Month 24: defence; Paper 2 submitted</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6. Expected contributions and dissemination</w:t>
      </w:r>
    </w:p>
    <w:p>
      <w:pPr>
        <w:pStyle w:val="ListParagraph"/>
        <w:numPr>
          <w:ilvl w:val="0"/>
          <w:numId w:val="4"/>
        </w:numPr>
        <w:spacing w:after="60" w:line="276"/>
      </w:pPr>
      <w:r>
        <w:rPr>
          <w:rFonts w:ascii="Calibri" w:cs="Calibri" w:eastAsia="Calibri" w:hAnsi="Calibri"/>
          <w:b/>
          <w:bCs/>
          <w:sz w:val="21"/>
          <w:szCs w:val="21"/>
        </w:rPr>
        <w:t xml:space="preserve">Scientific.</w:t>
      </w:r>
      <w:r>
        <w:rPr>
          <w:rFonts w:ascii="Calibri" w:cs="Calibri" w:eastAsia="Calibri" w:hAnsi="Calibri"/>
          <w:sz w:val="21"/>
          <w:szCs w:val="21"/>
        </w:rPr>
        <w:t xml:space="preserve"> A protocol-based test of whether the combination in Section 2.3 is open; a measured dataset of reference and hybrid laminates with plate-level variability; and evidence on how much uncertainty changes a sustainability-aware ranking.</w:t>
      </w:r>
    </w:p>
    <w:p>
      <w:pPr>
        <w:pStyle w:val="ListParagraph"/>
        <w:numPr>
          <w:ilvl w:val="0"/>
          <w:numId w:val="4"/>
        </w:numPr>
        <w:spacing w:after="60" w:line="276"/>
      </w:pPr>
      <w:r>
        <w:rPr>
          <w:rFonts w:ascii="Calibri" w:cs="Calibri" w:eastAsia="Calibri" w:hAnsi="Calibri"/>
          <w:b/>
          <w:bCs/>
          <w:sz w:val="21"/>
          <w:szCs w:val="21"/>
        </w:rPr>
        <w:t xml:space="preserve">Engineering.</w:t>
      </w:r>
      <w:r>
        <w:rPr>
          <w:rFonts w:ascii="Calibri" w:cs="Calibri" w:eastAsia="Calibri" w:hAnsi="Calibri"/>
          <w:sz w:val="21"/>
          <w:szCs w:val="21"/>
        </w:rPr>
        <w:t xml:space="preserve"> A documented, open workflow (code, data and scoring rules), designed to be adaptable to other parts in future work; a manufacturability score from measured indicators, to be tried by other operators before any reproducibility claim; and a part-scale comparison of predicted and measured behaviour for a flax-hybrid tube spar.</w:t>
      </w:r>
    </w:p>
    <w:p>
      <w:pPr>
        <w:spacing w:after="100" w:line="276"/>
      </w:pPr>
      <w:r>
        <w:rPr>
          <w:rFonts w:ascii="Calibri" w:cs="Calibri" w:eastAsia="Calibri" w:hAnsi="Calibri"/>
          <w:b/>
          <w:bCs/>
          <w:sz w:val="21"/>
          <w:szCs w:val="21"/>
        </w:rPr>
        <w:t xml:space="preserve">Publication plan.</w:t>
      </w:r>
      <w:r>
        <w:rPr>
          <w:rFonts w:ascii="Calibri" w:cs="Calibri" w:eastAsia="Calibri" w:hAnsi="Calibri"/>
          <w:sz w:val="21"/>
          <w:szCs w:val="21"/>
        </w:rPr>
        <w:t xml:space="preserve"> Paper 1 (dataset and variability), around month 16, is aimed at </w:t>
      </w:r>
      <w:r>
        <w:rPr>
          <w:rFonts w:ascii="Calibri" w:cs="Calibri" w:eastAsia="Calibri" w:hAnsi="Calibri"/>
          <w:i/>
          <w:iCs/>
          <w:sz w:val="21"/>
          <w:szCs w:val="21"/>
        </w:rPr>
        <w:t xml:space="preserve">Composites Part A: Applied Science and Manufacturing</w:t>
      </w:r>
      <w:r>
        <w:rPr>
          <w:rFonts w:ascii="Calibri" w:cs="Calibri" w:eastAsia="Calibri" w:hAnsi="Calibri"/>
          <w:sz w:val="21"/>
          <w:szCs w:val="21"/>
        </w:rPr>
        <w:t xml:space="preserve">, the venue of [1], or </w:t>
      </w:r>
      <w:r>
        <w:rPr>
          <w:rFonts w:ascii="Calibri" w:cs="Calibri" w:eastAsia="Calibri" w:hAnsi="Calibri"/>
          <w:i/>
          <w:iCs/>
          <w:sz w:val="21"/>
          <w:szCs w:val="21"/>
        </w:rPr>
        <w:t xml:space="preserve">Materials &amp; Design</w:t>
      </w:r>
      <w:r>
        <w:rPr>
          <w:rFonts w:ascii="Calibri" w:cs="Calibri" w:eastAsia="Calibri" w:hAnsi="Calibri"/>
          <w:sz w:val="21"/>
          <w:szCs w:val="21"/>
        </w:rPr>
        <w:t xml:space="preserve">. Paper 2 (model, LCA, ranking and part-scale testing), by month 24, is aimed at </w:t>
      </w:r>
      <w:r>
        <w:rPr>
          <w:rFonts w:ascii="Calibri" w:cs="Calibri" w:eastAsia="Calibri" w:hAnsi="Calibri"/>
          <w:i/>
          <w:iCs/>
          <w:sz w:val="21"/>
          <w:szCs w:val="21"/>
        </w:rPr>
        <w:t xml:space="preserve">Composite Structures</w:t>
      </w:r>
      <w:r>
        <w:rPr>
          <w:rFonts w:ascii="Calibri" w:cs="Calibri" w:eastAsia="Calibri" w:hAnsi="Calibri"/>
          <w:sz w:val="21"/>
          <w:szCs w:val="21"/>
        </w:rPr>
        <w:t xml:space="preserve">, the venue of [4], or </w:t>
      </w:r>
      <w:r>
        <w:rPr>
          <w:rFonts w:ascii="Calibri" w:cs="Calibri" w:eastAsia="Calibri" w:hAnsi="Calibri"/>
          <w:i/>
          <w:iCs/>
          <w:sz w:val="21"/>
          <w:szCs w:val="21"/>
        </w:rPr>
        <w:t xml:space="preserve">Materials &amp; Design</w:t>
      </w:r>
      <w:r>
        <w:rPr>
          <w:rFonts w:ascii="Calibri" w:cs="Calibri" w:eastAsia="Calibri" w:hAnsi="Calibri"/>
          <w:sz w:val="21"/>
          <w:szCs w:val="21"/>
        </w:rPr>
        <w:t xml:space="preserve">; venues will be chosen with the supervisor. Results may also be presented at one composites conference, chosen with the supervisor.</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7. Risks, mitigation and descoping</w:t>
      </w:r>
    </w:p>
    <w:p>
      <w:pPr>
        <w:keepNext/>
        <w:spacing w:after="60" w:before="80"/>
      </w:pPr>
      <w:r>
        <w:rPr>
          <w:rFonts w:ascii="Calibri" w:cs="Calibri" w:eastAsia="Calibri" w:hAnsi="Calibri"/>
          <w:b/>
          <w:bCs/>
          <w:sz w:val="19"/>
          <w:szCs w:val="19"/>
        </w:rPr>
        <w:t xml:space="preserve">Risk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70"/>
        <w:gridCol w:w="1000"/>
        <w:gridCol w:w="1000"/>
        <w:gridCol w:w="4410"/>
      </w:tblGrid>
      <w:tr>
        <w:trPr>
          <w:cantSplit/>
          <w:tblHeader/>
        </w:trPr>
        <w:tc>
          <w:tcPr>
            <w:tcW w:type="dxa" w:w="36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44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shows the gap is closed or narrower than hoped; nearest works are [4] and the </w:t>
            </w:r>
            <w:r>
              <w:rPr>
                <w:rFonts w:ascii="Calibri" w:cs="Calibri" w:eastAsia="Calibri" w:hAnsi="Calibri"/>
                <w:b w:val="false"/>
                <w:bCs w:val="false"/>
                <w:i/>
                <w:iCs/>
                <w:sz w:val="18"/>
                <w:szCs w:val="18"/>
              </w:rPr>
              <w:t xml:space="preserve">Matéria</w:t>
            </w:r>
            <w:r>
              <w:rPr>
                <w:rFonts w:ascii="Calibri" w:cs="Calibri" w:eastAsia="Calibri" w:hAnsi="Calibri"/>
                <w:b w:val="false"/>
                <w:bCs w:val="false"/>
                <w:sz w:val="18"/>
                <w:szCs w:val="18"/>
              </w:rPr>
              <w:t xml:space="preserve"> paper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Narrow framing; month 4 decision rule; value also in measured data and part testing; re-scope with the supervisor</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Overlap with existing uncertainty-aware selection work (cf. [5]); whether the group works on this is not known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in the first contact; read group publications first; reposition element (ii) as a complement, for example comparing sampled and fuzzy treatments of the same data</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Supervisor unavailable, no funding, or a delayed permit or start for Fall 2027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early (Section 9); apply early; ask the graduate office about later intakes and external funding; WP0 can begin remotely</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Natural-fibre variability and batch effects mask laminate effects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Three plates per laminate; one resin batch and fabric roll per fibre type; dried flax; randomized order; log temperature, humidity and operator hours; treat variability as data</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Dataset too small for useful modelling, or LCA data limited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Laminate theory with a one-parameter correction; priors from WP0; LCA ranges and sensitivity analysis; fall back on empirical knockdown factors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Poor laminate quality (voids, misalignment, resin-starved flax)</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Trial plates; process log; void measurement; technician-led training</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Slow ramp-up in FEA, Python, statistics and composites; heavy workload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Pre-arrival plan (Section 10); term 1 coursework; regular check-ins; descoping triggers; minimum viable thesis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Plate-to-tube process differences or premature failure at the loading points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Hybrid pilot tube; FE-informed fixtures; local reinforcement; report any process-route gap as a limitation</w:t>
            </w:r>
          </w:p>
        </w:tc>
      </w:tr>
    </w:tbl>
    <w:p>
      <w:pPr>
        <w:spacing w:after="120"/>
      </w:pPr>
    </w:p>
    <w:p>
      <w:pPr>
        <w:keepNext/>
        <w:spacing w:after="60" w:before="80"/>
      </w:pPr>
      <w:r>
        <w:rPr>
          <w:rFonts w:ascii="Calibri" w:cs="Calibri" w:eastAsia="Calibri" w:hAnsi="Calibri"/>
          <w:b/>
          <w:bCs/>
          <w:sz w:val="19"/>
          <w:szCs w:val="19"/>
        </w:rPr>
        <w:t xml:space="preserve">Descoping triggers, reviewed with the supervisor at each checkpoint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222"/>
        <w:gridCol w:w="4858"/>
      </w:tblGrid>
      <w:tr>
        <w:trPr>
          <w:cantSplit/>
          <w:tblHeader/>
        </w:trPr>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Checkpoint</w:t>
            </w:r>
          </w:p>
        </w:tc>
        <w:tc>
          <w:tcPr>
            <w:tcW w:type="dxa" w:w="422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Trigger</w:t>
            </w:r>
          </w:p>
        </w:tc>
        <w:tc>
          <w:tcPr>
            <w:tcW w:type="dxa" w:w="48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Response</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8</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Fewer than two acceptable trial plates, or laboratory access delayed by more than two months</w:t>
            </w:r>
          </w:p>
        </w:tc>
        <w:tc>
          <w:tcPr>
            <w:tcW w:type="dxa" w:w="48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Drop L5 (glass/flax hybrid) and continue with L1 to L4; H1 then becomes a descriptive check on L4, and WP5 tests the reference and L4 only</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12</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Dry dataset incomplete for any laminate</w:t>
            </w:r>
          </w:p>
        </w:tc>
        <w:tc>
          <w:tcPr>
            <w:tcW w:type="dxa" w:w="48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Drop the conditioned tests and moisture criterion for all laminates, report any moisture results separately, and rank on the remaining criteria</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19</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Fewer than nine segments built by month 19</w:t>
            </w:r>
          </w:p>
        </w:tc>
        <w:tc>
          <w:tcPr>
            <w:tcW w:type="dxa" w:w="48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Test two designs (the reference and one hybrid) with three segments each and report WP5 as partial; H5 then covers 12 outcomes</w:t>
            </w:r>
          </w:p>
        </w:tc>
      </w:tr>
    </w:tbl>
    <w:p>
      <w:pPr>
        <w:spacing w:after="120"/>
      </w:pPr>
    </w:p>
    <w:p>
      <w:pPr>
        <w:spacing w:after="100" w:line="276"/>
      </w:pPr>
      <w:r>
        <w:rPr>
          <w:rFonts w:ascii="Calibri" w:cs="Calibri" w:eastAsia="Calibri" w:hAnsi="Calibri"/>
          <w:b/>
          <w:bCs/>
          <w:sz w:val="21"/>
          <w:szCs w:val="21"/>
        </w:rPr>
        <w:t xml:space="preserve">Minimum viable thesis.</w:t>
      </w:r>
      <w:r>
        <w:rPr>
          <w:rFonts w:ascii="Calibri" w:cs="Calibri" w:eastAsia="Calibri" w:hAnsi="Calibri"/>
          <w:sz w:val="21"/>
          <w:szCs w:val="21"/>
        </w:rPr>
        <w:t xml:space="preserve"> If several triggers fire: four laminates, dry tests only, six tube segments (reference and one hybrid), a GWP-based screening LCA with cost as the second criterion, and a Monte Carlo ranking from plate-level summaries; WP0 is always kept and extensions go first.</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8. Resources, facilities and indicative budget</w:t>
      </w:r>
    </w:p>
    <w:p>
      <w:pPr>
        <w:spacing w:after="100" w:line="276"/>
      </w:pPr>
      <w:r>
        <w:rPr>
          <w:rFonts w:ascii="Calibri" w:cs="Calibri" w:eastAsia="Calibri" w:hAnsi="Calibri"/>
          <w:b/>
          <w:bCs/>
          <w:sz w:val="21"/>
          <w:szCs w:val="21"/>
        </w:rPr>
        <w:t xml:space="preserve">What the project needs.</w:t>
      </w:r>
      <w:r>
        <w:rPr>
          <w:rFonts w:ascii="Calibri" w:cs="Calibri" w:eastAsia="Calibri" w:hAnsi="Calibri"/>
          <w:sz w:val="21"/>
          <w:szCs w:val="21"/>
        </w:rPr>
        <w:t xml:space="preserve"> Composite fabrication space with vacuum infusion or bagging, cutting with dust extraction and epoxy cure capability; a universal testing machine with fixtures for the Section 4 standards, strain measurement (ideally DIC), humidity conditioning and microscopy; FE software, Python, openLCA and a background LCA database (MATLAB is optional); machine-shop access; and technician and safety training.</w:t>
      </w:r>
    </w:p>
    <w:p>
      <w:pPr>
        <w:spacing w:after="100" w:line="276"/>
      </w:pPr>
      <w:r>
        <w:rPr>
          <w:rFonts w:ascii="Calibri" w:cs="Calibri" w:eastAsia="Calibri" w:hAnsi="Calibri"/>
          <w:b/>
          <w:bCs/>
          <w:sz w:val="21"/>
          <w:szCs w:val="21"/>
        </w:rPr>
        <w:t xml:space="preserve">Questions for the supervisor.</w:t>
      </w:r>
      <w:r>
        <w:rPr>
          <w:rFonts w:ascii="Calibri" w:cs="Calibri" w:eastAsia="Calibri" w:hAnsi="Calibri"/>
          <w:sz w:val="21"/>
          <w:szCs w:val="21"/>
        </w:rPr>
        <w:t xml:space="preserve"> I have not found a published equipment list for the group and assume none of the items above. Which does the group operate (Section 9), and are FE and LCA software and databases licensed? The MMRI annual report and the Composites Research Network node pages are my first checks, and the plan adapts, for example with vacuum bagging in place of infusion. Humidity conditioning, DIC, tube tooling and licences are most exposed; the minimum viable thesis (Section 7) reduces each.</w:t>
      </w:r>
    </w:p>
    <w:p>
      <w:pPr>
        <w:keepNext/>
        <w:spacing w:after="60" w:before="80"/>
      </w:pPr>
      <w:r>
        <w:rPr>
          <w:rFonts w:ascii="Calibri" w:cs="Calibri" w:eastAsia="Calibri" w:hAnsi="Calibri"/>
          <w:b/>
          <w:bCs/>
          <w:sz w:val="19"/>
          <w:szCs w:val="19"/>
        </w:rPr>
        <w:t xml:space="preserve">Indicative budget in CAD. Rough estimates, not supplier quotes; some items may be covered by group stock. No stipend or funding source is assumed.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5899"/>
        <w:gridCol w:w="2165"/>
      </w:tblGrid>
      <w:tr>
        <w:trPr>
          <w:cantSplit/>
          <w:tblHeader/>
        </w:trPr>
        <w:tc>
          <w:tcPr>
            <w:tcW w:type="dxa" w:w="20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589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Basis</w:t>
            </w:r>
          </w:p>
        </w:tc>
        <w:tc>
          <w:tcPr>
            <w:tcW w:type="dxa" w:w="216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Rough estimate (CAD)</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Fibres and resin</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Fibres and epoxy for about 25 plates, a pilot tube and nine segments</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6,500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 consumables and PPE</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Vacuum film, peel ply, flow media, release agent, tape, PPE</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Specimen preparation and conditioning</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Tabs, adhesive, strain gauges, DIC speckle materials, cutting, conditioning and microscopy consumables</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Tooling and fixtures</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Mandrels, mould tools, bending-fixture materials</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LCA data access</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Database licence, only if the university does not provide one</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Dissemination</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Registration and travel for one conference</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Open-access fees</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Partial cover for two articles</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 of the rough estimates</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21,000</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9. Fit with the supervisor's group</w:t>
      </w:r>
    </w:p>
    <w:p>
      <w:pPr>
        <w:spacing w:after="100" w:line="276"/>
      </w:pPr>
      <w:r>
        <w:rPr>
          <w:rFonts w:ascii="Calibri" w:cs="Calibri" w:eastAsia="Calibri" w:hAnsi="Calibri"/>
          <w:sz w:val="21"/>
          <w:szCs w:val="21"/>
        </w:rPr>
        <w:t xml:space="preserve">The project joins composites, sustainable manufacturing and data-driven design. The UBC directory lists Dr. Milani as holder of a Tier 1 Principal's Research Chair in Sustainable &amp; Smart Manufacturing, Director of the Materials and Manufacturing Research Institute (MMRI) and Technical Director of the Composites Research Network (CRN). From public descriptions, the group's interests include textile composites and biocomposites, finite element modelling, MCDM, material selection for end-of-life design and AI-based materials informatics. The project would extend two of these lines ([6], [2]) to measured data on bio-based hybrid laminates. A 2024 minisymposium abstract by Dr. Milani and M. Ramezankhani, “AI-Based Materials and Manufacturing Design”, joins the WP0 reading list.</w:t>
      </w:r>
    </w:p>
    <w:p>
      <w:pPr>
        <w:spacing w:after="100" w:line="276"/>
      </w:pPr>
      <w:r>
        <w:rPr>
          <w:rFonts w:ascii="Calibri" w:cs="Calibri" w:eastAsia="Calibri" w:hAnsi="Calibri"/>
          <w:b/>
          <w:bCs/>
          <w:sz w:val="21"/>
          <w:szCs w:val="21"/>
        </w:rPr>
        <w:t xml:space="preserve">Availability and contact.</w:t>
      </w:r>
      <w:r>
        <w:rPr>
          <w:rFonts w:ascii="Calibri" w:cs="Calibri" w:eastAsia="Calibri" w:hAnsi="Calibri"/>
          <w:sz w:val="21"/>
          <w:szCs w:val="21"/>
        </w:rPr>
        <w:t xml:space="preserve"> Admission to the Okanagan MASc requires a professor willing to supervise, so I am writing before applying. I found no dated statement about Dr. Milani's availability: the undated CRN careers page says the network recruits graduate students but speaks for the network, not for him or for Fall 2027, and the MMRI Management Team page lists him as Director (On Study Leave). I therefore ask, rather than assume, whether he expects to supervise a new MASc student from September 2027.</w:t>
      </w:r>
    </w:p>
    <w:p>
      <w:pPr>
        <w:keepNext/>
        <w:spacing w:after="60" w:before="80"/>
      </w:pPr>
      <w:r>
        <w:rPr>
          <w:rFonts w:ascii="Calibri" w:cs="Calibri" w:eastAsia="Calibri" w:hAnsi="Calibri"/>
          <w:b/>
          <w:bCs/>
          <w:sz w:val="19"/>
          <w:szCs w:val="19"/>
        </w:rPr>
        <w:t xml:space="preserve">Questions for the supervisor and how the answers change the proposal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Question</w:t>
            </w:r>
          </w:p>
        </w:tc>
        <w:tc>
          <w:tcPr>
            <w:tcW w:type="dxa" w:w="50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How the answer changes the proposal</w:t>
            </w:r>
          </w:p>
        </w:tc>
      </w:tr>
      <w:tr>
        <w:trPr>
          <w:cantSplit/>
          <w:tblHeader w:val="false"/>
        </w:trPr>
        <w:tc>
          <w:tcPr>
            <w:tcW w:type="dxa" w:w="50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Does the prospective supervisor expect to supervise a new MASc student from September 2027, and is funding available?</w:t>
            </w:r>
          </w:p>
        </w:tc>
        <w:tc>
          <w:tcPr>
            <w:tcW w:type="dxa" w:w="50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Decides whether the project can start then and whether Section 8 is covered. No stipend is assumed.</w:t>
            </w:r>
          </w:p>
        </w:tc>
      </w:tr>
      <w:tr>
        <w:trPr>
          <w:cantSplit/>
          <w:tblHeader w:val="false"/>
        </w:trPr>
        <w:tc>
          <w:tcPr>
            <w:tcW w:type="dxa" w:w="50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How should the project relate to the group's published work on materials informatics and ranking sensitivity, and does the group work on uncertainty-aware selection, given [5]?</w:t>
            </w:r>
          </w:p>
        </w:tc>
        <w:tc>
          <w:tcPr>
            <w:tcW w:type="dxa" w:w="50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starts with the group's publications; the gap framing (Section 2.3) and the choice between extending and re-scoping depend on the answer.</w:t>
            </w:r>
          </w:p>
        </w:tc>
      </w:tr>
      <w:tr>
        <w:trPr>
          <w:cantSplit/>
          <w:tblHeader w:val="false"/>
        </w:trPr>
        <w:tc>
          <w:tcPr>
            <w:tcW w:type="dxa" w:w="50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Which composite processes, test equipment and reference airframe or spar configuration does the group use, and is the scope right for a two-year thesis?</w:t>
            </w:r>
          </w:p>
        </w:tc>
        <w:tc>
          <w:tcPr>
            <w:tcW w:type="dxa" w:w="50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Sets the process route, test plan, outsourcing, load cases and tube dimensions; the descoping triggers in Section 7 can be tightened or relaxed.</w:t>
            </w:r>
          </w:p>
        </w:tc>
      </w:tr>
    </w:tbl>
    <w:p>
      <w:pPr>
        <w:spacing w:after="120"/>
      </w:pPr>
    </w:p>
    <w:p>
      <w:pPr>
        <w:spacing w:after="100" w:line="276"/>
      </w:pPr>
      <w:r>
        <w:rPr>
          <w:rFonts w:ascii="Calibri" w:cs="Calibri" w:eastAsia="Calibri" w:hAnsi="Calibri"/>
          <w:b/>
          <w:bCs/>
          <w:sz w:val="21"/>
          <w:szCs w:val="21"/>
        </w:rPr>
        <w:t xml:space="preserve">What I can contribute, with supervision.</w:t>
      </w:r>
      <w:r>
        <w:rPr>
          <w:rFonts w:ascii="Calibri" w:cs="Calibri" w:eastAsia="Calibri" w:hAnsi="Calibri"/>
          <w:sz w:val="21"/>
          <w:szCs w:val="21"/>
        </w:rPr>
        <w:t xml:space="preserve"> UAV assembly and fault diagnosis on multirotor and FPV drones, and machining and CAD skills that I expect to apply, under supervision, to fixtures and tooling.</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10. Applicant background and preparation plan</w:t>
      </w:r>
    </w:p>
    <w:p>
      <w:pPr>
        <w:spacing w:after="100" w:line="276"/>
      </w:pPr>
      <w:r>
        <w:rPr>
          <w:rFonts w:ascii="Calibri" w:cs="Calibri" w:eastAsia="Calibri" w:hAnsi="Calibri"/>
          <w:sz w:val="21"/>
          <w:szCs w:val="21"/>
        </w:rPr>
        <w:t xml:space="preserve">I have no publications and no research assistantship yet, and no documented experience of FEA, topology optimization, composites testing, MATLAB or Python. About eleven months remain before the intended start. The FE gap matters because finite element methods are among the skills named on the CRN careers page.</w:t>
      </w:r>
    </w:p>
    <w:p>
      <w:pPr>
        <w:keepNext/>
        <w:spacing w:after="60" w:before="80"/>
      </w:pPr>
      <w:r>
        <w:rPr>
          <w:rFonts w:ascii="Calibri" w:cs="Calibri" w:eastAsia="Calibri" w:hAnsi="Calibri"/>
          <w:b/>
          <w:bCs/>
          <w:sz w:val="19"/>
          <w:szCs w:val="19"/>
        </w:rPr>
        <w:t xml:space="preserve">Skills, current status and preparation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5"/>
        <w:gridCol w:w="3933"/>
        <w:gridCol w:w="3932"/>
      </w:tblGrid>
      <w:tr>
        <w:trPr>
          <w:cantSplit/>
          <w:tblHeader/>
        </w:trPr>
        <w:tc>
          <w:tcPr>
            <w:tcW w:type="dxa" w:w="221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w:t>
            </w:r>
          </w:p>
        </w:tc>
        <w:tc>
          <w:tcPr>
            <w:tcW w:type="dxa" w:w="393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393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Action before and during the first term</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CAD, machining and fabrication</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Autodesk Inventor, Fusion 360 and AutoCAD, with component design in Inventor during industrial training; lathe and mill operation, machining, fabrication and prototyping (MEMMCOL, 2023)</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Expected to apply, under supervision, to tube, tooling and fixture design; learn safe composite cutting and specimen preparation in term 1</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assembly, maintenance and diagnostics</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Aerotech Services Ltd since May 2025, on multirotor and FPV drones</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Read on fixed-wing structures and spar loading; Canadian pilot certification if flights are planned</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analysis</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introductory FEA course and a beam benchmark in a free package. Term 1: graduate FE coursework</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Composites fabrication and testing; life cycle assessment</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Read the standards; shadow tests; training before the first plates; ISO 14040 and 14044 and openLCA tutorials with a practice LCA before arrival</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Scripting: Python and MATLAB</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Python now, starting with a laminate-theory calculator before arrival; MATLAB optional</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Statistics, research writing and systematic review</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Statistics not documented; no publications yet</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Self-study of applied statistics and mixed-effects models; term 1 coursework; draft the review protocol before arrival</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Admission requirements, including language test</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Okanagan calendar, as I read it, asks for a B+ average (76 to 79%) and TOEFL iBT 92 or IELTS Academic 6.5, no band below 6.0. How my classification converts, and my language-test status, are not yet confirmed</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Check the official page and exemptions with the graduate office; book a test if needed before the February deadline</w:t>
            </w:r>
          </w:p>
        </w:tc>
      </w:tr>
    </w:tbl>
    <w:p>
      <w:pPr>
        <w:spacing w:after="120"/>
      </w:pPr>
    </w:p>
    <w:p>
      <w:pPr>
        <w:spacing w:after="100" w:line="276"/>
      </w:pPr>
      <w:r>
        <w:rPr>
          <w:rFonts w:ascii="Calibri" w:cs="Calibri" w:eastAsia="Calibri" w:hAnsi="Calibri"/>
          <w:b/>
          <w:bCs/>
          <w:sz w:val="21"/>
          <w:szCs w:val="21"/>
        </w:rPr>
        <w:t xml:space="preserve">Relevant credentials.</w:t>
      </w:r>
      <w:r>
        <w:rPr>
          <w:rFonts w:ascii="Calibri" w:cs="Calibri" w:eastAsia="Calibri" w:hAnsi="Calibri"/>
          <w:sz w:val="21"/>
          <w:szCs w:val="21"/>
        </w:rPr>
        <w:t xml:space="preserve"> B.Eng. Mechanical Engineering, First Class Honours, Abiola Ajimobi Technical University, Ibadan (March 2025); EASA A1/A3 and FAA UAS Safety Test Certificate (2025); Eurocontrol Fundamentals of UAS and U-Space (2026); Graduate Member, Nigerian Society of Engineers (2026); Autodesk academic partner event on generative design (2023); industrial training at Buildwell Plants &amp; Equipment (2024) and Coleman Technical Industries (2022). Projects (a grain grinding machine; drone design and mechanical prototyping) have no measured results recorded yet.</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11. Ethics, safety and regulatory considerations</w:t>
      </w:r>
    </w:p>
    <w:p>
      <w:pPr>
        <w:pStyle w:val="ListParagraph"/>
        <w:numPr>
          <w:ilvl w:val="0"/>
          <w:numId w:val="4"/>
        </w:numPr>
        <w:spacing w:after="60" w:line="276"/>
      </w:pPr>
      <w:r>
        <w:rPr>
          <w:rFonts w:ascii="Calibri" w:cs="Calibri" w:eastAsia="Calibri" w:hAnsi="Calibri"/>
          <w:b/>
          <w:bCs/>
          <w:sz w:val="21"/>
          <w:szCs w:val="21"/>
        </w:rPr>
        <w:t xml:space="preserve">Research ethics.</w:t>
      </w:r>
      <w:r>
        <w:rPr>
          <w:rFonts w:ascii="Calibri" w:cs="Calibri" w:eastAsia="Calibri" w:hAnsi="Calibri"/>
          <w:sz w:val="21"/>
          <w:szCs w:val="21"/>
        </w:rPr>
        <w:t xml:space="preserve"> The project involves no human participants, animals or personal data, so ethics board review is not expected; I will confirm this with the university.</w:t>
      </w:r>
    </w:p>
    <w:p>
      <w:pPr>
        <w:pStyle w:val="ListParagraph"/>
        <w:numPr>
          <w:ilvl w:val="0"/>
          <w:numId w:val="4"/>
        </w:numPr>
        <w:spacing w:after="60" w:line="276"/>
      </w:pPr>
      <w:r>
        <w:rPr>
          <w:rFonts w:ascii="Calibri" w:cs="Calibri" w:eastAsia="Calibri" w:hAnsi="Calibri"/>
          <w:b/>
          <w:bCs/>
          <w:sz w:val="21"/>
          <w:szCs w:val="21"/>
        </w:rPr>
        <w:t xml:space="preserve">Laboratory safety.</w:t>
      </w:r>
      <w:r>
        <w:rPr>
          <w:rFonts w:ascii="Calibri" w:cs="Calibri" w:eastAsia="Calibri" w:hAnsi="Calibri"/>
          <w:sz w:val="21"/>
          <w:szCs w:val="21"/>
        </w:rPr>
        <w:t xml:space="preserve"> Composite work involves resins, hardeners and solvents, fibre dust from cutting, and energetic specimen failures. I will complete WHMIS and laboratory safety training, review safety data sheets, and use ventilation, PPE, guarding and institutional waste procedures.</w:t>
      </w:r>
    </w:p>
    <w:p>
      <w:pPr>
        <w:pStyle w:val="ListParagraph"/>
        <w:numPr>
          <w:ilvl w:val="0"/>
          <w:numId w:val="4"/>
        </w:numPr>
        <w:spacing w:after="60" w:line="276"/>
      </w:pPr>
      <w:r>
        <w:rPr>
          <w:rFonts w:ascii="Calibri" w:cs="Calibri" w:eastAsia="Calibri" w:hAnsi="Calibri"/>
          <w:b/>
          <w:bCs/>
          <w:sz w:val="21"/>
          <w:szCs w:val="21"/>
        </w:rPr>
        <w:t xml:space="preserve">RPAS regulation.</w:t>
      </w:r>
      <w:r>
        <w:rPr>
          <w:rFonts w:ascii="Calibri" w:cs="Calibri" w:eastAsia="Calibri" w:hAnsi="Calibri"/>
          <w:sz w:val="21"/>
          <w:szCs w:val="21"/>
        </w:rPr>
        <w:t xml:space="preserve"> No flights are planned in the core project; ground testing is the basis for part testing. Any later flight demonstration would follow Transport Canada rules under Part IX of the Canadian Aviation Regulations, including a Canadian pilot certificate (my EASA and FAA credentials are not Canadian), registration, site permissions, insurance and the university's UAV policy.</w:t>
      </w:r>
    </w:p>
    <w:p>
      <w:pPr>
        <w:pStyle w:val="ListParagraph"/>
        <w:numPr>
          <w:ilvl w:val="0"/>
          <w:numId w:val="4"/>
        </w:numPr>
        <w:spacing w:after="60" w:line="276"/>
      </w:pPr>
      <w:r>
        <w:rPr>
          <w:rFonts w:ascii="Calibri" w:cs="Calibri" w:eastAsia="Calibri" w:hAnsi="Calibri"/>
          <w:b/>
          <w:bCs/>
          <w:sz w:val="21"/>
          <w:szCs w:val="21"/>
        </w:rPr>
        <w:t xml:space="preserve">Data management.</w:t>
      </w:r>
      <w:r>
        <w:rPr>
          <w:rFonts w:ascii="Calibri" w:cs="Calibri" w:eastAsia="Calibri" w:hAnsi="Calibri"/>
          <w:sz w:val="21"/>
          <w:szCs w:val="21"/>
        </w:rPr>
        <w:t xml:space="preserve"> Data, scripts, metadata and the analysis plan will be version controlled and backed up, following the Tri-Agency research data management policy and university guidance as they apply; open release is subject to the supervisor's agreement.</w:t>
      </w:r>
    </w:p>
    <w:p>
      <w:pPr>
        <w:pStyle w:val="ListParagraph"/>
        <w:numPr>
          <w:ilvl w:val="0"/>
          <w:numId w:val="4"/>
        </w:numPr>
        <w:spacing w:after="60" w:line="276"/>
      </w:pPr>
      <w:r>
        <w:rPr>
          <w:rFonts w:ascii="Calibri" w:cs="Calibri" w:eastAsia="Calibri" w:hAnsi="Calibri"/>
          <w:b/>
          <w:bCs/>
          <w:sz w:val="21"/>
          <w:szCs w:val="21"/>
        </w:rPr>
        <w:t xml:space="preserve">Intellectual property.</w:t>
      </w:r>
      <w:r>
        <w:rPr>
          <w:rFonts w:ascii="Calibri" w:cs="Calibri" w:eastAsia="Calibri" w:hAnsi="Calibri"/>
          <w:sz w:val="21"/>
          <w:szCs w:val="21"/>
        </w:rPr>
        <w:t xml:space="preserve"> Ownership and publication arrangements will follow university policy and be agreed with the supervisor at the start.</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References</w:t>
      </w:r>
    </w:p>
    <w:p>
      <w:pPr>
        <w:spacing w:after="70" w:line="264"/>
        <w:ind w:left="540" w:hanging="540"/>
      </w:pPr>
      <w:r>
        <w:rPr>
          <w:rFonts w:ascii="Calibri" w:cs="Calibri" w:eastAsia="Calibri" w:hAnsi="Calibri"/>
          <w:sz w:val="19"/>
          <w:szCs w:val="19"/>
        </w:rPr>
        <w:t xml:space="preserve">[1] Pickering, K. L.; Aruan Efendy, M. G.; Le, T. M. (2016). A review of recent developments in natural fibre composites and their mechanical performance. </w:t>
      </w:r>
      <w:r>
        <w:rPr>
          <w:rFonts w:ascii="Calibri" w:cs="Calibri" w:eastAsia="Calibri" w:hAnsi="Calibri"/>
          <w:i/>
          <w:iCs/>
          <w:sz w:val="19"/>
          <w:szCs w:val="19"/>
        </w:rPr>
        <w:t xml:space="preserve">Composites Part A: Applied Science and Manufacturing</w:t>
      </w:r>
      <w:r>
        <w:rPr>
          <w:rFonts w:ascii="Calibri" w:cs="Calibri" w:eastAsia="Calibri" w:hAnsi="Calibri"/>
          <w:sz w:val="19"/>
          <w:szCs w:val="19"/>
        </w:rPr>
        <w:t xml:space="preserve">, 83, 98-112. https://doi.org/10.1016/j.compositesa.2015.08.038</w:t>
      </w:r>
    </w:p>
    <w:p>
      <w:pPr>
        <w:spacing w:after="70" w:line="264"/>
        <w:ind w:left="540" w:hanging="540"/>
      </w:pPr>
      <w:r>
        <w:rPr>
          <w:rFonts w:ascii="Calibri" w:cs="Calibri" w:eastAsia="Calibri" w:hAnsi="Calibri"/>
          <w:sz w:val="19"/>
          <w:szCs w:val="19"/>
        </w:rPr>
        <w:t xml:space="preserve">[2] Milani, A. S.; Shanian, A.; Madoliat, R.; Nemes, J. A. (2005). The effect of normalization norms in multiple attribute decision making models: a case study in gear material selection. </w:t>
      </w:r>
      <w:r>
        <w:rPr>
          <w:rFonts w:ascii="Calibri" w:cs="Calibri" w:eastAsia="Calibri" w:hAnsi="Calibri"/>
          <w:i/>
          <w:iCs/>
          <w:sz w:val="19"/>
          <w:szCs w:val="19"/>
        </w:rPr>
        <w:t xml:space="preserve">Structural and Multidisciplinary Optimization</w:t>
      </w:r>
      <w:r>
        <w:rPr>
          <w:rFonts w:ascii="Calibri" w:cs="Calibri" w:eastAsia="Calibri" w:hAnsi="Calibri"/>
          <w:sz w:val="19"/>
          <w:szCs w:val="19"/>
        </w:rPr>
        <w:t xml:space="preserve">, 29(4), 312-318. https://doi.org/10.1007/s00158-004-0473-1</w:t>
      </w:r>
    </w:p>
    <w:p>
      <w:pPr>
        <w:spacing w:after="70" w:line="264"/>
        <w:ind w:left="540" w:hanging="540"/>
      </w:pPr>
      <w:r>
        <w:rPr>
          <w:rFonts w:ascii="Calibri" w:cs="Calibri" w:eastAsia="Calibri" w:hAnsi="Calibri"/>
          <w:sz w:val="19"/>
          <w:szCs w:val="19"/>
        </w:rPr>
        <w:t xml:space="preserve">[3] Lefebvre, M.; Pavot, T.; Kiefer, R.; Vedrines, M.; Bahlouli, N. (2022). Recyclable bio-based composite Flax/Elium for UAV applications. </w:t>
      </w:r>
      <w:r>
        <w:rPr>
          <w:rFonts w:ascii="Calibri" w:cs="Calibri" w:eastAsia="Calibri" w:hAnsi="Calibri"/>
          <w:i/>
          <w:iCs/>
          <w:sz w:val="19"/>
          <w:szCs w:val="19"/>
        </w:rPr>
        <w:t xml:space="preserve">13th International Micro Air Vehicle Conference (IMAV 2022), paper IMAV2022-18</w:t>
      </w:r>
      <w:r>
        <w:rPr>
          <w:rFonts w:ascii="Calibri" w:cs="Calibri" w:eastAsia="Calibri" w:hAnsi="Calibri"/>
          <w:sz w:val="19"/>
          <w:szCs w:val="19"/>
        </w:rPr>
        <w:t xml:space="preserve">, paper IMAV2022-18.</w:t>
      </w:r>
    </w:p>
    <w:p>
      <w:pPr>
        <w:spacing w:after="70" w:line="264"/>
        <w:ind w:left="540" w:hanging="540"/>
      </w:pPr>
      <w:r>
        <w:rPr>
          <w:rFonts w:ascii="Calibri" w:cs="Calibri" w:eastAsia="Calibri" w:hAnsi="Calibri"/>
          <w:sz w:val="19"/>
          <w:szCs w:val="19"/>
        </w:rPr>
        <w:t xml:space="preserve">[4] Kumar, D.; Marchi, M.; Alam, S. B.; Kavka, C.; Koutsawa, Y.; Rauchs, G.; Belouettar, S. (2022). Multi-criteria decision making under uncertainties in composite materials selection and design. </w:t>
      </w:r>
      <w:r>
        <w:rPr>
          <w:rFonts w:ascii="Calibri" w:cs="Calibri" w:eastAsia="Calibri" w:hAnsi="Calibri"/>
          <w:i/>
          <w:iCs/>
          <w:sz w:val="19"/>
          <w:szCs w:val="19"/>
        </w:rPr>
        <w:t xml:space="preserve">Composite Structures</w:t>
      </w:r>
      <w:r>
        <w:rPr>
          <w:rFonts w:ascii="Calibri" w:cs="Calibri" w:eastAsia="Calibri" w:hAnsi="Calibri"/>
          <w:sz w:val="19"/>
          <w:szCs w:val="19"/>
        </w:rPr>
        <w:t xml:space="preserve">, 279, 114680. https://doi.org/10.1016/j.compstruct.2021.114680</w:t>
      </w:r>
    </w:p>
    <w:p>
      <w:pPr>
        <w:spacing w:after="70" w:line="264"/>
        <w:ind w:left="540" w:hanging="540"/>
      </w:pPr>
      <w:r>
        <w:rPr>
          <w:rFonts w:ascii="Calibri" w:cs="Calibri" w:eastAsia="Calibri" w:hAnsi="Calibri"/>
          <w:sz w:val="19"/>
          <w:szCs w:val="19"/>
        </w:rPr>
        <w:t xml:space="preserve">[5] Sharifan, M.; Abedian, A.; Razaghian, P. (2022). A novel decision-making methodology for materials selection under uncertainty: modified fuzzy logic method. </w:t>
      </w:r>
      <w:r>
        <w:rPr>
          <w:rFonts w:ascii="Calibri" w:cs="Calibri" w:eastAsia="Calibri" w:hAnsi="Calibri"/>
          <w:i/>
          <w:iCs/>
          <w:sz w:val="19"/>
          <w:szCs w:val="19"/>
        </w:rPr>
        <w:t xml:space="preserve">Soft Computing</w:t>
      </w:r>
      <w:r>
        <w:rPr>
          <w:rFonts w:ascii="Calibri" w:cs="Calibri" w:eastAsia="Calibri" w:hAnsi="Calibri"/>
          <w:sz w:val="19"/>
          <w:szCs w:val="19"/>
        </w:rPr>
        <w:t xml:space="preserve">, 26(22), 12093-12114. https://doi.org/10.1007/s00500-022-07444-7</w:t>
      </w:r>
    </w:p>
    <w:p>
      <w:pPr>
        <w:spacing w:after="70" w:line="264"/>
        <w:ind w:left="540" w:hanging="540"/>
      </w:pPr>
      <w:r>
        <w:rPr>
          <w:rFonts w:ascii="Calibri" w:cs="Calibri" w:eastAsia="Calibri" w:hAnsi="Calibri"/>
          <w:sz w:val="19"/>
          <w:szCs w:val="19"/>
        </w:rPr>
        <w:t xml:space="preserve">[6] Olfatbakhsh, T.; Andrews, J. L.; Milani, A. S. (2022). Materials informatics of woven fabric composites: Effect of different dimensionality reduction and learning methods. </w:t>
      </w:r>
      <w:r>
        <w:rPr>
          <w:rFonts w:ascii="Calibri" w:cs="Calibri" w:eastAsia="Calibri" w:hAnsi="Calibri"/>
          <w:i/>
          <w:iCs/>
          <w:sz w:val="19"/>
          <w:szCs w:val="19"/>
        </w:rPr>
        <w:t xml:space="preserve">Materials Today Communications</w:t>
      </w:r>
      <w:r>
        <w:rPr>
          <w:rFonts w:ascii="Calibri" w:cs="Calibri" w:eastAsia="Calibri" w:hAnsi="Calibri"/>
          <w:sz w:val="19"/>
          <w:szCs w:val="19"/>
        </w:rPr>
        <w:t xml:space="preserve">, 32, 103971.</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777777"/>
        <w:sz w:val="16"/>
        <w:szCs w:val="16"/>
      </w:rPr>
      <w:t xml:space="preserve">Adedamola Adetola  |  Hybrid Laminate Selection for Small UAVs</w:t>
    </w:r>
    <w:r>
      <w:rPr>
        <w:rFonts w:ascii="Calibri" w:cs="Calibri" w:eastAsia="Calibri" w:hAnsi="Calibri"/>
        <w:color w:val="777777"/>
        <w:sz w:val="16"/>
        <w:szCs w:val="16"/>
      </w:rPr>
      <w:t xml:space="preserve">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2"/>
      <w:szCs w:val="32"/>
    </w:rPr>
  </w:style>
  <w:style w:type="paragraph" w:styleId="Heading2">
    <w:name w:val="Heading 2"/>
    <w:basedOn w:val="Normal"/>
    <w:next w:val="Normal"/>
    <w:qFormat/>
    <w:pPr>
      <w:outlineLvl w:val="1"/>
    </w:pPr>
    <w:rPr>
      <w:rFonts w:ascii="Calibri" w:cs="Calibri" w:eastAsia="Calibri" w:hAnsi="Calibri"/>
      <w:b/>
      <w:bCs/>
      <w:color w:val="2E5C8A"/>
      <w:sz w:val="26"/>
      <w:szCs w:val="26"/>
    </w:rPr>
  </w:style>
  <w:style w:type="paragraph" w:styleId="Heading3">
    <w:name w:val="Heading 3"/>
    <w:basedOn w:val="Normal"/>
    <w:next w:val="Normal"/>
    <w:qFormat/>
    <w:pPr>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Data-Driven Selection of Hybrid Natural and Synthetic Fibre Laminates for a Small-UAV Wing Spar</dc:title>
  <dc:creator>Adedamola Adetola</dc:creator>
  <cp:lastModifiedBy>Un-named</cp:lastModifiedBy>
  <cp:revision>1</cp:revision>
  <dcterms:created xsi:type="dcterms:W3CDTF">2026-10-12T16:56:18.916Z</dcterms:created>
  <dcterms:modified xsi:type="dcterms:W3CDTF">2026-10-12T16:56:18.916Z</dcterms:modified>
</cp:coreProperties>
</file>

<file path=docProps/custom.xml><?xml version="1.0" encoding="utf-8"?>
<Properties xmlns="http://schemas.openxmlformats.org/officeDocument/2006/custom-properties" xmlns:vt="http://schemas.openxmlformats.org/officeDocument/2006/docPropsVTypes"/>
</file>