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66.png" ContentType="image/png"/>
  <Override PartName="/word/media/rId40.png" ContentType="image/png"/>
  <Override PartName="/word/media/rId46.png" ContentType="image/png"/>
  <Override PartName="/word/media/rId50.png" ContentType="image/png"/>
  <Override PartName="/word/media/rId55.png" ContentType="image/png"/>
  <Default Extension="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Next Decagon</w:t>
      </w:r>
    </w:p>
    <w:p>
      <w:pPr>
        <w:pStyle w:val="Subtitle"/>
      </w:pPr>
      <w:r>
        <w:t xml:space="preserve">A Framework for Future Disruptive Innovation, 2030–2050</w:t>
      </w:r>
    </w:p>
    <w:p>
      <w:pPr>
        <w:pStyle w:val="TitleDescriptor"/>
      </w:pPr>
      <w:r>
        <w:t xml:space="preserve">Volume II of The Innovation Decagon. Uber, Airbnb, the sixteen-sector application map and the first ten Decagon ventures serve as baselines and benchmarks for a second-generation framework and ten new disruptive startup concepts.</w:t>
      </w:r>
    </w:p>
    <w:p>
      <w:pPr>
        <w:pStyle w:val="TitleMeta"/>
      </w:pPr>
      <w:r>
        <w:t xml:space="preserve">Working paper · October 2026</w:t>
      </w:r>
    </w:p>
    <w:p>
      <w:pPr>
        <w:pStyle w:val="TitleThesis"/>
      </w:pPr>
      <w:r>
        <w:rPr>
          <w:b/>
          <w:bCs/>
        </w:rPr>
        <w:t xml:space="preserve">Thesis.</w:t>
      </w:r>
      <w:r>
        <w:t xml:space="preserve"> </w:t>
      </w:r>
      <w:r>
        <w:t xml:space="preserve">The next era will be shaped by AI agents and robots as economic actors, a hotter climate, circular materials, sovereign digital infrastructure and a scarcity of verifiable truth. Ventures must be well designed</w:t>
      </w:r>
      <w:r>
        <w:t xml:space="preserve"> </w:t>
      </w:r>
      <w:r>
        <w:rPr>
          <w:i/>
          <w:iCs/>
        </w:rPr>
        <w:t xml:space="preserve">and</w:t>
      </w:r>
      <w:r>
        <w:t xml:space="preserve"> </w:t>
      </w:r>
      <w:r>
        <w:t xml:space="preserve">future-fit: move wisely and mend things.</w:t>
      </w:r>
    </w:p>
    <w:p>
      <w:pPr>
        <w:pStyle w:val="TOCHeading"/>
      </w:pPr>
      <w:r>
        <w:t>Contents</w:t>
      </w:r>
    </w:p>
    <w:p>
      <w:pPr>
        <w:pStyle w:val="TOC1"/>
      </w:pPr>
      <w:r>
        <w:fldChar w:fldCharType="begin"/>
      </w:r>
      <w:r>
        <w:instrText xml:space="preserve"> TOC \o "1-3" \h \z \u </w:instrText>
      </w:r>
      <w:r>
        <w:fldChar w:fldCharType="separate"/>
      </w:r>
      <w:hyperlink w:anchor="executive-summary" w:history="1">
        <w:r>
          <w:t xml:space="preserve">Executive summary</w:t>
        </w:r>
        <w:r>
          <w:tab/>
        </w:r>
        <w:r>
          <w:t>4</w:t>
        </w:r>
      </w:hyperlink>
    </w:p>
    <w:p>
      <w:pPr>
        <w:pStyle w:val="TOC2"/>
      </w:pPr>
      <w:hyperlink w:anchor="how-to-read-this-volume" w:history="1">
        <w:r>
          <w:t xml:space="preserve">How to read this volume</w:t>
        </w:r>
        <w:r>
          <w:tab/>
        </w:r>
        <w:r>
          <w:t>5</w:t>
        </w:r>
      </w:hyperlink>
    </w:p>
    <w:p>
      <w:pPr>
        <w:pStyle w:val="TOC1"/>
      </w:pPr>
      <w:hyperlink w:anchor="part-1-baselines-and-benchmarks" w:history="1">
        <w:r>
          <w:t xml:space="preserve">Part 1: Baselines and Benchmarks</w:t>
        </w:r>
        <w:r>
          <w:tab/>
        </w:r>
        <w:r>
          <w:t>6</w:t>
        </w:r>
      </w:hyperlink>
    </w:p>
    <w:p>
      <w:pPr>
        <w:pStyle w:val="TOC2"/>
      </w:pPr>
      <w:hyperlink w:anchor="the-benchmark-set" w:history="1">
        <w:r>
          <w:t xml:space="preserve">1.1 The benchmark set</w:t>
        </w:r>
        <w:r>
          <w:tab/>
        </w:r>
        <w:r>
          <w:t>6</w:t>
        </w:r>
      </w:hyperlink>
    </w:p>
    <w:p>
      <w:pPr>
        <w:pStyle w:val="TOC2"/>
      </w:pPr>
      <w:hyperlink w:anchor="twelve-laws-of-platform-disruption" w:history="1">
        <w:r>
          <w:t xml:space="preserve">1.2 Twelve laws of platform disruption</w:t>
        </w:r>
        <w:r>
          <w:tab/>
        </w:r>
        <w:r>
          <w:t>6</w:t>
        </w:r>
      </w:hyperlink>
    </w:p>
    <w:p>
      <w:pPr>
        <w:pStyle w:val="TOC2"/>
      </w:pPr>
      <w:hyperlink w:anchor="what-the-benchmarks-cannot-tell-us" w:history="1">
        <w:r>
          <w:t xml:space="preserve">1.3 What the benchmarks cannot tell us</w:t>
        </w:r>
        <w:r>
          <w:tab/>
        </w:r>
        <w:r>
          <w:t>7</w:t>
        </w:r>
      </w:hyperlink>
    </w:p>
    <w:p>
      <w:pPr>
        <w:pStyle w:val="TOC1"/>
      </w:pPr>
      <w:hyperlink w:anchor="part-2-the-future-landscape-20302050" w:history="1">
        <w:r>
          <w:t xml:space="preserve">Part 2: The Future Landscape, 2030–2050</w:t>
        </w:r>
        <w:r>
          <w:tab/>
        </w:r>
        <w:r>
          <w:t>8</w:t>
        </w:r>
      </w:hyperlink>
    </w:p>
    <w:p>
      <w:pPr>
        <w:pStyle w:val="TOC2"/>
      </w:pPr>
      <w:hyperlink w:anchor="ten-shifts" w:history="1">
        <w:r>
          <w:t xml:space="preserve">2.1 Ten shifts</w:t>
        </w:r>
        <w:r>
          <w:tab/>
        </w:r>
        <w:r>
          <w:t>8</w:t>
        </w:r>
      </w:hyperlink>
    </w:p>
    <w:p>
      <w:pPr>
        <w:pStyle w:val="TOC2"/>
      </w:pPr>
      <w:hyperlink w:anchor="the-future-problem-atlas" w:history="1">
        <w:r>
          <w:t xml:space="preserve">2.2 The Future Problem Atlas</w:t>
        </w:r>
        <w:r>
          <w:tab/>
        </w:r>
        <w:r>
          <w:t>8</w:t>
        </w:r>
      </w:hyperlink>
    </w:p>
    <w:p>
      <w:pPr>
        <w:pStyle w:val="TOC1"/>
      </w:pPr>
      <w:hyperlink w:anchor="part-3-the-framework-the-double-decagon" w:history="1">
        <w:r>
          <w:t xml:space="preserve">Part 3: The Framework: The Double Decagon</w:t>
        </w:r>
        <w:r>
          <w:tab/>
        </w:r>
        <w:r>
          <w:t>11</w:t>
        </w:r>
      </w:hyperlink>
    </w:p>
    <w:p>
      <w:pPr>
        <w:pStyle w:val="TOC2"/>
      </w:pPr>
      <w:hyperlink w:anchor="architecture" w:history="1">
        <w:r>
          <w:t xml:space="preserve">3.1 Architecture</w:t>
        </w:r>
        <w:r>
          <w:tab/>
        </w:r>
        <w:r>
          <w:t>11</w:t>
        </w:r>
      </w:hyperlink>
    </w:p>
    <w:p>
      <w:pPr>
        <w:pStyle w:val="TOC2"/>
      </w:pPr>
      <w:hyperlink w:anchor="the-disruption-genome" w:history="1">
        <w:r>
          <w:t xml:space="preserve">3.2 The Disruption Genome</w:t>
        </w:r>
        <w:r>
          <w:tab/>
        </w:r>
        <w:r>
          <w:t>12</w:t>
        </w:r>
      </w:hyperlink>
    </w:p>
    <w:p>
      <w:pPr>
        <w:pStyle w:val="TOC2"/>
      </w:pPr>
      <w:hyperlink w:anchor="ten-platform-archetypes" w:history="1">
        <w:r>
          <w:t xml:space="preserve">3.3 Ten platform archetypes</w:t>
        </w:r>
        <w:r>
          <w:tab/>
        </w:r>
        <w:r>
          <w:t>14</w:t>
        </w:r>
      </w:hyperlink>
    </w:p>
    <w:p>
      <w:pPr>
        <w:pStyle w:val="TOC2"/>
      </w:pPr>
      <w:hyperlink w:anchor="the-double-decagon" w:history="1">
        <w:r>
          <w:t xml:space="preserve">3.4 The Double Decagon</w:t>
        </w:r>
        <w:r>
          <w:tab/>
        </w:r>
        <w:r>
          <w:t>15</w:t>
        </w:r>
      </w:hyperlink>
    </w:p>
    <w:p>
      <w:pPr>
        <w:pStyle w:val="TOC3"/>
      </w:pPr>
      <w:hyperlink w:anchor="X83d13ccce5f9cfaec733676d5763671578250bd" w:history="1">
        <w:r>
          <w:t xml:space="preserve">The inner ring: Volume I’s ten design obligations</w:t>
        </w:r>
        <w:r>
          <w:tab/>
        </w:r>
        <w:r>
          <w:t>15</w:t>
        </w:r>
      </w:hyperlink>
    </w:p>
    <w:p>
      <w:pPr>
        <w:pStyle w:val="TOC3"/>
      </w:pPr>
      <w:hyperlink w:anchor="Xa3f9fd402306854e868fa8caa95dc1cedb5afd0" w:history="1">
        <w:r>
          <w:t xml:space="preserve">The outer ring: the Future-Fitness Decagon</w:t>
        </w:r>
        <w:r>
          <w:tab/>
        </w:r>
        <w:r>
          <w:t>15</w:t>
        </w:r>
      </w:hyperlink>
    </w:p>
    <w:p>
      <w:pPr>
        <w:pStyle w:val="TOC3"/>
      </w:pPr>
      <w:hyperlink w:anchor="the-double-decagon-index" w:history="1">
        <w:r>
          <w:t xml:space="preserve">The Double Decagon Index</w:t>
        </w:r>
        <w:r>
          <w:tab/>
        </w:r>
        <w:r>
          <w:t>16</w:t>
        </w:r>
      </w:hyperlink>
    </w:p>
    <w:p>
      <w:pPr>
        <w:pStyle w:val="TOC2"/>
      </w:pPr>
      <w:hyperlink w:anchor="Xf1da95b9b3424ee1a553c36124b5c2ad719e265" w:history="1">
        <w:r>
          <w:t xml:space="preserve">3.5 Calibrating the index against the benchmarks</w:t>
        </w:r>
        <w:r>
          <w:tab/>
        </w:r>
        <w:r>
          <w:t>16</w:t>
        </w:r>
      </w:hyperlink>
    </w:p>
    <w:p>
      <w:pPr>
        <w:pStyle w:val="TOC2"/>
      </w:pPr>
      <w:hyperlink w:anchor="the-foresight-to-venture-pipeline" w:history="1">
        <w:r>
          <w:t xml:space="preserve">3.6 The Foresight-to-Venture Pipeline</w:t>
        </w:r>
        <w:r>
          <w:tab/>
        </w:r>
        <w:r>
          <w:t>17</w:t>
        </w:r>
      </w:hyperlink>
    </w:p>
    <w:p>
      <w:pPr>
        <w:pStyle w:val="TOC2"/>
      </w:pPr>
      <w:hyperlink w:anchor="the-theory-of-future-disruption" w:history="1">
        <w:r>
          <w:t xml:space="preserve">3.7 The theory of future disruption</w:t>
        </w:r>
        <w:r>
          <w:tab/>
        </w:r>
        <w:r>
          <w:t>18</w:t>
        </w:r>
      </w:hyperlink>
    </w:p>
    <w:p>
      <w:pPr>
        <w:pStyle w:val="TOC1"/>
      </w:pPr>
      <w:hyperlink w:anchor="X27d6eefe66a678514b9cb5e11cd3064ff3b49d1" w:history="1">
        <w:r>
          <w:t xml:space="preserve">Part 4: The Next Decagon: Ten Ventures for 2030–2050</w:t>
        </w:r>
        <w:r>
          <w:tab/>
        </w:r>
        <w:r>
          <w:t>20</w:t>
        </w:r>
      </w:hyperlink>
    </w:p>
    <w:p>
      <w:pPr>
        <w:pStyle w:val="TOC2"/>
      </w:pPr>
      <w:hyperlink w:anchor="Xdd73a64904b495f8a4e758eb47b32e0e305338d" w:history="1">
        <w:r>
          <w:t xml:space="preserve">Venture 1: REMOTEHANDS, the human layer of global automation</w:t>
        </w:r>
        <w:r>
          <w:tab/>
        </w:r>
        <w:r>
          <w:t>20</w:t>
        </w:r>
      </w:hyperlink>
    </w:p>
    <w:p>
      <w:pPr>
        <w:pStyle w:val="TOC2"/>
      </w:pPr>
      <w:hyperlink w:anchor="Xe88ecb4e93fc1a42235f24000292375eb145867" w:history="1">
        <w:r>
          <w:t xml:space="preserve">Venture 2: AGENTUNION, collective bargaining for personal AI agents</w:t>
        </w:r>
        <w:r>
          <w:tab/>
        </w:r>
        <w:r>
          <w:t>23</w:t>
        </w:r>
      </w:hyperlink>
    </w:p>
    <w:p>
      <w:pPr>
        <w:pStyle w:val="TOC2"/>
      </w:pPr>
      <w:hyperlink w:anchor="X3aba20d84ee5c7879e179117c8f76ec5b9f124d" w:history="1">
        <w:r>
          <w:t xml:space="preserve">Venture 3: GROUNDTRUTH, the verified-reality network</w:t>
        </w:r>
        <w:r>
          <w:tab/>
        </w:r>
        <w:r>
          <w:t>26</w:t>
        </w:r>
      </w:hyperlink>
    </w:p>
    <w:p>
      <w:pPr>
        <w:pStyle w:val="TOC2"/>
      </w:pPr>
      <w:hyperlink w:anchor="Xe47fe2ce10836c87795303021778ce2f108f83a" w:history="1">
        <w:r>
          <w:t xml:space="preserve">Venture 4: COOLHAVEN, the heat-resilience network</w:t>
        </w:r>
        <w:r>
          <w:tab/>
        </w:r>
        <w:r>
          <w:t>28</w:t>
        </w:r>
      </w:hyperlink>
    </w:p>
    <w:p>
      <w:pPr>
        <w:pStyle w:val="TOC2"/>
      </w:pPr>
      <w:hyperlink w:anchor="X1438be0da9007e87cbe654e1a278d65ddf05252" w:history="1">
        <w:r>
          <w:t xml:space="preserve">Venture 5: SECONDCELL, the second-life battery and critical-minerals network</w:t>
        </w:r>
        <w:r>
          <w:tab/>
        </w:r>
        <w:r>
          <w:t>31</w:t>
        </w:r>
      </w:hyperlink>
    </w:p>
    <w:p>
      <w:pPr>
        <w:pStyle w:val="TOC2"/>
      </w:pPr>
      <w:hyperlink w:anchor="X8fdcdff89c826002cb08e88419194f3b639404b" w:history="1">
        <w:r>
          <w:t xml:space="preserve">Venture 6: PARTSGRID, the distributed manufacturing and repair network</w:t>
        </w:r>
        <w:r>
          <w:tab/>
        </w:r>
        <w:r>
          <w:t>33</w:t>
        </w:r>
      </w:hyperlink>
    </w:p>
    <w:p>
      <w:pPr>
        <w:pStyle w:val="TOC2"/>
      </w:pPr>
      <w:hyperlink w:anchor="X1636b98bd29ae18f0fae4079e2d1626f750d8f8" w:history="1">
        <w:r>
          <w:t xml:space="preserve">Venture 7: SURGENET, the crisis surge-capacity network</w:t>
        </w:r>
        <w:r>
          <w:tab/>
        </w:r>
        <w:r>
          <w:t>35</w:t>
        </w:r>
      </w:hyperlink>
    </w:p>
    <w:p>
      <w:pPr>
        <w:pStyle w:val="TOC2"/>
      </w:pPr>
      <w:hyperlink w:anchor="X2c5913cb1b1767bfff76c5448cac72d5bbfd1a8" w:history="1">
        <w:r>
          <w:t xml:space="preserve">Venture 8: WILDLEDGER, the community nature-stewardship marketplace</w:t>
        </w:r>
        <w:r>
          <w:tab/>
        </w:r>
        <w:r>
          <w:t>38</w:t>
        </w:r>
      </w:hyperlink>
    </w:p>
    <w:p>
      <w:pPr>
        <w:pStyle w:val="TOC2"/>
      </w:pPr>
      <w:hyperlink w:anchor="X42fde4b4b336ca602f721a54271e252135036af" w:history="1">
        <w:r>
          <w:t xml:space="preserve">Venture 9: BUILDBRIDGE, verified diaspora and incremental building</w:t>
        </w:r>
        <w:r>
          <w:tab/>
        </w:r>
        <w:r>
          <w:t>40</w:t>
        </w:r>
      </w:hyperlink>
    </w:p>
    <w:p>
      <w:pPr>
        <w:pStyle w:val="TOC2"/>
      </w:pPr>
      <w:hyperlink w:anchor="Xb3fc5be67184cccd6a849a141389723b61ec153" w:history="1">
        <w:r>
          <w:t xml:space="preserve">Venture 10: AQUAGRID, the urban water commons</w:t>
        </w:r>
        <w:r>
          <w:tab/>
        </w:r>
        <w:r>
          <w:t>42</w:t>
        </w:r>
      </w:hyperlink>
    </w:p>
    <w:p>
      <w:pPr>
        <w:pStyle w:val="TOC1"/>
      </w:pPr>
      <w:hyperlink w:anchor="part-5-portfolio-missions-and-futures" w:history="1">
        <w:r>
          <w:t xml:space="preserve">Part 5: Portfolio, Missions and Futures</w:t>
        </w:r>
        <w:r>
          <w:tab/>
        </w:r>
        <w:r>
          <w:t>45</w:t>
        </w:r>
      </w:hyperlink>
    </w:p>
    <w:p>
      <w:pPr>
        <w:pStyle w:val="TOC2"/>
      </w:pPr>
      <w:hyperlink w:anchor="the-double-decagon-scoreboard" w:history="1">
        <w:r>
          <w:t xml:space="preserve">5.1 The Double Decagon scoreboard</w:t>
        </w:r>
        <w:r>
          <w:tab/>
        </w:r>
        <w:r>
          <w:t>45</w:t>
        </w:r>
      </w:hyperlink>
    </w:p>
    <w:p>
      <w:pPr>
        <w:pStyle w:val="TOC2"/>
      </w:pPr>
      <w:hyperlink w:anchor="four-missions" w:history="1">
        <w:r>
          <w:t xml:space="preserve">5.2 Four missions</w:t>
        </w:r>
        <w:r>
          <w:tab/>
        </w:r>
        <w:r>
          <w:t>47</w:t>
        </w:r>
      </w:hyperlink>
    </w:p>
    <w:p>
      <w:pPr>
        <w:pStyle w:val="TOC2"/>
      </w:pPr>
      <w:hyperlink w:anchor="how-the-two-decagons-connect" w:history="1">
        <w:r>
          <w:t xml:space="preserve">5.3 How the two decagons connect</w:t>
        </w:r>
        <w:r>
          <w:tab/>
        </w:r>
        <w:r>
          <w:t>47</w:t>
        </w:r>
      </w:hyperlink>
    </w:p>
    <w:p>
      <w:pPr>
        <w:pStyle w:val="TOC2"/>
      </w:pPr>
      <w:hyperlink w:anchor="feasibility-and-sequencing" w:history="1">
        <w:r>
          <w:t xml:space="preserve">5.4 Feasibility and sequencing</w:t>
        </w:r>
        <w:r>
          <w:tab/>
        </w:r>
        <w:r>
          <w:t>48</w:t>
        </w:r>
      </w:hyperlink>
    </w:p>
    <w:p>
      <w:pPr>
        <w:pStyle w:val="TOC2"/>
      </w:pPr>
      <w:hyperlink w:anchor="the-2050-stewardship-stack" w:history="1">
        <w:r>
          <w:t xml:space="preserve">5.5 The 2050 Stewardship Stack</w:t>
        </w:r>
        <w:r>
          <w:tab/>
        </w:r>
        <w:r>
          <w:t>48</w:t>
        </w:r>
      </w:hyperlink>
    </w:p>
    <w:p>
      <w:pPr>
        <w:pStyle w:val="TOC2"/>
      </w:pPr>
      <w:hyperlink w:anchor="backcasting-from-2050" w:history="1">
        <w:r>
          <w:t xml:space="preserve">5.6 Backcasting from 2050</w:t>
        </w:r>
        <w:r>
          <w:tab/>
        </w:r>
        <w:r>
          <w:t>49</w:t>
        </w:r>
      </w:hyperlink>
    </w:p>
    <w:p>
      <w:pPr>
        <w:pStyle w:val="TOC2"/>
      </w:pPr>
      <w:hyperlink w:anchor="what-could-break-the-framework" w:history="1">
        <w:r>
          <w:t xml:space="preserve">5.7 What could break the framework</w:t>
        </w:r>
        <w:r>
          <w:tab/>
        </w:r>
        <w:r>
          <w:t>49</w:t>
        </w:r>
      </w:hyperlink>
    </w:p>
    <w:p>
      <w:pPr>
        <w:pStyle w:val="TOC2"/>
      </w:pPr>
      <w:hyperlink w:anchor="X3a85c254271f7411b570234b9bbcb03cc1899dc" w:history="1">
        <w:r>
          <w:t xml:space="preserve">5.8 Closing philosophy: move wisely and mend things</w:t>
        </w:r>
        <w:r>
          <w:tab/>
        </w:r>
        <w:r>
          <w:t>50</w:t>
        </w:r>
      </w:hyperlink>
    </w:p>
    <w:p>
      <w:pPr>
        <w:pStyle w:val="TOC1"/>
      </w:pPr>
      <w:hyperlink w:anchor="appendices" w:history="1">
        <w:r>
          <w:t xml:space="preserve">Appendices</w:t>
        </w:r>
        <w:r>
          <w:tab/>
        </w:r>
        <w:r>
          <w:t>51</w:t>
        </w:r>
      </w:hyperlink>
    </w:p>
    <w:p>
      <w:pPr>
        <w:pStyle w:val="TOC2"/>
      </w:pPr>
      <w:hyperlink w:anchor="Xb543d9a6ab552ea05523e70eb590fb9a5cff260" w:history="1">
        <w:r>
          <w:t xml:space="preserve">Appendix A: The Disruption Genome worksheet</w:t>
        </w:r>
        <w:r>
          <w:tab/>
        </w:r>
        <w:r>
          <w:t>51</w:t>
        </w:r>
      </w:hyperlink>
    </w:p>
    <w:p>
      <w:pPr>
        <w:pStyle w:val="TOC2"/>
      </w:pPr>
      <w:hyperlink w:anchor="appendix-b-the-future-fitness-rubric" w:history="1">
        <w:r>
          <w:t xml:space="preserve">Appendix B: The Future-Fitness rubric</w:t>
        </w:r>
        <w:r>
          <w:tab/>
        </w:r>
        <w:r>
          <w:t>51</w:t>
        </w:r>
      </w:hyperlink>
    </w:p>
    <w:p>
      <w:pPr>
        <w:pStyle w:val="TOC2"/>
      </w:pPr>
      <w:hyperlink w:anchor="appendix-c-double-decagon-scoring-sheet" w:history="1">
        <w:r>
          <w:t xml:space="preserve">Appendix C: Double Decagon scoring sheet</w:t>
        </w:r>
        <w:r>
          <w:tab/>
        </w:r>
        <w:r>
          <w:t>52</w:t>
        </w:r>
      </w:hyperlink>
    </w:p>
    <w:p>
      <w:pPr>
        <w:pStyle w:val="TOC2"/>
      </w:pPr>
      <w:hyperlink w:anchor="appendix-d-sources-and-further-reading" w:history="1">
        <w:r>
          <w:t xml:space="preserve">Appendix D: Sources and further reading</w:t>
        </w:r>
        <w:r>
          <w:tab/>
        </w:r>
        <w:r>
          <w:t>52</w:t>
        </w:r>
      </w:hyperlink>
      <w:r>
        <w:fldChar w:fldCharType="end"/>
      </w:r>
    </w:p>
    <w:bookmarkStart w:id="21" w:name="executive-summary"/>
    <w:p>
      <w:pPr>
        <w:pStyle w:val="Heading1"/>
      </w:pPr>
      <w:r>
        <w:t xml:space="preserve">Executive summary</w:t>
      </w:r>
    </w:p>
    <w:p>
      <w:pPr>
        <w:pStyle w:val="FirstParagraph"/>
      </w:pPr>
      <w:r>
        <w:rPr>
          <w:b/>
          <w:bCs/>
        </w:rPr>
        <w:t xml:space="preserve">Why a second volume.</w:t>
      </w:r>
      <w:r>
        <w:t xml:space="preserve"> </w:t>
      </w:r>
      <w:r>
        <w:t xml:space="preserve">Volume I studied the first platform era (Uber and Airbnb), turned its lessons into the Innovation Decagon (ten design obligations), mapped where the Uber and Airbnb models work across sixteen sectors, and proposed ten ventures with their futures. Those ventures address problems that are visible</w:t>
      </w:r>
      <w:r>
        <w:t xml:space="preserve"> </w:t>
      </w:r>
      <w:r>
        <w:rPr>
          <w:i/>
          <w:iCs/>
        </w:rPr>
        <w:t xml:space="preserve">today</w:t>
      </w:r>
      <w:r>
        <w:t xml:space="preserve">. Volume II looks further: at the problems that will define</w:t>
      </w:r>
      <w:r>
        <w:t xml:space="preserve"> </w:t>
      </w:r>
      <w:r>
        <w:rPr>
          <w:b/>
          <w:bCs/>
        </w:rPr>
        <w:t xml:space="preserve">2030–2050</w:t>
      </w:r>
      <w:r>
        <w:t xml:space="preserve">, and at the new kind of framework needed to find, design and test disruptions for them.</w:t>
      </w:r>
    </w:p>
    <w:p>
      <w:pPr>
        <w:pStyle w:val="BodyText"/>
      </w:pPr>
      <w:r>
        <w:rPr>
          <w:b/>
          <w:bCs/>
        </w:rPr>
        <w:t xml:space="preserve">The central argument.</w:t>
      </w:r>
      <w:r>
        <w:t xml:space="preserve"> </w:t>
      </w:r>
      <w:r>
        <w:t xml:space="preserve">The first platform era was built for a world of human users, cheap capital, stable climate and global platforms. The next era will be shaped by</w:t>
      </w:r>
      <w:r>
        <w:t xml:space="preserve"> </w:t>
      </w:r>
      <w:r>
        <w:rPr>
          <w:b/>
          <w:bCs/>
        </w:rPr>
        <w:t xml:space="preserve">AI agents and robots as economic actors, a hotter and more volatile climate, circular materials, sovereign and interoperable digital infrastructure, and a scarcity of verifiable truth</w:t>
      </w:r>
      <w:r>
        <w:t xml:space="preserve">. A venture can score well on Volume I’s Decagon and still fail in that world. So Volume II adds a second ring of tests and a way to generate ideas systematically.</w:t>
      </w:r>
    </w:p>
    <w:p>
      <w:pPr>
        <w:pStyle w:val="BodyText"/>
      </w:pPr>
      <w:r>
        <w:rPr>
          <w:b/>
          <w:bCs/>
        </w:rPr>
        <w:t xml:space="preserve">What Volume II provides:</w:t>
      </w:r>
    </w:p>
    <w:p>
      <w:pPr>
        <w:pStyle w:val="Compact"/>
        <w:numPr>
          <w:ilvl w:val="0"/>
          <w:numId w:val="1001"/>
        </w:numPr>
      </w:pPr>
      <w:r>
        <w:rPr>
          <w:b/>
          <w:bCs/>
        </w:rPr>
        <w:t xml:space="preserve">Baselines and benchmarks</w:t>
      </w:r>
      <w:r>
        <w:t xml:space="preserve"> </w:t>
      </w:r>
      <w:r>
        <w:t xml:space="preserve">(Part 1): twelve laws of platform disruption distilled from Volume I, and a calibrated benchmark set: Uber, Airbnb and the first ten ventures.</w:t>
      </w:r>
    </w:p>
    <w:p>
      <w:pPr>
        <w:pStyle w:val="Compact"/>
        <w:numPr>
          <w:ilvl w:val="0"/>
          <w:numId w:val="1001"/>
        </w:numPr>
      </w:pPr>
      <w:r>
        <w:rPr>
          <w:b/>
          <w:bCs/>
        </w:rPr>
        <w:t xml:space="preserve">The future landscape</w:t>
      </w:r>
      <w:r>
        <w:t xml:space="preserve"> </w:t>
      </w:r>
      <w:r>
        <w:t xml:space="preserve">(Part 2): ten shifts from the platform era to the 2030–2050 era, and a</w:t>
      </w:r>
      <w:r>
        <w:t xml:space="preserve"> </w:t>
      </w:r>
      <w:r>
        <w:rPr>
          <w:b/>
          <w:bCs/>
        </w:rPr>
        <w:t xml:space="preserve">Future Problem Atlas</w:t>
      </w:r>
      <w:r>
        <w:t xml:space="preserve"> </w:t>
      </w:r>
      <w:r>
        <w:t xml:space="preserve">of twenty emerging problems with evidence.</w:t>
      </w:r>
    </w:p>
    <w:p>
      <w:pPr>
        <w:pStyle w:val="Compact"/>
        <w:numPr>
          <w:ilvl w:val="0"/>
          <w:numId w:val="1001"/>
        </w:numPr>
      </w:pPr>
      <w:r>
        <w:rPr>
          <w:b/>
          <w:bCs/>
        </w:rPr>
        <w:t xml:space="preserve">The framework: the Double Decagon</w:t>
      </w:r>
      <w:r>
        <w:t xml:space="preserve"> </w:t>
      </w:r>
      <w:r>
        <w:t xml:space="preserve">(Part 3), made of four instruments:</w:t>
      </w:r>
    </w:p>
    <w:p>
      <w:pPr>
        <w:pStyle w:val="Compact"/>
        <w:numPr>
          <w:ilvl w:val="1"/>
          <w:numId w:val="1002"/>
        </w:numPr>
      </w:pPr>
      <w:r>
        <w:rPr>
          <w:b/>
          <w:bCs/>
        </w:rPr>
        <w:t xml:space="preserve">The Disruption Genome</w:t>
      </w:r>
      <w:r>
        <w:t xml:space="preserve">: a six-gene grammar for</w:t>
      </w:r>
      <w:r>
        <w:t xml:space="preserve"> </w:t>
      </w:r>
      <w:r>
        <w:rPr>
          <w:i/>
          <w:iCs/>
        </w:rPr>
        <w:t xml:space="preserve">generating</w:t>
      </w:r>
      <w:r>
        <w:t xml:space="preserve"> </w:t>
      </w:r>
      <w:r>
        <w:t xml:space="preserve">venture ideas (problem × latent capacity × platform archetype × technology wave × governance form × foothold).</w:t>
      </w:r>
    </w:p>
    <w:p>
      <w:pPr>
        <w:pStyle w:val="Compact"/>
        <w:numPr>
          <w:ilvl w:val="1"/>
          <w:numId w:val="1002"/>
        </w:numPr>
      </w:pPr>
      <w:r>
        <w:rPr>
          <w:b/>
          <w:bCs/>
        </w:rPr>
        <w:t xml:space="preserve">Ten platform archetypes</w:t>
      </w:r>
      <w:r>
        <w:t xml:space="preserve">: Uber and Airbnb extended to ten distinct</w:t>
      </w:r>
      <w:r>
        <w:t xml:space="preserve"> </w:t>
      </w:r>
      <w:r>
        <w:t xml:space="preserve">“</w:t>
      </w:r>
      <w:r>
        <w:t xml:space="preserve">machines</w:t>
      </w:r>
      <w:r>
        <w:t xml:space="preserve">”</w:t>
      </w:r>
      <w:r>
        <w:t xml:space="preserve">, from on-demand dispatch to agent-native exchanges and robot-capital cooperatives.</w:t>
      </w:r>
    </w:p>
    <w:p>
      <w:pPr>
        <w:pStyle w:val="Compact"/>
        <w:numPr>
          <w:ilvl w:val="1"/>
          <w:numId w:val="1002"/>
        </w:numPr>
      </w:pPr>
      <w:r>
        <w:rPr>
          <w:b/>
          <w:bCs/>
        </w:rPr>
        <w:t xml:space="preserve">The Future-Fitness Decagon</w:t>
      </w:r>
      <w:r>
        <w:t xml:space="preserve">: ten tests of whether a venture will survive 2030–2050, from the</w:t>
      </w:r>
      <w:r>
        <w:t xml:space="preserve"> </w:t>
      </w:r>
      <w:r>
        <w:rPr>
          <w:i/>
          <w:iCs/>
        </w:rPr>
        <w:t xml:space="preserve">agent test</w:t>
      </w:r>
      <w:r>
        <w:t xml:space="preserve"> </w:t>
      </w:r>
      <w:r>
        <w:t xml:space="preserve">and</w:t>
      </w:r>
      <w:r>
        <w:t xml:space="preserve"> </w:t>
      </w:r>
      <w:r>
        <w:rPr>
          <w:i/>
          <w:iCs/>
        </w:rPr>
        <w:t xml:space="preserve">robot test</w:t>
      </w:r>
      <w:r>
        <w:t xml:space="preserve"> </w:t>
      </w:r>
      <w:r>
        <w:t xml:space="preserve">to the</w:t>
      </w:r>
      <w:r>
        <w:t xml:space="preserve"> </w:t>
      </w:r>
      <w:r>
        <w:rPr>
          <w:i/>
          <w:iCs/>
        </w:rPr>
        <w:t xml:space="preserve">good-ancestor test</w:t>
      </w:r>
      <w:r>
        <w:t xml:space="preserve"> </w:t>
      </w:r>
      <w:r>
        <w:t xml:space="preserve">and</w:t>
      </w:r>
      <w:r>
        <w:t xml:space="preserve"> </w:t>
      </w:r>
      <w:r>
        <w:rPr>
          <w:i/>
          <w:iCs/>
        </w:rPr>
        <w:t xml:space="preserve">synthetic-reality test</w:t>
      </w:r>
      <w:r>
        <w:t xml:space="preserve">.</w:t>
      </w:r>
    </w:p>
    <w:p>
      <w:pPr>
        <w:pStyle w:val="Compact"/>
        <w:numPr>
          <w:ilvl w:val="1"/>
          <w:numId w:val="1002"/>
        </w:numPr>
      </w:pPr>
      <w:r>
        <w:rPr>
          <w:b/>
          <w:bCs/>
        </w:rPr>
        <w:t xml:space="preserve">The Double Decagon Index</w:t>
      </w:r>
      <w:r>
        <w:t xml:space="preserve">: a 100-point score combining Volume I’s design obligations (50) with future fitness (50), calibrated against the benchmarks.</w:t>
      </w:r>
      <w:r>
        <w:t xml:space="preserve"> </w:t>
      </w:r>
      <w:r>
        <w:t xml:space="preserve">It also sets out the</w:t>
      </w:r>
      <w:r>
        <w:t xml:space="preserve"> </w:t>
      </w:r>
      <w:r>
        <w:rPr>
          <w:b/>
          <w:bCs/>
        </w:rPr>
        <w:t xml:space="preserve">Foresight-to-Venture Pipeline</w:t>
      </w:r>
      <w:r>
        <w:t xml:space="preserve"> </w:t>
      </w:r>
      <w:r>
        <w:t xml:space="preserve">(a ten-step process) and the theory behind it.</w:t>
      </w:r>
    </w:p>
    <w:p>
      <w:pPr>
        <w:pStyle w:val="Compact"/>
        <w:numPr>
          <w:ilvl w:val="0"/>
          <w:numId w:val="1001"/>
        </w:numPr>
      </w:pPr>
      <w:r>
        <w:rPr>
          <w:b/>
          <w:bCs/>
        </w:rPr>
        <w:t xml:space="preserve">The Next Decagon of ventures</w:t>
      </w:r>
      <w:r>
        <w:t xml:space="preserve"> </w:t>
      </w:r>
      <w:r>
        <w:t xml:space="preserve">(Part 4): ten new disruptive startup concepts, each generated with the Genome and scored on the Double Decagon:</w:t>
      </w:r>
    </w:p>
    <w:tbl>
      <w:tblPr>
        <w:tblStyle w:val="Table"/>
        <w:tblW w:w="9360" w:type="dxa"/>
        <w:jc w:val="left"/>
        <w:tblLayout w:type="fixed"/>
        <w:tblLook w:firstRow="1" w:lastRow="0" w:firstColumn="0" w:lastColumn="0" w:noHBand="0" w:noVBand="0" w:val="0020"/>
      </w:tblPr>
      <w:tblGrid>
        <w:gridCol w:w="437"/>
        <w:gridCol w:w="1224"/>
        <w:gridCol w:w="4548"/>
        <w:gridCol w:w="3151"/>
      </w:tblGrid>
      <w:tr>
        <w:trPr>
          <w:cantSplit/>
          <w:tblHeader w:val="true"/>
        </w:trPr>
        <w:tc>
          <w:tcPr>
            <w:tcW w:w="437" w:type="dxa"/>
          </w:tcPr>
          <w:p>
            <w:pPr>
              <w:pStyle w:val="TableText"/>
              <w:jc w:val="left"/>
            </w:pPr>
            <w:r>
              <w:t xml:space="preserve">#</w:t>
            </w:r>
          </w:p>
        </w:tc>
        <w:tc>
          <w:tcPr>
            <w:tcW w:w="1224" w:type="dxa"/>
          </w:tcPr>
          <w:p>
            <w:pPr>
              <w:pStyle w:val="TableText"/>
              <w:jc w:val="left"/>
            </w:pPr>
            <w:r>
              <w:t xml:space="preserve">Venture</w:t>
            </w:r>
          </w:p>
        </w:tc>
        <w:tc>
          <w:tcPr>
            <w:tcW w:w="4548" w:type="dxa"/>
          </w:tcPr>
          <w:p>
            <w:pPr>
              <w:pStyle w:val="TableText"/>
              <w:jc w:val="left"/>
            </w:pPr>
            <w:r>
              <w:t xml:space="preserve">New problem it solves</w:t>
            </w:r>
          </w:p>
        </w:tc>
        <w:tc>
          <w:tcPr>
            <w:tcW w:w="3151" w:type="dxa"/>
          </w:tcPr>
          <w:p>
            <w:pPr>
              <w:pStyle w:val="TableText"/>
              <w:jc w:val="left"/>
            </w:pPr>
            <w:r>
              <w:t xml:space="preserve">Archetype</w:t>
            </w:r>
          </w:p>
        </w:tc>
      </w:tr>
      <w:tr>
        <w:trPr>
          <w:cantSplit/>
        </w:trPr>
        <w:tc>
          <w:tcPr>
            <w:tcW w:w="437" w:type="dxa"/>
          </w:tcPr>
          <w:p>
            <w:pPr>
              <w:pStyle w:val="TableText"/>
              <w:jc w:val="left"/>
            </w:pPr>
            <w:r>
              <w:t xml:space="preserve">1</w:t>
            </w:r>
          </w:p>
        </w:tc>
        <w:tc>
          <w:tcPr>
            <w:tcW w:w="1224" w:type="dxa"/>
          </w:tcPr>
          <w:p>
            <w:pPr>
              <w:pStyle w:val="TableText"/>
              <w:jc w:val="left"/>
            </w:pPr>
            <w:r>
              <w:rPr>
                <w:b/>
                <w:bCs/>
              </w:rPr>
              <w:t xml:space="preserve">RemoteHands</w:t>
            </w:r>
          </w:p>
        </w:tc>
        <w:tc>
          <w:tcPr>
            <w:tcW w:w="4548" w:type="dxa"/>
          </w:tcPr>
          <w:p>
            <w:pPr>
              <w:pStyle w:val="TableText"/>
              <w:jc w:val="left"/>
            </w:pPr>
            <w:r>
              <w:t xml:space="preserve">Robots spread faster than they become fully autonomous, and need human help at the edge cases</w:t>
            </w:r>
          </w:p>
        </w:tc>
        <w:tc>
          <w:tcPr>
            <w:tcW w:w="3151" w:type="dxa"/>
          </w:tcPr>
          <w:p>
            <w:pPr>
              <w:pStyle w:val="TableText"/>
              <w:jc w:val="left"/>
            </w:pPr>
            <w:r>
              <w:t xml:space="preserve">On-demand dispatch + worker cooperative</w:t>
            </w:r>
          </w:p>
        </w:tc>
      </w:tr>
      <w:tr>
        <w:trPr>
          <w:cantSplit/>
        </w:trPr>
        <w:tc>
          <w:tcPr>
            <w:tcW w:w="437" w:type="dxa"/>
          </w:tcPr>
          <w:p>
            <w:pPr>
              <w:pStyle w:val="TableText"/>
              <w:jc w:val="left"/>
            </w:pPr>
            <w:r>
              <w:t xml:space="preserve">2</w:t>
            </w:r>
          </w:p>
        </w:tc>
        <w:tc>
          <w:tcPr>
            <w:tcW w:w="1224" w:type="dxa"/>
          </w:tcPr>
          <w:p>
            <w:pPr>
              <w:pStyle w:val="TableText"/>
              <w:jc w:val="left"/>
            </w:pPr>
            <w:r>
              <w:rPr>
                <w:b/>
                <w:bCs/>
              </w:rPr>
              <w:t xml:space="preserve">AgentUnion</w:t>
            </w:r>
          </w:p>
        </w:tc>
        <w:tc>
          <w:tcPr>
            <w:tcW w:w="4548" w:type="dxa"/>
          </w:tcPr>
          <w:p>
            <w:pPr>
              <w:pStyle w:val="TableText"/>
              <w:jc w:val="left"/>
            </w:pPr>
            <w:r>
              <w:t xml:space="preserve">Consumers’ AI agents face corporate pricing algorithms alone</w:t>
            </w:r>
          </w:p>
        </w:tc>
        <w:tc>
          <w:tcPr>
            <w:tcW w:w="3151" w:type="dxa"/>
          </w:tcPr>
          <w:p>
            <w:pPr>
              <w:pStyle w:val="TableText"/>
              <w:jc w:val="left"/>
            </w:pPr>
            <w:r>
              <w:t xml:space="preserve">Agent-native exchange + consumer cooperative</w:t>
            </w:r>
          </w:p>
        </w:tc>
      </w:tr>
      <w:tr>
        <w:trPr>
          <w:cantSplit/>
        </w:trPr>
        <w:tc>
          <w:tcPr>
            <w:tcW w:w="437" w:type="dxa"/>
          </w:tcPr>
          <w:p>
            <w:pPr>
              <w:pStyle w:val="TableText"/>
              <w:jc w:val="left"/>
            </w:pPr>
            <w:r>
              <w:t xml:space="preserve">3</w:t>
            </w:r>
          </w:p>
        </w:tc>
        <w:tc>
          <w:tcPr>
            <w:tcW w:w="1224" w:type="dxa"/>
          </w:tcPr>
          <w:p>
            <w:pPr>
              <w:pStyle w:val="TableText"/>
              <w:jc w:val="left"/>
            </w:pPr>
            <w:r>
              <w:rPr>
                <w:b/>
                <w:bCs/>
              </w:rPr>
              <w:t xml:space="preserve">GroundTruth</w:t>
            </w:r>
          </w:p>
        </w:tc>
        <w:tc>
          <w:tcPr>
            <w:tcW w:w="4548" w:type="dxa"/>
          </w:tcPr>
          <w:p>
            <w:pPr>
              <w:pStyle w:val="TableText"/>
              <w:jc w:val="left"/>
            </w:pPr>
            <w:r>
              <w:t xml:space="preserve">Synthetic media makes it hard to know what really happened</w:t>
            </w:r>
          </w:p>
        </w:tc>
        <w:tc>
          <w:tcPr>
            <w:tcW w:w="3151" w:type="dxa"/>
          </w:tcPr>
          <w:p>
            <w:pPr>
              <w:pStyle w:val="TableText"/>
              <w:jc w:val="left"/>
            </w:pPr>
            <w:r>
              <w:t xml:space="preserve">On-demand dispatch + protocol commons</w:t>
            </w:r>
          </w:p>
        </w:tc>
      </w:tr>
      <w:tr>
        <w:trPr>
          <w:cantSplit/>
        </w:trPr>
        <w:tc>
          <w:tcPr>
            <w:tcW w:w="437" w:type="dxa"/>
          </w:tcPr>
          <w:p>
            <w:pPr>
              <w:pStyle w:val="TableText"/>
              <w:jc w:val="left"/>
            </w:pPr>
            <w:r>
              <w:t xml:space="preserve">4</w:t>
            </w:r>
          </w:p>
        </w:tc>
        <w:tc>
          <w:tcPr>
            <w:tcW w:w="1224" w:type="dxa"/>
          </w:tcPr>
          <w:p>
            <w:pPr>
              <w:pStyle w:val="TableText"/>
              <w:jc w:val="left"/>
            </w:pPr>
            <w:r>
              <w:rPr>
                <w:b/>
                <w:bCs/>
              </w:rPr>
              <w:t xml:space="preserve">CoolHaven</w:t>
            </w:r>
          </w:p>
        </w:tc>
        <w:tc>
          <w:tcPr>
            <w:tcW w:w="4548" w:type="dxa"/>
          </w:tcPr>
          <w:p>
            <w:pPr>
              <w:pStyle w:val="TableText"/>
              <w:jc w:val="left"/>
            </w:pPr>
            <w:r>
              <w:t xml:space="preserve">Extreme heat is becoming the deadliest climate hazard</w:t>
            </w:r>
          </w:p>
        </w:tc>
        <w:tc>
          <w:tcPr>
            <w:tcW w:w="3151" w:type="dxa"/>
          </w:tcPr>
          <w:p>
            <w:pPr>
              <w:pStyle w:val="TableText"/>
              <w:jc w:val="left"/>
            </w:pPr>
            <w:r>
              <w:t xml:space="preserve">Idle-asset marketplace + pooled access</w:t>
            </w:r>
          </w:p>
        </w:tc>
      </w:tr>
      <w:tr>
        <w:trPr>
          <w:cantSplit/>
        </w:trPr>
        <w:tc>
          <w:tcPr>
            <w:tcW w:w="437" w:type="dxa"/>
          </w:tcPr>
          <w:p>
            <w:pPr>
              <w:pStyle w:val="TableText"/>
              <w:jc w:val="left"/>
            </w:pPr>
            <w:r>
              <w:t xml:space="preserve">5</w:t>
            </w:r>
          </w:p>
        </w:tc>
        <w:tc>
          <w:tcPr>
            <w:tcW w:w="1224" w:type="dxa"/>
          </w:tcPr>
          <w:p>
            <w:pPr>
              <w:pStyle w:val="TableText"/>
              <w:jc w:val="left"/>
            </w:pPr>
            <w:r>
              <w:rPr>
                <w:b/>
                <w:bCs/>
              </w:rPr>
              <w:t xml:space="preserve">SecondCell</w:t>
            </w:r>
          </w:p>
        </w:tc>
        <w:tc>
          <w:tcPr>
            <w:tcW w:w="4548" w:type="dxa"/>
          </w:tcPr>
          <w:p>
            <w:pPr>
              <w:pStyle w:val="TableText"/>
              <w:jc w:val="left"/>
            </w:pPr>
            <w:r>
              <w:t xml:space="preserve">A wave of retired EV batteries, while 730 million people lack electricity</w:t>
            </w:r>
          </w:p>
        </w:tc>
        <w:tc>
          <w:tcPr>
            <w:tcW w:w="3151" w:type="dxa"/>
          </w:tcPr>
          <w:p>
            <w:pPr>
              <w:pStyle w:val="TableText"/>
              <w:jc w:val="left"/>
            </w:pPr>
            <w:r>
              <w:t xml:space="preserve">Idle-asset marketplace + pooled access + passport protocol</w:t>
            </w:r>
          </w:p>
        </w:tc>
      </w:tr>
      <w:tr>
        <w:trPr>
          <w:cantSplit/>
        </w:trPr>
        <w:tc>
          <w:tcPr>
            <w:tcW w:w="437" w:type="dxa"/>
          </w:tcPr>
          <w:p>
            <w:pPr>
              <w:pStyle w:val="TableText"/>
              <w:jc w:val="left"/>
            </w:pPr>
            <w:r>
              <w:t xml:space="preserve">6</w:t>
            </w:r>
          </w:p>
        </w:tc>
        <w:tc>
          <w:tcPr>
            <w:tcW w:w="1224" w:type="dxa"/>
          </w:tcPr>
          <w:p>
            <w:pPr>
              <w:pStyle w:val="TableText"/>
              <w:jc w:val="left"/>
            </w:pPr>
            <w:r>
              <w:rPr>
                <w:b/>
                <w:bCs/>
              </w:rPr>
              <w:t xml:space="preserve">PartsGrid</w:t>
            </w:r>
          </w:p>
        </w:tc>
        <w:tc>
          <w:tcPr>
            <w:tcW w:w="4548" w:type="dxa"/>
          </w:tcPr>
          <w:p>
            <w:pPr>
              <w:pStyle w:val="TableText"/>
              <w:jc w:val="left"/>
            </w:pPr>
            <w:r>
              <w:t xml:space="preserve">Machines sit idle for want of parts; local makers sit underused</w:t>
            </w:r>
          </w:p>
        </w:tc>
        <w:tc>
          <w:tcPr>
            <w:tcW w:w="3151" w:type="dxa"/>
          </w:tcPr>
          <w:p>
            <w:pPr>
              <w:pStyle w:val="TableText"/>
              <w:jc w:val="left"/>
            </w:pPr>
            <w:r>
              <w:t xml:space="preserve">Idle-asset + skills marketplace + open part libraries</w:t>
            </w:r>
          </w:p>
        </w:tc>
      </w:tr>
      <w:tr>
        <w:trPr>
          <w:cantSplit/>
        </w:trPr>
        <w:tc>
          <w:tcPr>
            <w:tcW w:w="437" w:type="dxa"/>
          </w:tcPr>
          <w:p>
            <w:pPr>
              <w:pStyle w:val="TableText"/>
              <w:jc w:val="left"/>
            </w:pPr>
            <w:r>
              <w:t xml:space="preserve">7</w:t>
            </w:r>
          </w:p>
        </w:tc>
        <w:tc>
          <w:tcPr>
            <w:tcW w:w="1224" w:type="dxa"/>
          </w:tcPr>
          <w:p>
            <w:pPr>
              <w:pStyle w:val="TableText"/>
              <w:jc w:val="left"/>
            </w:pPr>
            <w:r>
              <w:rPr>
                <w:b/>
                <w:bCs/>
              </w:rPr>
              <w:t xml:space="preserve">SurgeNet</w:t>
            </w:r>
          </w:p>
        </w:tc>
        <w:tc>
          <w:tcPr>
            <w:tcW w:w="4548" w:type="dxa"/>
          </w:tcPr>
          <w:p>
            <w:pPr>
              <w:pStyle w:val="TableText"/>
              <w:jc w:val="left"/>
            </w:pPr>
            <w:r>
              <w:t xml:space="preserve">Crisis capacity (labs, clinicians, rooms) is never ready when needed</w:t>
            </w:r>
          </w:p>
        </w:tc>
        <w:tc>
          <w:tcPr>
            <w:tcW w:w="3151" w:type="dxa"/>
          </w:tcPr>
          <w:p>
            <w:pPr>
              <w:pStyle w:val="TableText"/>
              <w:jc w:val="left"/>
            </w:pPr>
            <w:r>
              <w:t xml:space="preserve">Idle-asset marketplace + mutual + dispatch</w:t>
            </w:r>
          </w:p>
        </w:tc>
      </w:tr>
      <w:tr>
        <w:trPr>
          <w:cantSplit/>
        </w:trPr>
        <w:tc>
          <w:tcPr>
            <w:tcW w:w="437" w:type="dxa"/>
          </w:tcPr>
          <w:p>
            <w:pPr>
              <w:pStyle w:val="TableText"/>
              <w:jc w:val="left"/>
            </w:pPr>
            <w:r>
              <w:t xml:space="preserve">8</w:t>
            </w:r>
          </w:p>
        </w:tc>
        <w:tc>
          <w:tcPr>
            <w:tcW w:w="1224" w:type="dxa"/>
          </w:tcPr>
          <w:p>
            <w:pPr>
              <w:pStyle w:val="TableText"/>
              <w:jc w:val="left"/>
            </w:pPr>
            <w:r>
              <w:rPr>
                <w:b/>
                <w:bCs/>
              </w:rPr>
              <w:t xml:space="preserve">WildLedger</w:t>
            </w:r>
          </w:p>
        </w:tc>
        <w:tc>
          <w:tcPr>
            <w:tcW w:w="4548" w:type="dxa"/>
          </w:tcPr>
          <w:p>
            <w:pPr>
              <w:pStyle w:val="TableText"/>
              <w:jc w:val="left"/>
            </w:pPr>
            <w:r>
              <w:t xml:space="preserve">Money for nature rarely reaches the communities who protect it</w:t>
            </w:r>
          </w:p>
        </w:tc>
        <w:tc>
          <w:tcPr>
            <w:tcW w:w="3151" w:type="dxa"/>
          </w:tcPr>
          <w:p>
            <w:pPr>
              <w:pStyle w:val="TableText"/>
              <w:jc w:val="left"/>
            </w:pPr>
            <w:r>
              <w:t xml:space="preserve">Data trust + protocol + verifier dispatch</w:t>
            </w:r>
          </w:p>
        </w:tc>
      </w:tr>
      <w:tr>
        <w:trPr>
          <w:cantSplit/>
        </w:trPr>
        <w:tc>
          <w:tcPr>
            <w:tcW w:w="437" w:type="dxa"/>
          </w:tcPr>
          <w:p>
            <w:pPr>
              <w:pStyle w:val="TableText"/>
              <w:jc w:val="left"/>
            </w:pPr>
            <w:r>
              <w:t xml:space="preserve">9</w:t>
            </w:r>
          </w:p>
        </w:tc>
        <w:tc>
          <w:tcPr>
            <w:tcW w:w="1224" w:type="dxa"/>
          </w:tcPr>
          <w:p>
            <w:pPr>
              <w:pStyle w:val="TableText"/>
              <w:jc w:val="left"/>
            </w:pPr>
            <w:r>
              <w:rPr>
                <w:b/>
                <w:bCs/>
              </w:rPr>
              <w:t xml:space="preserve">BuildBridge</w:t>
            </w:r>
          </w:p>
        </w:tc>
        <w:tc>
          <w:tcPr>
            <w:tcW w:w="4548" w:type="dxa"/>
          </w:tcPr>
          <w:p>
            <w:pPr>
              <w:pStyle w:val="TableText"/>
              <w:jc w:val="left"/>
            </w:pPr>
            <w:r>
              <w:t xml:space="preserve">Fraud and failure when families build from abroad</w:t>
            </w:r>
          </w:p>
        </w:tc>
        <w:tc>
          <w:tcPr>
            <w:tcW w:w="3151" w:type="dxa"/>
          </w:tcPr>
          <w:p>
            <w:pPr>
              <w:pStyle w:val="TableText"/>
              <w:jc w:val="left"/>
            </w:pPr>
            <w:r>
              <w:t xml:space="preserve">Skills marketplace + escrow + verifier dispatch</w:t>
            </w:r>
          </w:p>
        </w:tc>
      </w:tr>
      <w:tr>
        <w:trPr>
          <w:cantSplit/>
        </w:trPr>
        <w:tc>
          <w:tcPr>
            <w:tcW w:w="437" w:type="dxa"/>
          </w:tcPr>
          <w:p>
            <w:pPr>
              <w:pStyle w:val="TableText"/>
              <w:jc w:val="left"/>
            </w:pPr>
            <w:r>
              <w:t xml:space="preserve">10</w:t>
            </w:r>
          </w:p>
        </w:tc>
        <w:tc>
          <w:tcPr>
            <w:tcW w:w="1224" w:type="dxa"/>
          </w:tcPr>
          <w:p>
            <w:pPr>
              <w:pStyle w:val="TableText"/>
              <w:jc w:val="left"/>
            </w:pPr>
            <w:r>
              <w:rPr>
                <w:b/>
                <w:bCs/>
              </w:rPr>
              <w:t xml:space="preserve">AquaGrid</w:t>
            </w:r>
          </w:p>
        </w:tc>
        <w:tc>
          <w:tcPr>
            <w:tcW w:w="4548" w:type="dxa"/>
          </w:tcPr>
          <w:p>
            <w:pPr>
              <w:pStyle w:val="TableText"/>
              <w:jc w:val="left"/>
            </w:pPr>
            <w:r>
              <w:t xml:space="preserve">Fast-growing cities can’t deliver safe, fairly priced water</w:t>
            </w:r>
          </w:p>
        </w:tc>
        <w:tc>
          <w:tcPr>
            <w:tcW w:w="3151" w:type="dxa"/>
          </w:tcPr>
          <w:p>
            <w:pPr>
              <w:pStyle w:val="TableText"/>
              <w:jc w:val="left"/>
            </w:pPr>
            <w:r>
              <w:t xml:space="preserve">Dispatch + idle-asset marketplace + mutual</w:t>
            </w:r>
          </w:p>
        </w:tc>
      </w:tr>
    </w:tbl>
    <w:p>
      <w:pPr>
        <w:pStyle w:val="Compact"/>
        <w:numPr>
          <w:ilvl w:val="0"/>
          <w:numId w:val="1003"/>
        </w:numPr>
      </w:pPr>
      <w:r>
        <w:rPr>
          <w:b/>
          <w:bCs/>
        </w:rPr>
        <w:t xml:space="preserve">Portfolio, missions and futures</w:t>
      </w:r>
      <w:r>
        <w:t xml:space="preserve"> </w:t>
      </w:r>
      <w:r>
        <w:t xml:space="preserve">(Part 5): the scoreboard against the benchmarks, four missions that organize the ventures, links with Volume I’s ventures, sequencing, a backcast from 2050, and a closing philosophy:</w:t>
      </w:r>
      <w:r>
        <w:t xml:space="preserve"> </w:t>
      </w:r>
      <w:r>
        <w:rPr>
          <w:b/>
          <w:bCs/>
        </w:rPr>
        <w:t xml:space="preserve">from</w:t>
      </w:r>
      <w:r>
        <w:rPr>
          <w:b/>
          <w:bCs/>
        </w:rPr>
        <w:t xml:space="preserve"> </w:t>
      </w:r>
      <w:r>
        <w:rPr>
          <w:b/>
          <w:bCs/>
        </w:rPr>
        <w:t xml:space="preserve">“</w:t>
      </w:r>
      <w:r>
        <w:rPr>
          <w:b/>
          <w:bCs/>
        </w:rPr>
        <w:t xml:space="preserve">move fast and break things</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move wisely and mend things.</w:t>
      </w:r>
      <w:r>
        <w:rPr>
          <w:b/>
          <w:bCs/>
        </w:rPr>
        <w:t xml:space="preserve">”</w:t>
      </w:r>
    </w:p>
    <w:p>
      <w:pPr>
        <w:pStyle w:val="FirstParagraph"/>
      </w:pPr>
      <w:r>
        <w:rPr>
          <w:b/>
          <w:bCs/>
        </w:rPr>
        <w:t xml:space="preserve">The headline benchmark result.</w:t>
      </w:r>
      <w:r>
        <w:t xml:space="preserve"> </w:t>
      </w:r>
      <w:r>
        <w:t xml:space="preserve">On the 100-point Double Decagon Index, Uber and Airbnb score about</w:t>
      </w:r>
      <w:r>
        <w:t xml:space="preserve"> </w:t>
      </w:r>
      <w:r>
        <w:rPr>
          <w:b/>
          <w:bCs/>
        </w:rPr>
        <w:t xml:space="preserve">40–43 at launch</w:t>
      </w:r>
      <w:r>
        <w:t xml:space="preserve"> </w:t>
      </w:r>
      <w:r>
        <w:t xml:space="preserve">and about</w:t>
      </w:r>
      <w:r>
        <w:t xml:space="preserve"> </w:t>
      </w:r>
      <w:r>
        <w:rPr>
          <w:b/>
          <w:bCs/>
        </w:rPr>
        <w:t xml:space="preserve">60–61 today</w:t>
      </w:r>
      <w:r>
        <w:t xml:space="preserve">. The first Decagon ventures average about</w:t>
      </w:r>
      <w:r>
        <w:t xml:space="preserve"> </w:t>
      </w:r>
      <w:r>
        <w:rPr>
          <w:b/>
          <w:bCs/>
        </w:rPr>
        <w:t xml:space="preserve">80</w:t>
      </w:r>
      <w:r>
        <w:t xml:space="preserve"> </w:t>
      </w:r>
      <w:r>
        <w:t xml:space="preserve">by design intent, and the Next Decagon about</w:t>
      </w:r>
      <w:r>
        <w:t xml:space="preserve"> </w:t>
      </w:r>
      <w:r>
        <w:rPr>
          <w:b/>
          <w:bCs/>
        </w:rPr>
        <w:t xml:space="preserve">83</w:t>
      </w:r>
      <w:r>
        <w:t xml:space="preserve">. The biggest gap between the platform leaders and the new ventures lies in the future-fitness ring, especially the tests for pre-embedded protections, intergenerational value and climate resilience.</w:t>
      </w:r>
    </w:p>
    <w:bookmarkStart w:id="20" w:name="how-to-read-this-volume"/>
    <w:p>
      <w:pPr>
        <w:pStyle w:val="Heading2"/>
      </w:pPr>
      <w:r>
        <w:t xml:space="preserve">How to read this volume</w:t>
      </w:r>
    </w:p>
    <w:tbl>
      <w:tblPr>
        <w:tblStyle w:val="Table"/>
        <w:tblW w:w="9360" w:type="dxa"/>
        <w:jc w:val="left"/>
        <w:tblLayout w:type="fixed"/>
        <w:tblLook w:firstRow="1" w:lastRow="0" w:firstColumn="0" w:lastColumn="0" w:noHBand="0" w:noVBand="0" w:val="0020"/>
      </w:tblPr>
      <w:tblGrid>
        <w:gridCol w:w="1115"/>
        <w:gridCol w:w="4808"/>
        <w:gridCol w:w="3437"/>
      </w:tblGrid>
      <w:tr>
        <w:trPr>
          <w:cantSplit/>
          <w:tblHeader w:val="true"/>
        </w:trPr>
        <w:tc>
          <w:tcPr>
            <w:tcW w:w="1115" w:type="dxa"/>
          </w:tcPr>
          <w:p>
            <w:pPr>
              <w:pStyle w:val="TableText"/>
              <w:jc w:val="left"/>
            </w:pPr>
            <w:r>
              <w:t xml:space="preserve">Part</w:t>
            </w:r>
          </w:p>
        </w:tc>
        <w:tc>
          <w:tcPr>
            <w:tcW w:w="4808" w:type="dxa"/>
          </w:tcPr>
          <w:p>
            <w:pPr>
              <w:pStyle w:val="TableText"/>
              <w:jc w:val="left"/>
            </w:pPr>
            <w:r>
              <w:t xml:space="preserve">Content</w:t>
            </w:r>
          </w:p>
        </w:tc>
        <w:tc>
          <w:tcPr>
            <w:tcW w:w="3437" w:type="dxa"/>
          </w:tcPr>
          <w:p>
            <w:pPr>
              <w:pStyle w:val="TableText"/>
              <w:jc w:val="left"/>
            </w:pPr>
            <w:r>
              <w:t xml:space="preserve">Use it if you want to…</w:t>
            </w:r>
          </w:p>
        </w:tc>
      </w:tr>
      <w:tr>
        <w:trPr>
          <w:cantSplit/>
        </w:trPr>
        <w:tc>
          <w:tcPr>
            <w:tcW w:w="1115" w:type="dxa"/>
          </w:tcPr>
          <w:p>
            <w:pPr>
              <w:pStyle w:val="TableText"/>
              <w:jc w:val="left"/>
            </w:pPr>
            <w:r>
              <w:t xml:space="preserve">1</w:t>
            </w:r>
          </w:p>
        </w:tc>
        <w:tc>
          <w:tcPr>
            <w:tcW w:w="4808" w:type="dxa"/>
          </w:tcPr>
          <w:p>
            <w:pPr>
              <w:pStyle w:val="TableText"/>
              <w:jc w:val="left"/>
            </w:pPr>
            <w:r>
              <w:t xml:space="preserve">Baselines and benchmarks</w:t>
            </w:r>
          </w:p>
        </w:tc>
        <w:tc>
          <w:tcPr>
            <w:tcW w:w="3437" w:type="dxa"/>
          </w:tcPr>
          <w:p>
            <w:pPr>
              <w:pStyle w:val="TableText"/>
              <w:jc w:val="left"/>
            </w:pPr>
            <w:r>
              <w:t xml:space="preserve">Understand what Volume I established and how it calibrates Volume II</w:t>
            </w:r>
          </w:p>
        </w:tc>
      </w:tr>
      <w:tr>
        <w:trPr>
          <w:cantSplit/>
        </w:trPr>
        <w:tc>
          <w:tcPr>
            <w:tcW w:w="1115" w:type="dxa"/>
          </w:tcPr>
          <w:p>
            <w:pPr>
              <w:pStyle w:val="TableText"/>
              <w:jc w:val="left"/>
            </w:pPr>
            <w:r>
              <w:t xml:space="preserve">2</w:t>
            </w:r>
          </w:p>
        </w:tc>
        <w:tc>
          <w:tcPr>
            <w:tcW w:w="4808" w:type="dxa"/>
          </w:tcPr>
          <w:p>
            <w:pPr>
              <w:pStyle w:val="TableText"/>
              <w:jc w:val="left"/>
            </w:pPr>
            <w:r>
              <w:t xml:space="preserve">The future landscape and the Future Problem Atlas</w:t>
            </w:r>
          </w:p>
        </w:tc>
        <w:tc>
          <w:tcPr>
            <w:tcW w:w="3437" w:type="dxa"/>
          </w:tcPr>
          <w:p>
            <w:pPr>
              <w:pStyle w:val="TableText"/>
              <w:jc w:val="left"/>
            </w:pPr>
            <w:r>
              <w:t xml:space="preserve">See which new problems will matter in 2030–2050</w:t>
            </w:r>
          </w:p>
        </w:tc>
      </w:tr>
      <w:tr>
        <w:trPr>
          <w:cantSplit/>
        </w:trPr>
        <w:tc>
          <w:tcPr>
            <w:tcW w:w="1115" w:type="dxa"/>
          </w:tcPr>
          <w:p>
            <w:pPr>
              <w:pStyle w:val="TableText"/>
              <w:jc w:val="left"/>
            </w:pPr>
            <w:r>
              <w:t xml:space="preserve">3</w:t>
            </w:r>
          </w:p>
        </w:tc>
        <w:tc>
          <w:tcPr>
            <w:tcW w:w="4808" w:type="dxa"/>
          </w:tcPr>
          <w:p>
            <w:pPr>
              <w:pStyle w:val="TableText"/>
              <w:jc w:val="left"/>
            </w:pPr>
            <w:r>
              <w:t xml:space="preserve">The framework: the Double Decagon, the Disruption Genome, ten archetypes, the pipeline and the theory</w:t>
            </w:r>
          </w:p>
        </w:tc>
        <w:tc>
          <w:tcPr>
            <w:tcW w:w="3437" w:type="dxa"/>
          </w:tcPr>
          <w:p>
            <w:pPr>
              <w:pStyle w:val="TableText"/>
              <w:jc w:val="left"/>
            </w:pPr>
            <w:r>
              <w:t xml:space="preserve">Generate, design and test future ventures</w:t>
            </w:r>
          </w:p>
        </w:tc>
      </w:tr>
      <w:tr>
        <w:trPr>
          <w:cantSplit/>
        </w:trPr>
        <w:tc>
          <w:tcPr>
            <w:tcW w:w="1115" w:type="dxa"/>
          </w:tcPr>
          <w:p>
            <w:pPr>
              <w:pStyle w:val="TableText"/>
              <w:jc w:val="left"/>
            </w:pPr>
            <w:r>
              <w:t xml:space="preserve">4</w:t>
            </w:r>
          </w:p>
        </w:tc>
        <w:tc>
          <w:tcPr>
            <w:tcW w:w="4808" w:type="dxa"/>
          </w:tcPr>
          <w:p>
            <w:pPr>
              <w:pStyle w:val="TableText"/>
              <w:jc w:val="left"/>
            </w:pPr>
            <w:r>
              <w:t xml:space="preserve">The Next Decagon: ten venture concepts</w:t>
            </w:r>
          </w:p>
        </w:tc>
        <w:tc>
          <w:tcPr>
            <w:tcW w:w="3437" w:type="dxa"/>
          </w:tcPr>
          <w:p>
            <w:pPr>
              <w:pStyle w:val="TableText"/>
              <w:jc w:val="left"/>
            </w:pPr>
            <w:r>
              <w:t xml:space="preserve">Get concrete future opportunities</w:t>
            </w:r>
          </w:p>
        </w:tc>
      </w:tr>
      <w:tr>
        <w:trPr>
          <w:cantSplit/>
        </w:trPr>
        <w:tc>
          <w:tcPr>
            <w:tcW w:w="1115" w:type="dxa"/>
          </w:tcPr>
          <w:p>
            <w:pPr>
              <w:pStyle w:val="TableText"/>
              <w:jc w:val="left"/>
            </w:pPr>
            <w:r>
              <w:t xml:space="preserve">5</w:t>
            </w:r>
          </w:p>
        </w:tc>
        <w:tc>
          <w:tcPr>
            <w:tcW w:w="4808" w:type="dxa"/>
          </w:tcPr>
          <w:p>
            <w:pPr>
              <w:pStyle w:val="TableText"/>
              <w:jc w:val="left"/>
            </w:pPr>
            <w:r>
              <w:t xml:space="preserve">Portfolio, missions, futures and closing philosophy</w:t>
            </w:r>
          </w:p>
        </w:tc>
        <w:tc>
          <w:tcPr>
            <w:tcW w:w="3437" w:type="dxa"/>
          </w:tcPr>
          <w:p>
            <w:pPr>
              <w:pStyle w:val="TableText"/>
              <w:jc w:val="left"/>
            </w:pPr>
            <w:r>
              <w:t xml:space="preserve">Act on it</w:t>
            </w:r>
          </w:p>
        </w:tc>
      </w:tr>
      <w:tr>
        <w:trPr>
          <w:cantSplit/>
        </w:trPr>
        <w:tc>
          <w:tcPr>
            <w:tcW w:w="1115" w:type="dxa"/>
          </w:tcPr>
          <w:p>
            <w:pPr>
              <w:pStyle w:val="TableText"/>
              <w:jc w:val="left"/>
            </w:pPr>
            <w:r>
              <w:t xml:space="preserve">Appendices</w:t>
            </w:r>
          </w:p>
        </w:tc>
        <w:tc>
          <w:tcPr>
            <w:tcW w:w="4808" w:type="dxa"/>
          </w:tcPr>
          <w:p>
            <w:pPr>
              <w:pStyle w:val="TableText"/>
              <w:jc w:val="left"/>
            </w:pPr>
            <w:r>
              <w:t xml:space="preserve">Genome worksheet, Future-Fitness rubric, scoring sheet, sources</w:t>
            </w:r>
          </w:p>
        </w:tc>
        <w:tc>
          <w:tcPr>
            <w:tcW w:w="3437" w:type="dxa"/>
          </w:tcPr>
          <w:p>
            <w:pPr>
              <w:pStyle w:val="TableText"/>
              <w:jc w:val="left"/>
            </w:pPr>
            <w:r>
              <w:t xml:space="preserve">Apply the framework yourself</w:t>
            </w:r>
          </w:p>
        </w:tc>
      </w:tr>
    </w:tbl>
    <w:p>
      <w:pPr>
        <w:pStyle w:val="BodyText"/>
        <w:spacing w:before="160"/>
      </w:pPr>
      <w:r>
        <w:rPr>
          <w:i/>
          <w:iCs/>
        </w:rPr>
        <w:t xml:space="preserve">Scores and judgements are the author’s analysis. Venture concepts are hypotheses to be tested, not forecasts or investment advice.</w:t>
      </w:r>
    </w:p>
    <w:bookmarkEnd w:id="20"/>
    <w:bookmarkEnd w:id="21"/>
    <w:bookmarkStart w:id="25" w:name="part-1-baselines-and-benchmarks"/>
    <w:p>
      <w:pPr>
        <w:pStyle w:val="Heading1"/>
      </w:pPr>
      <w:r>
        <w:t xml:space="preserve">Part 1: Baselines and Benchmarks</w:t>
      </w:r>
    </w:p>
    <w:bookmarkStart w:id="22" w:name="the-benchmark-set"/>
    <w:p>
      <w:pPr>
        <w:pStyle w:val="Heading2"/>
      </w:pPr>
      <w:r>
        <w:t xml:space="preserve">1.1 The benchmark set</w:t>
      </w:r>
    </w:p>
    <w:p>
      <w:pPr>
        <w:pStyle w:val="FirstParagraph"/>
      </w:pPr>
      <w:r>
        <w:t xml:space="preserve">Volume II uses four benchmarks from Volume I as reference points.</w:t>
      </w:r>
    </w:p>
    <w:tbl>
      <w:tblPr>
        <w:tblStyle w:val="Table"/>
        <w:tblW w:w="9360" w:type="dxa"/>
        <w:jc w:val="left"/>
        <w:tblLayout w:type="fixed"/>
        <w:tblLook w:firstRow="1" w:lastRow="0" w:firstColumn="0" w:lastColumn="0" w:noHBand="0" w:noVBand="0" w:val="0020"/>
      </w:tblPr>
      <w:tblGrid>
        <w:gridCol w:w="1889"/>
        <w:gridCol w:w="6441"/>
        <w:gridCol w:w="1030"/>
      </w:tblGrid>
      <w:tr>
        <w:trPr>
          <w:cantSplit/>
          <w:tblHeader w:val="true"/>
        </w:trPr>
        <w:tc>
          <w:tcPr>
            <w:tcW w:w="1889" w:type="dxa"/>
          </w:tcPr>
          <w:p>
            <w:pPr>
              <w:pStyle w:val="TableText"/>
              <w:jc w:val="left"/>
            </w:pPr>
            <w:r>
              <w:t xml:space="preserve">Benchmark</w:t>
            </w:r>
          </w:p>
        </w:tc>
        <w:tc>
          <w:tcPr>
            <w:tcW w:w="6441" w:type="dxa"/>
          </w:tcPr>
          <w:p>
            <w:pPr>
              <w:pStyle w:val="TableText"/>
              <w:jc w:val="left"/>
            </w:pPr>
            <w:r>
              <w:t xml:space="preserve">What it represents</w:t>
            </w:r>
          </w:p>
        </w:tc>
        <w:tc>
          <w:tcPr>
            <w:tcW w:w="1030" w:type="dxa"/>
          </w:tcPr>
          <w:p>
            <w:pPr>
              <w:pStyle w:val="TableText"/>
              <w:jc w:val="left"/>
            </w:pPr>
            <w:r>
              <w:t xml:space="preserve">Where in Volume I</w:t>
            </w:r>
          </w:p>
        </w:tc>
      </w:tr>
      <w:tr>
        <w:trPr>
          <w:cantSplit/>
        </w:trPr>
        <w:tc>
          <w:tcPr>
            <w:tcW w:w="1889" w:type="dxa"/>
          </w:tcPr>
          <w:p>
            <w:pPr>
              <w:pStyle w:val="TableText"/>
              <w:jc w:val="left"/>
            </w:pPr>
            <w:r>
              <w:rPr>
                <w:b/>
                <w:bCs/>
              </w:rPr>
              <w:t xml:space="preserve">Uber</w:t>
            </w:r>
            <w:r>
              <w:t xml:space="preserve"> </w:t>
            </w:r>
            <w:r>
              <w:t xml:space="preserve">(c.2012 and 2026)</w:t>
            </w:r>
          </w:p>
        </w:tc>
        <w:tc>
          <w:tcPr>
            <w:tcW w:w="6441" w:type="dxa"/>
          </w:tcPr>
          <w:p>
            <w:pPr>
              <w:pStyle w:val="TableText"/>
              <w:jc w:val="left"/>
            </w:pPr>
            <w:r>
              <w:t xml:space="preserve">The on-demand dispatch model; the first platform era’s engine at its strongest</w:t>
            </w:r>
          </w:p>
        </w:tc>
        <w:tc>
          <w:tcPr>
            <w:tcW w:w="1030" w:type="dxa"/>
          </w:tcPr>
          <w:p>
            <w:pPr>
              <w:pStyle w:val="TableText"/>
              <w:jc w:val="left"/>
            </w:pPr>
            <w:r>
              <w:t xml:space="preserve">Parts I–IV</w:t>
            </w:r>
          </w:p>
        </w:tc>
      </w:tr>
      <w:tr>
        <w:trPr>
          <w:cantSplit/>
        </w:trPr>
        <w:tc>
          <w:tcPr>
            <w:tcW w:w="1889" w:type="dxa"/>
          </w:tcPr>
          <w:p>
            <w:pPr>
              <w:pStyle w:val="TableText"/>
              <w:jc w:val="left"/>
            </w:pPr>
            <w:r>
              <w:rPr>
                <w:b/>
                <w:bCs/>
              </w:rPr>
              <w:t xml:space="preserve">Airbnb</w:t>
            </w:r>
            <w:r>
              <w:t xml:space="preserve"> </w:t>
            </w:r>
            <w:r>
              <w:t xml:space="preserve">(c.2012 and 2026)</w:t>
            </w:r>
          </w:p>
        </w:tc>
        <w:tc>
          <w:tcPr>
            <w:tcW w:w="6441" w:type="dxa"/>
          </w:tcPr>
          <w:p>
            <w:pPr>
              <w:pStyle w:val="TableText"/>
              <w:jc w:val="left"/>
            </w:pPr>
            <w:r>
              <w:t xml:space="preserve">The idle-asset marketplace model; trust between strangers at global scale</w:t>
            </w:r>
          </w:p>
        </w:tc>
        <w:tc>
          <w:tcPr>
            <w:tcW w:w="1030" w:type="dxa"/>
          </w:tcPr>
          <w:p>
            <w:pPr>
              <w:pStyle w:val="TableText"/>
              <w:jc w:val="left"/>
            </w:pPr>
            <w:r>
              <w:t xml:space="preserve">Parts I–IV</w:t>
            </w:r>
          </w:p>
        </w:tc>
      </w:tr>
      <w:tr>
        <w:trPr>
          <w:cantSplit/>
        </w:trPr>
        <w:tc>
          <w:tcPr>
            <w:tcW w:w="1889" w:type="dxa"/>
          </w:tcPr>
          <w:p>
            <w:pPr>
              <w:pStyle w:val="TableText"/>
              <w:jc w:val="left"/>
            </w:pPr>
            <w:r>
              <w:rPr>
                <w:b/>
                <w:bCs/>
              </w:rPr>
              <w:t xml:space="preserve">The sixteen-sector map</w:t>
            </w:r>
          </w:p>
        </w:tc>
        <w:tc>
          <w:tcPr>
            <w:tcW w:w="6441" w:type="dxa"/>
          </w:tcPr>
          <w:p>
            <w:pPr>
              <w:pStyle w:val="TableText"/>
              <w:jc w:val="left"/>
            </w:pPr>
            <w:r>
              <w:t xml:space="preserve">Where the Uber and Airbnb models work today, from freight and farming to finance and construction</w:t>
            </w:r>
          </w:p>
        </w:tc>
        <w:tc>
          <w:tcPr>
            <w:tcW w:w="1030" w:type="dxa"/>
          </w:tcPr>
          <w:p>
            <w:pPr>
              <w:pStyle w:val="TableText"/>
              <w:jc w:val="left"/>
            </w:pPr>
            <w:r>
              <w:t xml:space="preserve">Part VI</w:t>
            </w:r>
          </w:p>
        </w:tc>
      </w:tr>
      <w:tr>
        <w:trPr>
          <w:cantSplit/>
        </w:trPr>
        <w:tc>
          <w:tcPr>
            <w:tcW w:w="1889" w:type="dxa"/>
          </w:tcPr>
          <w:p>
            <w:pPr>
              <w:pStyle w:val="TableText"/>
              <w:jc w:val="left"/>
            </w:pPr>
            <w:r>
              <w:rPr>
                <w:b/>
                <w:bCs/>
              </w:rPr>
              <w:t xml:space="preserve">The first ten Decagon ventures</w:t>
            </w:r>
          </w:p>
        </w:tc>
        <w:tc>
          <w:tcPr>
            <w:tcW w:w="6441" w:type="dxa"/>
          </w:tcPr>
          <w:p>
            <w:pPr>
              <w:pStyle w:val="TableText"/>
              <w:jc w:val="left"/>
            </w:pPr>
            <w:r>
              <w:t xml:space="preserve">Stewardship-era ventures for today’s visible problems (Covenant, DataGuild, Guildhall, KinGrid, Agora, Hearth, CommonFleet, FluxCommons, HarvestGrid, Bastion)</w:t>
            </w:r>
          </w:p>
        </w:tc>
        <w:tc>
          <w:tcPr>
            <w:tcW w:w="1030" w:type="dxa"/>
          </w:tcPr>
          <w:p>
            <w:pPr>
              <w:pStyle w:val="TableText"/>
              <w:jc w:val="left"/>
            </w:pPr>
            <w:r>
              <w:t xml:space="preserve">Parts VII–VIII</w:t>
            </w:r>
          </w:p>
        </w:tc>
      </w:tr>
    </w:tbl>
    <w:p>
      <w:pPr>
        <w:pStyle w:val="BodyText"/>
        <w:spacing w:before="160"/>
      </w:pPr>
      <w:r>
        <w:t xml:space="preserve">Their scores on Volume I’s Innovation Decagon (out of 50):</w:t>
      </w:r>
    </w:p>
    <w:tbl>
      <w:tblPr>
        <w:tblStyle w:val="Table"/>
        <w:tblW w:w="9360" w:type="dxa"/>
        <w:jc w:val="left"/>
        <w:tblLayout w:type="fixed"/>
        <w:tblLook w:firstRow="1" w:lastRow="0" w:firstColumn="0" w:lastColumn="0" w:noHBand="0" w:noVBand="0" w:val="0020"/>
      </w:tblPr>
      <w:tblGrid>
        <w:gridCol w:w="3711"/>
        <w:gridCol w:w="1613"/>
        <w:gridCol w:w="2259"/>
        <w:gridCol w:w="1777"/>
      </w:tblGrid>
      <w:tr>
        <w:trPr>
          <w:cantSplit/>
          <w:tblHeader w:val="true"/>
        </w:trPr>
        <w:tc>
          <w:tcPr>
            <w:tcW w:w="3711" w:type="dxa"/>
          </w:tcPr>
          <w:p>
            <w:pPr>
              <w:pStyle w:val="TableText"/>
              <w:jc w:val="left"/>
            </w:pPr>
            <w:r>
              <w:t xml:space="preserve">Benchmark</w:t>
            </w:r>
          </w:p>
        </w:tc>
        <w:tc>
          <w:tcPr>
            <w:tcW w:w="1613" w:type="dxa"/>
          </w:tcPr>
          <w:p>
            <w:pPr>
              <w:pStyle w:val="TableText"/>
              <w:jc w:val="left"/>
            </w:pPr>
            <w:r>
              <w:t xml:space="preserve">Engine (/25)</w:t>
            </w:r>
          </w:p>
        </w:tc>
        <w:tc>
          <w:tcPr>
            <w:tcW w:w="2259" w:type="dxa"/>
          </w:tcPr>
          <w:p>
            <w:pPr>
              <w:pStyle w:val="TableText"/>
              <w:jc w:val="left"/>
            </w:pPr>
            <w:r>
              <w:t xml:space="preserve">Conscience (/25)</w:t>
            </w:r>
          </w:p>
        </w:tc>
        <w:tc>
          <w:tcPr>
            <w:tcW w:w="1777" w:type="dxa"/>
          </w:tcPr>
          <w:p>
            <w:pPr>
              <w:pStyle w:val="TableText"/>
              <w:jc w:val="left"/>
            </w:pPr>
            <w:r>
              <w:t xml:space="preserve">Decagon (/50)</w:t>
            </w:r>
          </w:p>
        </w:tc>
      </w:tr>
      <w:tr>
        <w:trPr>
          <w:cantSplit/>
        </w:trPr>
        <w:tc>
          <w:tcPr>
            <w:tcW w:w="3711" w:type="dxa"/>
          </w:tcPr>
          <w:p>
            <w:pPr>
              <w:pStyle w:val="TableText"/>
              <w:jc w:val="left"/>
            </w:pPr>
            <w:r>
              <w:t xml:space="preserve">Uber c.2012</w:t>
            </w:r>
          </w:p>
        </w:tc>
        <w:tc>
          <w:tcPr>
            <w:tcW w:w="1613" w:type="dxa"/>
          </w:tcPr>
          <w:p>
            <w:pPr>
              <w:pStyle w:val="TableText"/>
              <w:jc w:val="left"/>
            </w:pPr>
            <w:r>
              <w:t xml:space="preserve">22</w:t>
            </w:r>
          </w:p>
        </w:tc>
        <w:tc>
          <w:tcPr>
            <w:tcW w:w="2259" w:type="dxa"/>
          </w:tcPr>
          <w:p>
            <w:pPr>
              <w:pStyle w:val="TableText"/>
              <w:jc w:val="left"/>
            </w:pPr>
            <w:r>
              <w:t xml:space="preserve">8</w:t>
            </w:r>
          </w:p>
        </w:tc>
        <w:tc>
          <w:tcPr>
            <w:tcW w:w="1777" w:type="dxa"/>
          </w:tcPr>
          <w:p>
            <w:pPr>
              <w:pStyle w:val="TableText"/>
              <w:jc w:val="left"/>
            </w:pPr>
            <w:r>
              <w:t xml:space="preserve">30</w:t>
            </w:r>
          </w:p>
        </w:tc>
      </w:tr>
      <w:tr>
        <w:trPr>
          <w:cantSplit/>
        </w:trPr>
        <w:tc>
          <w:tcPr>
            <w:tcW w:w="3711" w:type="dxa"/>
          </w:tcPr>
          <w:p>
            <w:pPr>
              <w:pStyle w:val="TableText"/>
              <w:jc w:val="left"/>
            </w:pPr>
            <w:r>
              <w:t xml:space="preserve">Uber 2026</w:t>
            </w:r>
          </w:p>
        </w:tc>
        <w:tc>
          <w:tcPr>
            <w:tcW w:w="1613" w:type="dxa"/>
          </w:tcPr>
          <w:p>
            <w:pPr>
              <w:pStyle w:val="TableText"/>
              <w:jc w:val="left"/>
            </w:pPr>
            <w:r>
              <w:t xml:space="preserve">24</w:t>
            </w:r>
          </w:p>
        </w:tc>
        <w:tc>
          <w:tcPr>
            <w:tcW w:w="2259" w:type="dxa"/>
          </w:tcPr>
          <w:p>
            <w:pPr>
              <w:pStyle w:val="TableText"/>
              <w:jc w:val="left"/>
            </w:pPr>
            <w:r>
              <w:t xml:space="preserve">14</w:t>
            </w:r>
          </w:p>
        </w:tc>
        <w:tc>
          <w:tcPr>
            <w:tcW w:w="1777" w:type="dxa"/>
          </w:tcPr>
          <w:p>
            <w:pPr>
              <w:pStyle w:val="TableText"/>
              <w:jc w:val="left"/>
            </w:pPr>
            <w:r>
              <w:t xml:space="preserve">38</w:t>
            </w:r>
          </w:p>
        </w:tc>
      </w:tr>
      <w:tr>
        <w:trPr>
          <w:cantSplit/>
        </w:trPr>
        <w:tc>
          <w:tcPr>
            <w:tcW w:w="3711" w:type="dxa"/>
          </w:tcPr>
          <w:p>
            <w:pPr>
              <w:pStyle w:val="TableText"/>
              <w:jc w:val="left"/>
            </w:pPr>
            <w:r>
              <w:t xml:space="preserve">Airbnb c.2012</w:t>
            </w:r>
          </w:p>
        </w:tc>
        <w:tc>
          <w:tcPr>
            <w:tcW w:w="1613" w:type="dxa"/>
          </w:tcPr>
          <w:p>
            <w:pPr>
              <w:pStyle w:val="TableText"/>
              <w:jc w:val="left"/>
            </w:pPr>
            <w:r>
              <w:t xml:space="preserve">20</w:t>
            </w:r>
          </w:p>
        </w:tc>
        <w:tc>
          <w:tcPr>
            <w:tcW w:w="2259" w:type="dxa"/>
          </w:tcPr>
          <w:p>
            <w:pPr>
              <w:pStyle w:val="TableText"/>
              <w:jc w:val="left"/>
            </w:pPr>
            <w:r>
              <w:t xml:space="preserve">11</w:t>
            </w:r>
          </w:p>
        </w:tc>
        <w:tc>
          <w:tcPr>
            <w:tcW w:w="1777" w:type="dxa"/>
          </w:tcPr>
          <w:p>
            <w:pPr>
              <w:pStyle w:val="TableText"/>
              <w:jc w:val="left"/>
            </w:pPr>
            <w:r>
              <w:t xml:space="preserve">31</w:t>
            </w:r>
          </w:p>
        </w:tc>
      </w:tr>
      <w:tr>
        <w:trPr>
          <w:cantSplit/>
        </w:trPr>
        <w:tc>
          <w:tcPr>
            <w:tcW w:w="3711" w:type="dxa"/>
          </w:tcPr>
          <w:p>
            <w:pPr>
              <w:pStyle w:val="TableText"/>
              <w:jc w:val="left"/>
            </w:pPr>
            <w:r>
              <w:t xml:space="preserve">Airbnb 2026</w:t>
            </w:r>
          </w:p>
        </w:tc>
        <w:tc>
          <w:tcPr>
            <w:tcW w:w="1613" w:type="dxa"/>
          </w:tcPr>
          <w:p>
            <w:pPr>
              <w:pStyle w:val="TableText"/>
              <w:jc w:val="left"/>
            </w:pPr>
            <w:r>
              <w:t xml:space="preserve">22</w:t>
            </w:r>
          </w:p>
        </w:tc>
        <w:tc>
          <w:tcPr>
            <w:tcW w:w="2259" w:type="dxa"/>
          </w:tcPr>
          <w:p>
            <w:pPr>
              <w:pStyle w:val="TableText"/>
              <w:jc w:val="left"/>
            </w:pPr>
            <w:r>
              <w:t xml:space="preserve">15</w:t>
            </w:r>
          </w:p>
        </w:tc>
        <w:tc>
          <w:tcPr>
            <w:tcW w:w="1777" w:type="dxa"/>
          </w:tcPr>
          <w:p>
            <w:pPr>
              <w:pStyle w:val="TableText"/>
              <w:jc w:val="left"/>
            </w:pPr>
            <w:r>
              <w:t xml:space="preserve">37</w:t>
            </w:r>
          </w:p>
        </w:tc>
      </w:tr>
      <w:tr>
        <w:trPr>
          <w:cantSplit/>
        </w:trPr>
        <w:tc>
          <w:tcPr>
            <w:tcW w:w="3711" w:type="dxa"/>
          </w:tcPr>
          <w:p>
            <w:pPr>
              <w:pStyle w:val="TableText"/>
              <w:jc w:val="left"/>
            </w:pPr>
            <w:r>
              <w:t xml:space="preserve">First ten ventures (average)</w:t>
            </w:r>
          </w:p>
        </w:tc>
        <w:tc>
          <w:tcPr>
            <w:tcW w:w="1613" w:type="dxa"/>
          </w:tcPr>
          <w:p>
            <w:pPr>
              <w:pStyle w:val="TableText"/>
              <w:jc w:val="left"/>
            </w:pPr>
            <w:r>
              <w:t xml:space="preserve">21.0</w:t>
            </w:r>
          </w:p>
        </w:tc>
        <w:tc>
          <w:tcPr>
            <w:tcW w:w="2259" w:type="dxa"/>
          </w:tcPr>
          <w:p>
            <w:pPr>
              <w:pStyle w:val="TableText"/>
              <w:jc w:val="left"/>
            </w:pPr>
            <w:r>
              <w:t xml:space="preserve">21.3</w:t>
            </w:r>
          </w:p>
        </w:tc>
        <w:tc>
          <w:tcPr>
            <w:tcW w:w="1777" w:type="dxa"/>
          </w:tcPr>
          <w:p>
            <w:pPr>
              <w:pStyle w:val="TableText"/>
              <w:jc w:val="left"/>
            </w:pPr>
            <w:r>
              <w:t xml:space="preserve">42.3</w:t>
            </w:r>
          </w:p>
        </w:tc>
      </w:tr>
    </w:tbl>
    <w:bookmarkEnd w:id="22"/>
    <w:bookmarkStart w:id="23" w:name="twelve-laws-of-platform-disruption"/>
    <w:p>
      <w:pPr>
        <w:pStyle w:val="Heading2"/>
      </w:pPr>
      <w:r>
        <w:t xml:space="preserve">1.2 Twelve laws of platform disruption</w:t>
      </w:r>
    </w:p>
    <w:p>
      <w:pPr>
        <w:pStyle w:val="FirstParagraph"/>
      </w:pPr>
      <w:r>
        <w:t xml:space="preserve">Volume I’s analysis can be distilled into twelve laws. They are empirical regularities, not physical laws, but every new venture should be checked against them.</w:t>
      </w:r>
    </w:p>
    <w:tbl>
      <w:tblPr>
        <w:tblStyle w:val="Table"/>
        <w:tblW w:w="9360" w:type="dxa"/>
        <w:jc w:val="left"/>
        <w:tblLayout w:type="fixed"/>
        <w:tblLook w:firstRow="1" w:lastRow="0" w:firstColumn="0" w:lastColumn="0" w:noHBand="0" w:noVBand="0" w:val="0020"/>
      </w:tblPr>
      <w:tblGrid>
        <w:gridCol w:w="432"/>
        <w:gridCol w:w="1386"/>
        <w:gridCol w:w="5373"/>
        <w:gridCol w:w="2169"/>
      </w:tblGrid>
      <w:tr>
        <w:trPr>
          <w:cantSplit/>
          <w:tblHeader w:val="true"/>
        </w:trPr>
        <w:tc>
          <w:tcPr>
            <w:tcW w:w="432" w:type="dxa"/>
          </w:tcPr>
          <w:p>
            <w:pPr>
              <w:pStyle w:val="TableText"/>
              <w:jc w:val="left"/>
            </w:pPr>
            <w:r>
              <w:t xml:space="preserve">#</w:t>
            </w:r>
          </w:p>
        </w:tc>
        <w:tc>
          <w:tcPr>
            <w:tcW w:w="1386" w:type="dxa"/>
          </w:tcPr>
          <w:p>
            <w:pPr>
              <w:pStyle w:val="TableText"/>
              <w:jc w:val="left"/>
            </w:pPr>
            <w:r>
              <w:t xml:space="preserve">Law</w:t>
            </w:r>
          </w:p>
        </w:tc>
        <w:tc>
          <w:tcPr>
            <w:tcW w:w="5373" w:type="dxa"/>
          </w:tcPr>
          <w:p>
            <w:pPr>
              <w:pStyle w:val="TableText"/>
              <w:jc w:val="left"/>
            </w:pPr>
            <w:r>
              <w:t xml:space="preserve">Statement</w:t>
            </w:r>
          </w:p>
        </w:tc>
        <w:tc>
          <w:tcPr>
            <w:tcW w:w="2169" w:type="dxa"/>
          </w:tcPr>
          <w:p>
            <w:pPr>
              <w:pStyle w:val="TableText"/>
              <w:jc w:val="left"/>
            </w:pPr>
            <w:r>
              <w:t xml:space="preserve">Source in Volume I</w:t>
            </w:r>
          </w:p>
        </w:tc>
      </w:tr>
      <w:tr>
        <w:trPr>
          <w:cantSplit/>
        </w:trPr>
        <w:tc>
          <w:tcPr>
            <w:tcW w:w="432" w:type="dxa"/>
          </w:tcPr>
          <w:p>
            <w:pPr>
              <w:pStyle w:val="TableText"/>
              <w:jc w:val="left"/>
            </w:pPr>
            <w:r>
              <w:t xml:space="preserve">1</w:t>
            </w:r>
          </w:p>
        </w:tc>
        <w:tc>
          <w:tcPr>
            <w:tcW w:w="1386" w:type="dxa"/>
          </w:tcPr>
          <w:p>
            <w:pPr>
              <w:pStyle w:val="TableText"/>
              <w:jc w:val="left"/>
            </w:pPr>
            <w:r>
              <w:rPr>
                <w:b/>
                <w:bCs/>
              </w:rPr>
              <w:t xml:space="preserve">The latency law</w:t>
            </w:r>
          </w:p>
        </w:tc>
        <w:tc>
          <w:tcPr>
            <w:tcW w:w="5373" w:type="dxa"/>
          </w:tcPr>
          <w:p>
            <w:pPr>
              <w:pStyle w:val="TableText"/>
              <w:jc w:val="left"/>
            </w:pPr>
            <w:r>
              <w:t xml:space="preserve">Value comes from making latent capacity visible, trusted, transactable and coordinated</w:t>
            </w:r>
          </w:p>
        </w:tc>
        <w:tc>
          <w:tcPr>
            <w:tcW w:w="2169" w:type="dxa"/>
          </w:tcPr>
          <w:p>
            <w:pPr>
              <w:pStyle w:val="TableText"/>
              <w:jc w:val="left"/>
            </w:pPr>
            <w:r>
              <w:t xml:space="preserve">Part III,</w:t>
            </w:r>
            <w:r>
              <w:t xml:space="preserve"> </w:t>
            </w:r>
            <w:r>
              <w:t xml:space="preserve">“</w:t>
            </w:r>
            <w:r>
              <w:t xml:space="preserve">latency compilers</w:t>
            </w:r>
            <w:r>
              <w:t xml:space="preserve">”</w:t>
            </w:r>
          </w:p>
        </w:tc>
      </w:tr>
      <w:tr>
        <w:trPr>
          <w:cantSplit/>
        </w:trPr>
        <w:tc>
          <w:tcPr>
            <w:tcW w:w="432" w:type="dxa"/>
          </w:tcPr>
          <w:p>
            <w:pPr>
              <w:pStyle w:val="TableText"/>
              <w:jc w:val="left"/>
            </w:pPr>
            <w:r>
              <w:t xml:space="preserve">2</w:t>
            </w:r>
          </w:p>
        </w:tc>
        <w:tc>
          <w:tcPr>
            <w:tcW w:w="1386" w:type="dxa"/>
          </w:tcPr>
          <w:p>
            <w:pPr>
              <w:pStyle w:val="TableText"/>
              <w:jc w:val="left"/>
            </w:pPr>
            <w:r>
              <w:rPr>
                <w:b/>
                <w:bCs/>
              </w:rPr>
              <w:t xml:space="preserve">The trust law</w:t>
            </w:r>
          </w:p>
        </w:tc>
        <w:tc>
          <w:tcPr>
            <w:tcW w:w="5373" w:type="dxa"/>
          </w:tcPr>
          <w:p>
            <w:pPr>
              <w:pStyle w:val="TableText"/>
              <w:jc w:val="left"/>
            </w:pPr>
            <w:r>
              <w:t xml:space="preserve">Trust compounds; matching commoditizes</w:t>
            </w:r>
          </w:p>
        </w:tc>
        <w:tc>
          <w:tcPr>
            <w:tcW w:w="2169" w:type="dxa"/>
          </w:tcPr>
          <w:p>
            <w:pPr>
              <w:pStyle w:val="TableText"/>
              <w:jc w:val="left"/>
            </w:pPr>
            <w:r>
              <w:t xml:space="preserve">Parts III–IV</w:t>
            </w:r>
          </w:p>
        </w:tc>
      </w:tr>
      <w:tr>
        <w:trPr>
          <w:cantSplit/>
        </w:trPr>
        <w:tc>
          <w:tcPr>
            <w:tcW w:w="432" w:type="dxa"/>
          </w:tcPr>
          <w:p>
            <w:pPr>
              <w:pStyle w:val="TableText"/>
              <w:jc w:val="left"/>
            </w:pPr>
            <w:r>
              <w:t xml:space="preserve">3</w:t>
            </w:r>
          </w:p>
        </w:tc>
        <w:tc>
          <w:tcPr>
            <w:tcW w:w="1386" w:type="dxa"/>
          </w:tcPr>
          <w:p>
            <w:pPr>
              <w:pStyle w:val="TableText"/>
              <w:jc w:val="left"/>
            </w:pPr>
            <w:r>
              <w:rPr>
                <w:b/>
                <w:bCs/>
              </w:rPr>
              <w:t xml:space="preserve">The saturation law</w:t>
            </w:r>
          </w:p>
        </w:tc>
        <w:tc>
          <w:tcPr>
            <w:tcW w:w="5373" w:type="dxa"/>
          </w:tcPr>
          <w:p>
            <w:pPr>
              <w:pStyle w:val="TableText"/>
              <w:jc w:val="left"/>
            </w:pPr>
            <w:r>
              <w:t xml:space="preserve">Local network effects saturate once the service is</w:t>
            </w:r>
            <w:r>
              <w:t xml:space="preserve"> </w:t>
            </w:r>
            <w:r>
              <w:t xml:space="preserve">“</w:t>
            </w:r>
            <w:r>
              <w:t xml:space="preserve">good enough</w:t>
            </w:r>
            <w:r>
              <w:t xml:space="preserve">”</w:t>
            </w:r>
            <w:r>
              <w:t xml:space="preserve"> </w:t>
            </w:r>
            <w:r>
              <w:t xml:space="preserve">(the square-root law of pickup times)</w:t>
            </w:r>
          </w:p>
        </w:tc>
        <w:tc>
          <w:tcPr>
            <w:tcW w:w="2169" w:type="dxa"/>
          </w:tcPr>
          <w:p>
            <w:pPr>
              <w:pStyle w:val="TableText"/>
              <w:jc w:val="left"/>
            </w:pPr>
            <w:r>
              <w:t xml:space="preserve">Part II, the system dynamics model</w:t>
            </w:r>
          </w:p>
        </w:tc>
      </w:tr>
      <w:tr>
        <w:trPr>
          <w:cantSplit/>
        </w:trPr>
        <w:tc>
          <w:tcPr>
            <w:tcW w:w="432" w:type="dxa"/>
          </w:tcPr>
          <w:p>
            <w:pPr>
              <w:pStyle w:val="TableText"/>
              <w:jc w:val="left"/>
            </w:pPr>
            <w:r>
              <w:t xml:space="preserve">4</w:t>
            </w:r>
          </w:p>
        </w:tc>
        <w:tc>
          <w:tcPr>
            <w:tcW w:w="1386" w:type="dxa"/>
          </w:tcPr>
          <w:p>
            <w:pPr>
              <w:pStyle w:val="TableText"/>
              <w:jc w:val="left"/>
            </w:pPr>
            <w:r>
              <w:rPr>
                <w:b/>
                <w:bCs/>
              </w:rPr>
              <w:t xml:space="preserve">The limits law</w:t>
            </w:r>
          </w:p>
        </w:tc>
        <w:tc>
          <w:tcPr>
            <w:tcW w:w="5373" w:type="dxa"/>
          </w:tcPr>
          <w:p>
            <w:pPr>
              <w:pStyle w:val="TableText"/>
              <w:jc w:val="left"/>
            </w:pPr>
            <w:r>
              <w:t xml:space="preserve">Every reinforcing loop has a balancing loop waiting</w:t>
            </w:r>
          </w:p>
        </w:tc>
        <w:tc>
          <w:tcPr>
            <w:tcW w:w="2169" w:type="dxa"/>
          </w:tcPr>
          <w:p>
            <w:pPr>
              <w:pStyle w:val="TableText"/>
              <w:jc w:val="left"/>
            </w:pPr>
            <w:r>
              <w:t xml:space="preserve">Part II, archetypes</w:t>
            </w:r>
          </w:p>
        </w:tc>
      </w:tr>
      <w:tr>
        <w:trPr>
          <w:cantSplit/>
        </w:trPr>
        <w:tc>
          <w:tcPr>
            <w:tcW w:w="432" w:type="dxa"/>
          </w:tcPr>
          <w:p>
            <w:pPr>
              <w:pStyle w:val="TableText"/>
              <w:jc w:val="left"/>
            </w:pPr>
            <w:r>
              <w:t xml:space="preserve">5</w:t>
            </w:r>
          </w:p>
        </w:tc>
        <w:tc>
          <w:tcPr>
            <w:tcW w:w="1386" w:type="dxa"/>
          </w:tcPr>
          <w:p>
            <w:pPr>
              <w:pStyle w:val="TableText"/>
              <w:jc w:val="left"/>
            </w:pPr>
            <w:r>
              <w:rPr>
                <w:b/>
                <w:bCs/>
              </w:rPr>
              <w:t xml:space="preserve">The Polanyi law</w:t>
            </w:r>
          </w:p>
        </w:tc>
        <w:tc>
          <w:tcPr>
            <w:tcW w:w="5373" w:type="dxa"/>
          </w:tcPr>
          <w:p>
            <w:pPr>
              <w:pStyle w:val="TableText"/>
              <w:jc w:val="left"/>
            </w:pPr>
            <w:r>
              <w:t xml:space="preserve">What you commodify, society will one day protect</w:t>
            </w:r>
          </w:p>
        </w:tc>
        <w:tc>
          <w:tcPr>
            <w:tcW w:w="2169" w:type="dxa"/>
          </w:tcPr>
          <w:p>
            <w:pPr>
              <w:pStyle w:val="TableText"/>
              <w:jc w:val="left"/>
            </w:pPr>
            <w:r>
              <w:t xml:space="preserve">Part III</w:t>
            </w:r>
          </w:p>
        </w:tc>
      </w:tr>
      <w:tr>
        <w:trPr>
          <w:cantSplit/>
        </w:trPr>
        <w:tc>
          <w:tcPr>
            <w:tcW w:w="432" w:type="dxa"/>
          </w:tcPr>
          <w:p>
            <w:pPr>
              <w:pStyle w:val="TableText"/>
              <w:jc w:val="left"/>
            </w:pPr>
            <w:r>
              <w:t xml:space="preserve">6</w:t>
            </w:r>
          </w:p>
        </w:tc>
        <w:tc>
          <w:tcPr>
            <w:tcW w:w="1386" w:type="dxa"/>
          </w:tcPr>
          <w:p>
            <w:pPr>
              <w:pStyle w:val="TableText"/>
              <w:jc w:val="left"/>
            </w:pPr>
            <w:r>
              <w:rPr>
                <w:b/>
                <w:bCs/>
              </w:rPr>
              <w:t xml:space="preserve">The leverage law</w:t>
            </w:r>
          </w:p>
        </w:tc>
        <w:tc>
          <w:tcPr>
            <w:tcW w:w="5373" w:type="dxa"/>
          </w:tcPr>
          <w:p>
            <w:pPr>
              <w:pStyle w:val="TableText"/>
              <w:jc w:val="left"/>
            </w:pPr>
            <w:r>
              <w:t xml:space="preserve">Prices are low leverage; information, rules, goals and paradigms are high leverage</w:t>
            </w:r>
          </w:p>
        </w:tc>
        <w:tc>
          <w:tcPr>
            <w:tcW w:w="2169" w:type="dxa"/>
          </w:tcPr>
          <w:p>
            <w:pPr>
              <w:pStyle w:val="TableText"/>
              <w:jc w:val="left"/>
            </w:pPr>
            <w:r>
              <w:t xml:space="preserve">Part II, Meadows</w:t>
            </w:r>
          </w:p>
        </w:tc>
      </w:tr>
      <w:tr>
        <w:trPr>
          <w:cantSplit/>
        </w:trPr>
        <w:tc>
          <w:tcPr>
            <w:tcW w:w="432" w:type="dxa"/>
          </w:tcPr>
          <w:p>
            <w:pPr>
              <w:pStyle w:val="TableText"/>
              <w:jc w:val="left"/>
            </w:pPr>
            <w:r>
              <w:t xml:space="preserve">7</w:t>
            </w:r>
          </w:p>
        </w:tc>
        <w:tc>
          <w:tcPr>
            <w:tcW w:w="1386" w:type="dxa"/>
          </w:tcPr>
          <w:p>
            <w:pPr>
              <w:pStyle w:val="TableText"/>
              <w:jc w:val="left"/>
            </w:pPr>
            <w:r>
              <w:rPr>
                <w:b/>
                <w:bCs/>
              </w:rPr>
              <w:t xml:space="preserve">The variety law</w:t>
            </w:r>
          </w:p>
        </w:tc>
        <w:tc>
          <w:tcPr>
            <w:tcW w:w="5373" w:type="dxa"/>
          </w:tcPr>
          <w:p>
            <w:pPr>
              <w:pStyle w:val="TableText"/>
              <w:jc w:val="left"/>
            </w:pPr>
            <w:r>
              <w:t xml:space="preserve">Disruption happens where incumbents’ variety is lower than their environment’s</w:t>
            </w:r>
          </w:p>
        </w:tc>
        <w:tc>
          <w:tcPr>
            <w:tcW w:w="2169" w:type="dxa"/>
          </w:tcPr>
          <w:p>
            <w:pPr>
              <w:pStyle w:val="TableText"/>
              <w:jc w:val="left"/>
            </w:pPr>
            <w:r>
              <w:t xml:space="preserve">Part II, Ashby</w:t>
            </w:r>
          </w:p>
        </w:tc>
      </w:tr>
      <w:tr>
        <w:trPr>
          <w:cantSplit/>
        </w:trPr>
        <w:tc>
          <w:tcPr>
            <w:tcW w:w="432" w:type="dxa"/>
          </w:tcPr>
          <w:p>
            <w:pPr>
              <w:pStyle w:val="TableText"/>
              <w:jc w:val="left"/>
            </w:pPr>
            <w:r>
              <w:t xml:space="preserve">8</w:t>
            </w:r>
          </w:p>
        </w:tc>
        <w:tc>
          <w:tcPr>
            <w:tcW w:w="1386" w:type="dxa"/>
          </w:tcPr>
          <w:p>
            <w:pPr>
              <w:pStyle w:val="TableText"/>
              <w:jc w:val="left"/>
            </w:pPr>
            <w:r>
              <w:rPr>
                <w:b/>
                <w:bCs/>
              </w:rPr>
              <w:t xml:space="preserve">The release law</w:t>
            </w:r>
          </w:p>
        </w:tc>
        <w:tc>
          <w:tcPr>
            <w:tcW w:w="5373" w:type="dxa"/>
          </w:tcPr>
          <w:p>
            <w:pPr>
              <w:pStyle w:val="TableText"/>
              <w:jc w:val="left"/>
            </w:pPr>
            <w:r>
              <w:t xml:space="preserve">The founding structure of every successful platform is eventually released</w:t>
            </w:r>
          </w:p>
        </w:tc>
        <w:tc>
          <w:tcPr>
            <w:tcW w:w="2169" w:type="dxa"/>
          </w:tcPr>
          <w:p>
            <w:pPr>
              <w:pStyle w:val="TableText"/>
              <w:jc w:val="left"/>
            </w:pPr>
            <w:r>
              <w:t xml:space="preserve">Part IV, adaptive cycle</w:t>
            </w:r>
          </w:p>
        </w:tc>
      </w:tr>
      <w:tr>
        <w:trPr>
          <w:cantSplit/>
        </w:trPr>
        <w:tc>
          <w:tcPr>
            <w:tcW w:w="432" w:type="dxa"/>
          </w:tcPr>
          <w:p>
            <w:pPr>
              <w:pStyle w:val="TableText"/>
              <w:jc w:val="left"/>
            </w:pPr>
            <w:r>
              <w:t xml:space="preserve">9</w:t>
            </w:r>
          </w:p>
        </w:tc>
        <w:tc>
          <w:tcPr>
            <w:tcW w:w="1386" w:type="dxa"/>
          </w:tcPr>
          <w:p>
            <w:pPr>
              <w:pStyle w:val="TableText"/>
              <w:jc w:val="left"/>
            </w:pPr>
            <w:r>
              <w:rPr>
                <w:b/>
                <w:bCs/>
              </w:rPr>
              <w:t xml:space="preserve">The automation flip</w:t>
            </w:r>
          </w:p>
        </w:tc>
        <w:tc>
          <w:tcPr>
            <w:tcW w:w="5373" w:type="dxa"/>
          </w:tcPr>
          <w:p>
            <w:pPr>
              <w:pStyle w:val="TableText"/>
              <w:jc w:val="left"/>
            </w:pPr>
            <w:r>
              <w:t xml:space="preserve">When labour becomes software, the game becomes capital utilization, and ownership decides who wins</w:t>
            </w:r>
          </w:p>
        </w:tc>
        <w:tc>
          <w:tcPr>
            <w:tcW w:w="2169" w:type="dxa"/>
          </w:tcPr>
          <w:p>
            <w:pPr>
              <w:pStyle w:val="TableText"/>
              <w:jc w:val="left"/>
            </w:pPr>
            <w:r>
              <w:t xml:space="preserve">Parts IV, VII (CommonFleet)</w:t>
            </w:r>
          </w:p>
        </w:tc>
      </w:tr>
      <w:tr>
        <w:trPr>
          <w:cantSplit/>
        </w:trPr>
        <w:tc>
          <w:tcPr>
            <w:tcW w:w="432" w:type="dxa"/>
          </w:tcPr>
          <w:p>
            <w:pPr>
              <w:pStyle w:val="TableText"/>
              <w:jc w:val="left"/>
            </w:pPr>
            <w:r>
              <w:t xml:space="preserve">10</w:t>
            </w:r>
          </w:p>
        </w:tc>
        <w:tc>
          <w:tcPr>
            <w:tcW w:w="1386" w:type="dxa"/>
          </w:tcPr>
          <w:p>
            <w:pPr>
              <w:pStyle w:val="TableText"/>
              <w:jc w:val="left"/>
            </w:pPr>
            <w:r>
              <w:rPr>
                <w:b/>
                <w:bCs/>
              </w:rPr>
              <w:t xml:space="preserve">The agent law</w:t>
            </w:r>
          </w:p>
        </w:tc>
        <w:tc>
          <w:tcPr>
            <w:tcW w:w="5373" w:type="dxa"/>
          </w:tcPr>
          <w:p>
            <w:pPr>
              <w:pStyle w:val="TableText"/>
              <w:jc w:val="left"/>
            </w:pPr>
            <w:r>
              <w:t xml:space="preserve">AI agents will become users; whoever holds verifiable trust holds power</w:t>
            </w:r>
          </w:p>
        </w:tc>
        <w:tc>
          <w:tcPr>
            <w:tcW w:w="2169" w:type="dxa"/>
          </w:tcPr>
          <w:p>
            <w:pPr>
              <w:pStyle w:val="TableText"/>
              <w:jc w:val="left"/>
            </w:pPr>
            <w:r>
              <w:t xml:space="preserve">Part IV</w:t>
            </w:r>
          </w:p>
        </w:tc>
      </w:tr>
      <w:tr>
        <w:trPr>
          <w:cantSplit/>
        </w:trPr>
        <w:tc>
          <w:tcPr>
            <w:tcW w:w="432" w:type="dxa"/>
          </w:tcPr>
          <w:p>
            <w:pPr>
              <w:pStyle w:val="TableText"/>
              <w:jc w:val="left"/>
            </w:pPr>
            <w:r>
              <w:t xml:space="preserve">11</w:t>
            </w:r>
          </w:p>
        </w:tc>
        <w:tc>
          <w:tcPr>
            <w:tcW w:w="1386" w:type="dxa"/>
          </w:tcPr>
          <w:p>
            <w:pPr>
              <w:pStyle w:val="TableText"/>
              <w:jc w:val="left"/>
            </w:pPr>
            <w:r>
              <w:rPr>
                <w:b/>
                <w:bCs/>
              </w:rPr>
              <w:t xml:space="preserve">The leakage law</w:t>
            </w:r>
          </w:p>
        </w:tc>
        <w:tc>
          <w:tcPr>
            <w:tcW w:w="5373" w:type="dxa"/>
          </w:tcPr>
          <w:p>
            <w:pPr>
              <w:pStyle w:val="TableText"/>
              <w:jc w:val="left"/>
            </w:pPr>
            <w:r>
              <w:t xml:space="preserve">Recurring relationships leak off-platform unless the platform keeps adding value</w:t>
            </w:r>
          </w:p>
        </w:tc>
        <w:tc>
          <w:tcPr>
            <w:tcW w:w="2169" w:type="dxa"/>
          </w:tcPr>
          <w:p>
            <w:pPr>
              <w:pStyle w:val="TableText"/>
              <w:jc w:val="left"/>
            </w:pPr>
            <w:r>
              <w:t xml:space="preserve">Part VI, failed</w:t>
            </w:r>
            <w:r>
              <w:t xml:space="preserve"> </w:t>
            </w:r>
            <w:r>
              <w:t xml:space="preserve">“</w:t>
            </w:r>
            <w:r>
              <w:t xml:space="preserve">Uber for X</w:t>
            </w:r>
            <w:r>
              <w:t xml:space="preserve">”</w:t>
            </w:r>
            <w:r>
              <w:t xml:space="preserve"> </w:t>
            </w:r>
            <w:r>
              <w:t xml:space="preserve">startups</w:t>
            </w:r>
          </w:p>
        </w:tc>
      </w:tr>
      <w:tr>
        <w:trPr>
          <w:cantSplit/>
        </w:trPr>
        <w:tc>
          <w:tcPr>
            <w:tcW w:w="432" w:type="dxa"/>
          </w:tcPr>
          <w:p>
            <w:pPr>
              <w:pStyle w:val="TableText"/>
              <w:jc w:val="left"/>
            </w:pPr>
            <w:r>
              <w:t xml:space="preserve">12</w:t>
            </w:r>
          </w:p>
        </w:tc>
        <w:tc>
          <w:tcPr>
            <w:tcW w:w="1386" w:type="dxa"/>
          </w:tcPr>
          <w:p>
            <w:pPr>
              <w:pStyle w:val="TableText"/>
              <w:jc w:val="left"/>
            </w:pPr>
            <w:r>
              <w:rPr>
                <w:b/>
                <w:bCs/>
              </w:rPr>
              <w:t xml:space="preserve">The golden-age law</w:t>
            </w:r>
          </w:p>
        </w:tc>
        <w:tc>
          <w:tcPr>
            <w:tcW w:w="5373" w:type="dxa"/>
          </w:tcPr>
          <w:p>
            <w:pPr>
              <w:pStyle w:val="TableText"/>
              <w:jc w:val="left"/>
            </w:pPr>
            <w:r>
              <w:t xml:space="preserve">Broad prosperity from a technology arrives only with an institutional settlement</w:t>
            </w:r>
          </w:p>
        </w:tc>
        <w:tc>
          <w:tcPr>
            <w:tcW w:w="2169" w:type="dxa"/>
          </w:tcPr>
          <w:p>
            <w:pPr>
              <w:pStyle w:val="TableText"/>
              <w:jc w:val="left"/>
            </w:pPr>
            <w:r>
              <w:t xml:space="preserve">Part IV, Perez</w:t>
            </w:r>
          </w:p>
        </w:tc>
      </w:tr>
    </w:tbl>
    <w:bookmarkEnd w:id="23"/>
    <w:bookmarkStart w:id="24" w:name="what-the-benchmarks-cannot-tell-us"/>
    <w:p>
      <w:pPr>
        <w:pStyle w:val="Heading2"/>
      </w:pPr>
      <w:r>
        <w:t xml:space="preserve">1.3 What the benchmarks cannot tell us</w:t>
      </w:r>
    </w:p>
    <w:p>
      <w:pPr>
        <w:pStyle w:val="FirstParagraph"/>
      </w:pPr>
      <w:r>
        <w:t xml:space="preserve">Benchmarks describe the past. Uber and Airbnb were optimized for the</w:t>
      </w:r>
      <w:r>
        <w:t xml:space="preserve"> </w:t>
      </w:r>
      <w:r>
        <w:rPr>
          <w:b/>
          <w:bCs/>
        </w:rPr>
        <w:t xml:space="preserve">2008 stack</w:t>
      </w:r>
      <w:r>
        <w:t xml:space="preserve">: smartphones, GPS, cloud, social identity, cheap capital and recession slack. Five features of 2030–2050 are outside their experience:</w:t>
      </w:r>
    </w:p>
    <w:p>
      <w:pPr>
        <w:pStyle w:val="Compact"/>
        <w:numPr>
          <w:ilvl w:val="0"/>
          <w:numId w:val="1004"/>
        </w:numPr>
      </w:pPr>
      <w:r>
        <w:rPr>
          <w:b/>
          <w:bCs/>
        </w:rPr>
        <w:t xml:space="preserve">Non-human economic actors.</w:t>
      </w:r>
      <w:r>
        <w:t xml:space="preserve"> </w:t>
      </w:r>
      <w:r>
        <w:t xml:space="preserve">AI agents will buy and sell; robots will supply labour. Neither company was designed for that, though both are adapting.</w:t>
      </w:r>
    </w:p>
    <w:p>
      <w:pPr>
        <w:pStyle w:val="Compact"/>
        <w:numPr>
          <w:ilvl w:val="0"/>
          <w:numId w:val="1004"/>
        </w:numPr>
      </w:pPr>
      <w:r>
        <w:rPr>
          <w:b/>
          <w:bCs/>
        </w:rPr>
        <w:t xml:space="preserve">Climate volatility as a constant.</w:t>
      </w:r>
      <w:r>
        <w:t xml:space="preserve"> </w:t>
      </w:r>
      <w:r>
        <w:t xml:space="preserve">Heat, flood and drought become operating conditions, not rare events.</w:t>
      </w:r>
    </w:p>
    <w:p>
      <w:pPr>
        <w:pStyle w:val="Compact"/>
        <w:numPr>
          <w:ilvl w:val="0"/>
          <w:numId w:val="1004"/>
        </w:numPr>
      </w:pPr>
      <w:r>
        <w:rPr>
          <w:b/>
          <w:bCs/>
        </w:rPr>
        <w:t xml:space="preserve">Material limits.</w:t>
      </w:r>
      <w:r>
        <w:t xml:space="preserve"> </w:t>
      </w:r>
      <w:r>
        <w:t xml:space="preserve">Batteries, minerals, water and land become constraints that markets must price and circulate.</w:t>
      </w:r>
    </w:p>
    <w:p>
      <w:pPr>
        <w:pStyle w:val="Compact"/>
        <w:numPr>
          <w:ilvl w:val="0"/>
          <w:numId w:val="1004"/>
        </w:numPr>
      </w:pPr>
      <w:r>
        <w:rPr>
          <w:b/>
          <w:bCs/>
        </w:rPr>
        <w:t xml:space="preserve">Sovereignty and fragmentation.</w:t>
      </w:r>
      <w:r>
        <w:t xml:space="preserve"> </w:t>
      </w:r>
      <w:r>
        <w:t xml:space="preserve">Data localization, digital public infrastructure and regional blocs replace a single global internet market.</w:t>
      </w:r>
    </w:p>
    <w:p>
      <w:pPr>
        <w:pStyle w:val="Compact"/>
        <w:numPr>
          <w:ilvl w:val="0"/>
          <w:numId w:val="1004"/>
        </w:numPr>
      </w:pPr>
      <w:r>
        <w:rPr>
          <w:b/>
          <w:bCs/>
        </w:rPr>
        <w:t xml:space="preserve">A crisis of verifiable truth.</w:t>
      </w:r>
      <w:r>
        <w:t xml:space="preserve"> </w:t>
      </w:r>
      <w:r>
        <w:t xml:space="preserve">Synthetic media and synthetic identities make</w:t>
      </w:r>
      <w:r>
        <w:t xml:space="preserve"> </w:t>
      </w:r>
      <w:r>
        <w:t xml:space="preserve">“</w:t>
      </w:r>
      <w:r>
        <w:t xml:space="preserve">seeing is believing</w:t>
      </w:r>
      <w:r>
        <w:t xml:space="preserve">”</w:t>
      </w:r>
      <w:r>
        <w:t xml:space="preserve"> </w:t>
      </w:r>
      <w:r>
        <w:t xml:space="preserve">obsolete.</w:t>
      </w:r>
    </w:p>
    <w:p>
      <w:pPr>
        <w:pStyle w:val="FirstParagraph"/>
      </w:pPr>
      <w:r>
        <w:t xml:space="preserve">So Volume II keeps Volume I’s Decagon as the</w:t>
      </w:r>
      <w:r>
        <w:t xml:space="preserve"> </w:t>
      </w:r>
      <w:r>
        <w:rPr>
          <w:i/>
          <w:iCs/>
        </w:rPr>
        <w:t xml:space="preserve">inner</w:t>
      </w:r>
      <w:r>
        <w:t xml:space="preserve"> </w:t>
      </w:r>
      <w:r>
        <w:t xml:space="preserve">ring of assessment and adds an</w:t>
      </w:r>
      <w:r>
        <w:t xml:space="preserve"> </w:t>
      </w:r>
      <w:r>
        <w:rPr>
          <w:i/>
          <w:iCs/>
        </w:rPr>
        <w:t xml:space="preserve">outer</w:t>
      </w:r>
      <w:r>
        <w:t xml:space="preserve"> </w:t>
      </w:r>
      <w:r>
        <w:t xml:space="preserve">ring of future-fitness tests (Part 3).</w:t>
      </w:r>
    </w:p>
    <w:bookmarkEnd w:id="24"/>
    <w:bookmarkEnd w:id="25"/>
    <w:bookmarkStart w:id="28" w:name="part-2-the-future-landscape-20302050"/>
    <w:p>
      <w:pPr>
        <w:pStyle w:val="Heading1"/>
      </w:pPr>
      <w:r>
        <w:t xml:space="preserve">Part 2: The Future Landscape, 2030–2050</w:t>
      </w:r>
    </w:p>
    <w:bookmarkStart w:id="26" w:name="ten-shifts"/>
    <w:p>
      <w:pPr>
        <w:pStyle w:val="Heading2"/>
      </w:pPr>
      <w:r>
        <w:t xml:space="preserve">2.1 Ten shifts</w:t>
      </w:r>
    </w:p>
    <w:tbl>
      <w:tblPr>
        <w:tblStyle w:val="Table"/>
        <w:tblW w:w="9360" w:type="dxa"/>
        <w:jc w:val="left"/>
        <w:tblLayout w:type="fixed"/>
        <w:tblLook w:firstRow="1" w:lastRow="0" w:firstColumn="0" w:lastColumn="0" w:noHBand="0" w:noVBand="0" w:val="0020"/>
      </w:tblPr>
      <w:tblGrid>
        <w:gridCol w:w="440"/>
        <w:gridCol w:w="2119"/>
        <w:gridCol w:w="2649"/>
        <w:gridCol w:w="4152"/>
      </w:tblGrid>
      <w:tr>
        <w:trPr>
          <w:cantSplit/>
          <w:tblHeader w:val="true"/>
        </w:trPr>
        <w:tc>
          <w:tcPr>
            <w:tcW w:w="440" w:type="dxa"/>
          </w:tcPr>
          <w:p>
            <w:pPr>
              <w:pStyle w:val="TableText"/>
              <w:jc w:val="left"/>
            </w:pPr>
            <w:r>
              <w:t xml:space="preserve">#</w:t>
            </w:r>
          </w:p>
        </w:tc>
        <w:tc>
          <w:tcPr>
            <w:tcW w:w="2119" w:type="dxa"/>
          </w:tcPr>
          <w:p>
            <w:pPr>
              <w:pStyle w:val="TableText"/>
              <w:jc w:val="left"/>
            </w:pPr>
            <w:r>
              <w:t xml:space="preserve">From (platform era, 2008–2025)</w:t>
            </w:r>
          </w:p>
        </w:tc>
        <w:tc>
          <w:tcPr>
            <w:tcW w:w="2649" w:type="dxa"/>
          </w:tcPr>
          <w:p>
            <w:pPr>
              <w:pStyle w:val="TableText"/>
              <w:jc w:val="left"/>
            </w:pPr>
            <w:r>
              <w:t xml:space="preserve">To (stewardship era, 2030–2050)</w:t>
            </w:r>
          </w:p>
        </w:tc>
        <w:tc>
          <w:tcPr>
            <w:tcW w:w="4152" w:type="dxa"/>
          </w:tcPr>
          <w:p>
            <w:pPr>
              <w:pStyle w:val="TableText"/>
              <w:jc w:val="left"/>
            </w:pPr>
            <w:r>
              <w:t xml:space="preserve">Implication for founders</w:t>
            </w:r>
          </w:p>
        </w:tc>
      </w:tr>
      <w:tr>
        <w:trPr>
          <w:cantSplit/>
        </w:trPr>
        <w:tc>
          <w:tcPr>
            <w:tcW w:w="440" w:type="dxa"/>
          </w:tcPr>
          <w:p>
            <w:pPr>
              <w:pStyle w:val="TableText"/>
              <w:jc w:val="left"/>
            </w:pPr>
            <w:r>
              <w:t xml:space="preserve">1</w:t>
            </w:r>
          </w:p>
        </w:tc>
        <w:tc>
          <w:tcPr>
            <w:tcW w:w="2119" w:type="dxa"/>
          </w:tcPr>
          <w:p>
            <w:pPr>
              <w:pStyle w:val="TableText"/>
              <w:jc w:val="left"/>
            </w:pPr>
            <w:r>
              <w:t xml:space="preserve">Human users with apps</w:t>
            </w:r>
          </w:p>
        </w:tc>
        <w:tc>
          <w:tcPr>
            <w:tcW w:w="2649" w:type="dxa"/>
          </w:tcPr>
          <w:p>
            <w:pPr>
              <w:pStyle w:val="TableText"/>
              <w:jc w:val="left"/>
            </w:pPr>
            <w:r>
              <w:rPr>
                <w:b/>
                <w:bCs/>
              </w:rPr>
              <w:t xml:space="preserve">AI agents and robots as economic actors</w:t>
            </w:r>
          </w:p>
        </w:tc>
        <w:tc>
          <w:tcPr>
            <w:tcW w:w="4152" w:type="dxa"/>
          </w:tcPr>
          <w:p>
            <w:pPr>
              <w:pStyle w:val="TableText"/>
              <w:jc w:val="left"/>
            </w:pPr>
            <w:r>
              <w:t xml:space="preserve">Design for agents as buyers and robots as suppliers</w:t>
            </w:r>
          </w:p>
        </w:tc>
      </w:tr>
      <w:tr>
        <w:trPr>
          <w:cantSplit/>
        </w:trPr>
        <w:tc>
          <w:tcPr>
            <w:tcW w:w="440" w:type="dxa"/>
          </w:tcPr>
          <w:p>
            <w:pPr>
              <w:pStyle w:val="TableText"/>
              <w:jc w:val="left"/>
            </w:pPr>
            <w:r>
              <w:t xml:space="preserve">2</w:t>
            </w:r>
          </w:p>
        </w:tc>
        <w:tc>
          <w:tcPr>
            <w:tcW w:w="2119" w:type="dxa"/>
          </w:tcPr>
          <w:p>
            <w:pPr>
              <w:pStyle w:val="TableText"/>
              <w:jc w:val="left"/>
            </w:pPr>
            <w:r>
              <w:t xml:space="preserve">Labour scarcity met by gig work</w:t>
            </w:r>
          </w:p>
        </w:tc>
        <w:tc>
          <w:tcPr>
            <w:tcW w:w="2649" w:type="dxa"/>
          </w:tcPr>
          <w:p>
            <w:pPr>
              <w:pStyle w:val="TableText"/>
              <w:jc w:val="left"/>
            </w:pPr>
            <w:r>
              <w:rPr>
                <w:b/>
                <w:bCs/>
              </w:rPr>
              <w:t xml:space="preserve">Automation in the North, youth bulge in the South</w:t>
            </w:r>
          </w:p>
        </w:tc>
        <w:tc>
          <w:tcPr>
            <w:tcW w:w="4152" w:type="dxa"/>
          </w:tcPr>
          <w:p>
            <w:pPr>
              <w:pStyle w:val="TableText"/>
              <w:jc w:val="left"/>
            </w:pPr>
            <w:r>
              <w:t xml:space="preserve">Connect the world’s youngest workforce to the world’s machines</w:t>
            </w:r>
          </w:p>
        </w:tc>
      </w:tr>
      <w:tr>
        <w:trPr>
          <w:cantSplit/>
        </w:trPr>
        <w:tc>
          <w:tcPr>
            <w:tcW w:w="440" w:type="dxa"/>
          </w:tcPr>
          <w:p>
            <w:pPr>
              <w:pStyle w:val="TableText"/>
              <w:jc w:val="left"/>
            </w:pPr>
            <w:r>
              <w:t xml:space="preserve">3</w:t>
            </w:r>
          </w:p>
        </w:tc>
        <w:tc>
          <w:tcPr>
            <w:tcW w:w="2119" w:type="dxa"/>
          </w:tcPr>
          <w:p>
            <w:pPr>
              <w:pStyle w:val="TableText"/>
              <w:jc w:val="left"/>
            </w:pPr>
            <w:r>
              <w:t xml:space="preserve">Access over ownership</w:t>
            </w:r>
          </w:p>
        </w:tc>
        <w:tc>
          <w:tcPr>
            <w:tcW w:w="2649" w:type="dxa"/>
          </w:tcPr>
          <w:p>
            <w:pPr>
              <w:pStyle w:val="TableText"/>
              <w:jc w:val="left"/>
            </w:pPr>
            <w:r>
              <w:rPr>
                <w:b/>
                <w:bCs/>
              </w:rPr>
              <w:t xml:space="preserve">Stewardship with ownership</w:t>
            </w:r>
          </w:p>
        </w:tc>
        <w:tc>
          <w:tcPr>
            <w:tcW w:w="4152" w:type="dxa"/>
          </w:tcPr>
          <w:p>
            <w:pPr>
              <w:pStyle w:val="TableText"/>
              <w:jc w:val="left"/>
            </w:pPr>
            <w:r>
              <w:t xml:space="preserve">Share upside; build ownership pathways</w:t>
            </w:r>
          </w:p>
        </w:tc>
      </w:tr>
      <w:tr>
        <w:trPr>
          <w:cantSplit/>
        </w:trPr>
        <w:tc>
          <w:tcPr>
            <w:tcW w:w="440" w:type="dxa"/>
          </w:tcPr>
          <w:p>
            <w:pPr>
              <w:pStyle w:val="TableText"/>
              <w:jc w:val="left"/>
            </w:pPr>
            <w:r>
              <w:t xml:space="preserve">4</w:t>
            </w:r>
          </w:p>
        </w:tc>
        <w:tc>
          <w:tcPr>
            <w:tcW w:w="2119" w:type="dxa"/>
          </w:tcPr>
          <w:p>
            <w:pPr>
              <w:pStyle w:val="TableText"/>
              <w:jc w:val="left"/>
            </w:pPr>
            <w:r>
              <w:t xml:space="preserve">Global platforms</w:t>
            </w:r>
          </w:p>
        </w:tc>
        <w:tc>
          <w:tcPr>
            <w:tcW w:w="2649" w:type="dxa"/>
          </w:tcPr>
          <w:p>
            <w:pPr>
              <w:pStyle w:val="TableText"/>
              <w:jc w:val="left"/>
            </w:pPr>
            <w:r>
              <w:rPr>
                <w:b/>
                <w:bCs/>
              </w:rPr>
              <w:t xml:space="preserve">Sovereign, interoperable protocols</w:t>
            </w:r>
          </w:p>
        </w:tc>
        <w:tc>
          <w:tcPr>
            <w:tcW w:w="4152" w:type="dxa"/>
          </w:tcPr>
          <w:p>
            <w:pPr>
              <w:pStyle w:val="TableText"/>
              <w:jc w:val="left"/>
            </w:pPr>
            <w:r>
              <w:t xml:space="preserve">Work with digital public infrastructure and local rules</w:t>
            </w:r>
          </w:p>
        </w:tc>
      </w:tr>
      <w:tr>
        <w:trPr>
          <w:cantSplit/>
        </w:trPr>
        <w:tc>
          <w:tcPr>
            <w:tcW w:w="440" w:type="dxa"/>
          </w:tcPr>
          <w:p>
            <w:pPr>
              <w:pStyle w:val="TableText"/>
              <w:jc w:val="left"/>
            </w:pPr>
            <w:r>
              <w:t xml:space="preserve">5</w:t>
            </w:r>
          </w:p>
        </w:tc>
        <w:tc>
          <w:tcPr>
            <w:tcW w:w="2119" w:type="dxa"/>
          </w:tcPr>
          <w:p>
            <w:pPr>
              <w:pStyle w:val="TableText"/>
              <w:jc w:val="left"/>
            </w:pPr>
            <w:r>
              <w:t xml:space="preserve">Growth at any cost</w:t>
            </w:r>
          </w:p>
        </w:tc>
        <w:tc>
          <w:tcPr>
            <w:tcW w:w="2649" w:type="dxa"/>
          </w:tcPr>
          <w:p>
            <w:pPr>
              <w:pStyle w:val="TableText"/>
              <w:jc w:val="left"/>
            </w:pPr>
            <w:r>
              <w:rPr>
                <w:b/>
                <w:bCs/>
              </w:rPr>
              <w:t xml:space="preserve">Regeneration within planetary limits</w:t>
            </w:r>
          </w:p>
        </w:tc>
        <w:tc>
          <w:tcPr>
            <w:tcW w:w="4152" w:type="dxa"/>
          </w:tcPr>
          <w:p>
            <w:pPr>
              <w:pStyle w:val="TableText"/>
              <w:jc w:val="left"/>
            </w:pPr>
            <w:r>
              <w:t xml:space="preserve">Stay inside Raworth’s</w:t>
            </w:r>
            <w:r>
              <w:t xml:space="preserve"> </w:t>
            </w:r>
            <w:r>
              <w:t xml:space="preserve">“</w:t>
            </w:r>
            <w:r>
              <w:t xml:space="preserve">doughnut</w:t>
            </w:r>
            <w:r>
              <w:t xml:space="preserve">”</w:t>
            </w:r>
            <w:r>
              <w:t xml:space="preserve">: above the social foundation, below the ecological ceiling</w:t>
            </w:r>
          </w:p>
        </w:tc>
      </w:tr>
      <w:tr>
        <w:trPr>
          <w:cantSplit/>
        </w:trPr>
        <w:tc>
          <w:tcPr>
            <w:tcW w:w="440" w:type="dxa"/>
          </w:tcPr>
          <w:p>
            <w:pPr>
              <w:pStyle w:val="TableText"/>
              <w:jc w:val="left"/>
            </w:pPr>
            <w:r>
              <w:t xml:space="preserve">6</w:t>
            </w:r>
          </w:p>
        </w:tc>
        <w:tc>
          <w:tcPr>
            <w:tcW w:w="2119" w:type="dxa"/>
          </w:tcPr>
          <w:p>
            <w:pPr>
              <w:pStyle w:val="TableText"/>
              <w:jc w:val="left"/>
            </w:pPr>
            <w:r>
              <w:t xml:space="preserve">Information abundance</w:t>
            </w:r>
          </w:p>
        </w:tc>
        <w:tc>
          <w:tcPr>
            <w:tcW w:w="2649" w:type="dxa"/>
          </w:tcPr>
          <w:p>
            <w:pPr>
              <w:pStyle w:val="TableText"/>
              <w:jc w:val="left"/>
            </w:pPr>
            <w:r>
              <w:rPr>
                <w:b/>
                <w:bCs/>
              </w:rPr>
              <w:t xml:space="preserve">Verification scarcity</w:t>
            </w:r>
          </w:p>
        </w:tc>
        <w:tc>
          <w:tcPr>
            <w:tcW w:w="4152" w:type="dxa"/>
          </w:tcPr>
          <w:p>
            <w:pPr>
              <w:pStyle w:val="TableText"/>
              <w:jc w:val="left"/>
            </w:pPr>
            <w:r>
              <w:t xml:space="preserve">Sell verified truth, not attention</w:t>
            </w:r>
          </w:p>
        </w:tc>
      </w:tr>
      <w:tr>
        <w:trPr>
          <w:cantSplit/>
        </w:trPr>
        <w:tc>
          <w:tcPr>
            <w:tcW w:w="440" w:type="dxa"/>
          </w:tcPr>
          <w:p>
            <w:pPr>
              <w:pStyle w:val="TableText"/>
              <w:jc w:val="left"/>
            </w:pPr>
            <w:r>
              <w:t xml:space="preserve">7</w:t>
            </w:r>
          </w:p>
        </w:tc>
        <w:tc>
          <w:tcPr>
            <w:tcW w:w="2119" w:type="dxa"/>
          </w:tcPr>
          <w:p>
            <w:pPr>
              <w:pStyle w:val="TableText"/>
              <w:jc w:val="left"/>
            </w:pPr>
            <w:r>
              <w:t xml:space="preserve">Stable climate assumptions</w:t>
            </w:r>
          </w:p>
        </w:tc>
        <w:tc>
          <w:tcPr>
            <w:tcW w:w="2649" w:type="dxa"/>
          </w:tcPr>
          <w:p>
            <w:pPr>
              <w:pStyle w:val="TableText"/>
              <w:jc w:val="left"/>
            </w:pPr>
            <w:r>
              <w:rPr>
                <w:b/>
                <w:bCs/>
              </w:rPr>
              <w:t xml:space="preserve">The adaptation economy</w:t>
            </w:r>
          </w:p>
        </w:tc>
        <w:tc>
          <w:tcPr>
            <w:tcW w:w="4152" w:type="dxa"/>
          </w:tcPr>
          <w:p>
            <w:pPr>
              <w:pStyle w:val="TableText"/>
              <w:jc w:val="left"/>
            </w:pPr>
            <w:r>
              <w:t xml:space="preserve">Heat, water and disaster resilience become core markets</w:t>
            </w:r>
          </w:p>
        </w:tc>
      </w:tr>
      <w:tr>
        <w:trPr>
          <w:cantSplit/>
        </w:trPr>
        <w:tc>
          <w:tcPr>
            <w:tcW w:w="440" w:type="dxa"/>
          </w:tcPr>
          <w:p>
            <w:pPr>
              <w:pStyle w:val="TableText"/>
              <w:jc w:val="left"/>
            </w:pPr>
            <w:r>
              <w:t xml:space="preserve">8</w:t>
            </w:r>
          </w:p>
        </w:tc>
        <w:tc>
          <w:tcPr>
            <w:tcW w:w="2119" w:type="dxa"/>
          </w:tcPr>
          <w:p>
            <w:pPr>
              <w:pStyle w:val="TableText"/>
              <w:jc w:val="left"/>
            </w:pPr>
            <w:r>
              <w:t xml:space="preserve">Linear materials</w:t>
            </w:r>
          </w:p>
        </w:tc>
        <w:tc>
          <w:tcPr>
            <w:tcW w:w="2649" w:type="dxa"/>
          </w:tcPr>
          <w:p>
            <w:pPr>
              <w:pStyle w:val="TableText"/>
              <w:jc w:val="left"/>
            </w:pPr>
            <w:r>
              <w:rPr>
                <w:b/>
                <w:bCs/>
              </w:rPr>
              <w:t xml:space="preserve">Circular materials with digital passports</w:t>
            </w:r>
          </w:p>
        </w:tc>
        <w:tc>
          <w:tcPr>
            <w:tcW w:w="4152" w:type="dxa"/>
          </w:tcPr>
          <w:p>
            <w:pPr>
              <w:pStyle w:val="TableText"/>
              <w:jc w:val="left"/>
            </w:pPr>
            <w:r>
              <w:t xml:space="preserve">Every battery and part becomes traceable and reusable</w:t>
            </w:r>
          </w:p>
        </w:tc>
      </w:tr>
      <w:tr>
        <w:trPr>
          <w:cantSplit/>
        </w:trPr>
        <w:tc>
          <w:tcPr>
            <w:tcW w:w="440" w:type="dxa"/>
          </w:tcPr>
          <w:p>
            <w:pPr>
              <w:pStyle w:val="TableText"/>
              <w:jc w:val="left"/>
            </w:pPr>
            <w:r>
              <w:t xml:space="preserve">9</w:t>
            </w:r>
          </w:p>
        </w:tc>
        <w:tc>
          <w:tcPr>
            <w:tcW w:w="2119" w:type="dxa"/>
          </w:tcPr>
          <w:p>
            <w:pPr>
              <w:pStyle w:val="TableText"/>
              <w:jc w:val="left"/>
            </w:pPr>
            <w:r>
              <w:t xml:space="preserve">Ageing and youth as separate problems</w:t>
            </w:r>
          </w:p>
        </w:tc>
        <w:tc>
          <w:tcPr>
            <w:tcW w:w="2649" w:type="dxa"/>
          </w:tcPr>
          <w:p>
            <w:pPr>
              <w:pStyle w:val="TableText"/>
              <w:jc w:val="left"/>
            </w:pPr>
            <w:r>
              <w:rPr>
                <w:b/>
                <w:bCs/>
              </w:rPr>
              <w:t xml:space="preserve">Demographic complementarity</w:t>
            </w:r>
          </w:p>
        </w:tc>
        <w:tc>
          <w:tcPr>
            <w:tcW w:w="4152" w:type="dxa"/>
          </w:tcPr>
          <w:p>
            <w:pPr>
              <w:pStyle w:val="TableText"/>
              <w:jc w:val="left"/>
            </w:pPr>
            <w:r>
              <w:t xml:space="preserve">Pair ageing societies’ needs with young societies’ talent</w:t>
            </w:r>
          </w:p>
        </w:tc>
      </w:tr>
      <w:tr>
        <w:trPr>
          <w:cantSplit/>
        </w:trPr>
        <w:tc>
          <w:tcPr>
            <w:tcW w:w="440" w:type="dxa"/>
          </w:tcPr>
          <w:p>
            <w:pPr>
              <w:pStyle w:val="TableText"/>
              <w:jc w:val="left"/>
            </w:pPr>
            <w:r>
              <w:t xml:space="preserve">10</w:t>
            </w:r>
          </w:p>
        </w:tc>
        <w:tc>
          <w:tcPr>
            <w:tcW w:w="2119" w:type="dxa"/>
          </w:tcPr>
          <w:p>
            <w:pPr>
              <w:pStyle w:val="TableText"/>
              <w:jc w:val="left"/>
            </w:pPr>
            <w:r>
              <w:t xml:space="preserve">Centralized infrastructure</w:t>
            </w:r>
          </w:p>
        </w:tc>
        <w:tc>
          <w:tcPr>
            <w:tcW w:w="2649" w:type="dxa"/>
          </w:tcPr>
          <w:p>
            <w:pPr>
              <w:pStyle w:val="TableText"/>
              <w:jc w:val="left"/>
            </w:pPr>
            <w:r>
              <w:rPr>
                <w:b/>
                <w:bCs/>
              </w:rPr>
              <w:t xml:space="preserve">Distributed infrastructure</w:t>
            </w:r>
          </w:p>
        </w:tc>
        <w:tc>
          <w:tcPr>
            <w:tcW w:w="4152" w:type="dxa"/>
          </w:tcPr>
          <w:p>
            <w:pPr>
              <w:pStyle w:val="TableText"/>
              <w:jc w:val="left"/>
            </w:pPr>
            <w:r>
              <w:t xml:space="preserve">Energy, water, manufacturing and care move to the neighbourhood</w:t>
            </w:r>
          </w:p>
        </w:tc>
      </w:tr>
    </w:tbl>
    <w:bookmarkEnd w:id="26"/>
    <w:bookmarkStart w:id="27" w:name="the-future-problem-atlas"/>
    <w:p>
      <w:pPr>
        <w:pStyle w:val="Heading2"/>
      </w:pPr>
      <w:r>
        <w:t xml:space="preserve">2.2 The Future Problem Atlas</w:t>
      </w:r>
    </w:p>
    <w:p>
      <w:pPr>
        <w:pStyle w:val="FirstParagraph"/>
      </w:pPr>
      <w:r>
        <w:t xml:space="preserve">The Atlas lists twenty problems that are new, or are becoming much larger, in 2030–2050. They are grouped into the ten problem domains used by the Disruption Genome (Part 3). Volume I’s ventures address some of them; the Next Decagon addresses others.</w:t>
      </w:r>
    </w:p>
    <w:tbl>
      <w:tblPr>
        <w:tblStyle w:val="Table"/>
        <w:tblW w:w="9360" w:type="dxa"/>
        <w:jc w:val="left"/>
        <w:tblLayout w:type="fixed"/>
        <w:tblLook w:firstRow="1" w:lastRow="0" w:firstColumn="0" w:lastColumn="0" w:noHBand="0" w:noVBand="0" w:val="0020"/>
      </w:tblPr>
      <w:tblGrid>
        <w:gridCol w:w="1440"/>
        <w:gridCol w:w="1890"/>
        <w:gridCol w:w="2880"/>
        <w:gridCol w:w="1709"/>
        <w:gridCol w:w="1441"/>
      </w:tblGrid>
      <w:tr>
        <w:trPr>
          <w:cantSplit/>
          <w:tblHeader w:val="true"/>
        </w:trPr>
        <w:tc>
          <w:tcPr>
            <w:tcW w:w="1440" w:type="dxa"/>
          </w:tcPr>
          <w:p>
            <w:pPr>
              <w:pStyle w:val="TableText"/>
              <w:jc w:val="left"/>
            </w:pPr>
            <w:r>
              <w:t xml:space="preserve">Domain</w:t>
            </w:r>
          </w:p>
        </w:tc>
        <w:tc>
          <w:tcPr>
            <w:tcW w:w="1890" w:type="dxa"/>
          </w:tcPr>
          <w:p>
            <w:pPr>
              <w:pStyle w:val="TableText"/>
              <w:jc w:val="left"/>
            </w:pPr>
            <w:r>
              <w:t xml:space="preserve">Emerging problem</w:t>
            </w:r>
          </w:p>
        </w:tc>
        <w:tc>
          <w:tcPr>
            <w:tcW w:w="2880" w:type="dxa"/>
          </w:tcPr>
          <w:p>
            <w:pPr>
              <w:pStyle w:val="TableText"/>
              <w:jc w:val="left"/>
            </w:pPr>
            <w:r>
              <w:t xml:space="preserve">Evidence and signals</w:t>
            </w:r>
          </w:p>
        </w:tc>
        <w:tc>
          <w:tcPr>
            <w:tcW w:w="1709" w:type="dxa"/>
          </w:tcPr>
          <w:p>
            <w:pPr>
              <w:pStyle w:val="TableText"/>
              <w:jc w:val="left"/>
            </w:pPr>
            <w:r>
              <w:t xml:space="preserve">Latent capacity</w:t>
            </w:r>
          </w:p>
        </w:tc>
        <w:tc>
          <w:tcPr>
            <w:tcW w:w="1441" w:type="dxa"/>
          </w:tcPr>
          <w:p>
            <w:pPr>
              <w:pStyle w:val="TableText"/>
              <w:jc w:val="left"/>
            </w:pPr>
            <w:r>
              <w:t xml:space="preserve">Addressed by</w:t>
            </w:r>
          </w:p>
        </w:tc>
      </w:tr>
      <w:tr>
        <w:trPr>
          <w:cantSplit/>
        </w:trPr>
        <w:tc>
          <w:tcPr>
            <w:tcW w:w="1440" w:type="dxa"/>
          </w:tcPr>
          <w:p>
            <w:pPr>
              <w:pStyle w:val="TableText"/>
              <w:jc w:val="left"/>
            </w:pPr>
            <w:r>
              <w:rPr>
                <w:b/>
                <w:bCs/>
              </w:rPr>
              <w:t xml:space="preserve">D1 Intelligence and agency</w:t>
            </w:r>
          </w:p>
        </w:tc>
        <w:tc>
          <w:tcPr>
            <w:tcW w:w="1890" w:type="dxa"/>
          </w:tcPr>
          <w:p>
            <w:pPr>
              <w:pStyle w:val="TableText"/>
              <w:jc w:val="left"/>
            </w:pPr>
            <w:r>
              <w:t xml:space="preserve">Robots need human help at edge cases</w:t>
            </w:r>
          </w:p>
        </w:tc>
        <w:tc>
          <w:tcPr>
            <w:tcW w:w="2880" w:type="dxa"/>
          </w:tcPr>
          <w:p>
            <w:pPr>
              <w:pStyle w:val="TableText"/>
              <w:jc w:val="left"/>
            </w:pPr>
            <w:r>
              <w:t xml:space="preserve">About 4.66 million industrial robots operating in 2024 (IFR); home humanoids launching with remote human operators</w:t>
            </w:r>
          </w:p>
        </w:tc>
        <w:tc>
          <w:tcPr>
            <w:tcW w:w="1709" w:type="dxa"/>
          </w:tcPr>
          <w:p>
            <w:pPr>
              <w:pStyle w:val="TableText"/>
              <w:jc w:val="left"/>
            </w:pPr>
            <w:r>
              <w:t xml:space="preserve">Young, connected workforces; VR and low-latency networks</w:t>
            </w:r>
          </w:p>
        </w:tc>
        <w:tc>
          <w:tcPr>
            <w:tcW w:w="1441" w:type="dxa"/>
          </w:tcPr>
          <w:p>
            <w:pPr>
              <w:pStyle w:val="TableText"/>
              <w:jc w:val="left"/>
            </w:pPr>
            <w:r>
              <w:t xml:space="preserve">RemoteHands</w:t>
            </w:r>
          </w:p>
        </w:tc>
      </w:tr>
      <w:tr>
        <w:trPr>
          <w:cantSplit/>
        </w:trPr>
        <w:tc>
          <w:tcPr>
            <w:tcW w:w="1440" w:type="dxa"/>
          </w:tcPr>
          <w:p>
            <w:pPr>
              <w:pStyle w:val="TableText"/>
            </w:pPr>
          </w:p>
        </w:tc>
        <w:tc>
          <w:tcPr>
            <w:tcW w:w="1890" w:type="dxa"/>
          </w:tcPr>
          <w:p>
            <w:pPr>
              <w:pStyle w:val="TableText"/>
              <w:jc w:val="left"/>
            </w:pPr>
            <w:r>
              <w:t xml:space="preserve">Consumers’ agents face algorithmic pricing alone</w:t>
            </w:r>
          </w:p>
        </w:tc>
        <w:tc>
          <w:tcPr>
            <w:tcW w:w="2880" w:type="dxa"/>
          </w:tcPr>
          <w:p>
            <w:pPr>
              <w:pStyle w:val="TableText"/>
              <w:jc w:val="left"/>
            </w:pPr>
            <w:r>
              <w:t xml:space="preserve">AI agents could orchestrate $3–5 trillion of goods commerce by 2030 (McKinsey); US competition authorities have challenged algorithmic price-setting (e.g., the 2024 RealPage case)</w:t>
            </w:r>
          </w:p>
        </w:tc>
        <w:tc>
          <w:tcPr>
            <w:tcW w:w="1709" w:type="dxa"/>
          </w:tcPr>
          <w:p>
            <w:pPr>
              <w:pStyle w:val="TableText"/>
              <w:jc w:val="left"/>
            </w:pPr>
            <w:r>
              <w:t xml:space="preserve">Fragmented demand that could bargain collectively</w:t>
            </w:r>
          </w:p>
        </w:tc>
        <w:tc>
          <w:tcPr>
            <w:tcW w:w="1441" w:type="dxa"/>
          </w:tcPr>
          <w:p>
            <w:pPr>
              <w:pStyle w:val="TableText"/>
              <w:jc w:val="left"/>
            </w:pPr>
            <w:r>
              <w:t xml:space="preserve">AgentUnion</w:t>
            </w:r>
          </w:p>
        </w:tc>
      </w:tr>
      <w:tr>
        <w:trPr>
          <w:cantSplit/>
        </w:trPr>
        <w:tc>
          <w:tcPr>
            <w:tcW w:w="1440" w:type="dxa"/>
          </w:tcPr>
          <w:p>
            <w:pPr>
              <w:pStyle w:val="TableText"/>
            </w:pPr>
          </w:p>
        </w:tc>
        <w:tc>
          <w:tcPr>
            <w:tcW w:w="1890" w:type="dxa"/>
          </w:tcPr>
          <w:p>
            <w:pPr>
              <w:pStyle w:val="TableText"/>
              <w:jc w:val="left"/>
            </w:pPr>
            <w:r>
              <w:t xml:space="preserve">Agents act without accountability</w:t>
            </w:r>
          </w:p>
        </w:tc>
        <w:tc>
          <w:tcPr>
            <w:tcW w:w="2880" w:type="dxa"/>
          </w:tcPr>
          <w:p>
            <w:pPr>
              <w:pStyle w:val="TableText"/>
              <w:jc w:val="left"/>
            </w:pPr>
            <w:r>
              <w:t xml:space="preserve">Agent payment protocols launched 2025</w:t>
            </w:r>
          </w:p>
        </w:tc>
        <w:tc>
          <w:tcPr>
            <w:tcW w:w="1709" w:type="dxa"/>
          </w:tcPr>
          <w:p>
            <w:pPr>
              <w:pStyle w:val="TableText"/>
              <w:jc w:val="left"/>
            </w:pPr>
            <w:r>
              <w:t xml:space="preserve">Scattered trust signals</w:t>
            </w:r>
          </w:p>
        </w:tc>
        <w:tc>
          <w:tcPr>
            <w:tcW w:w="1441" w:type="dxa"/>
          </w:tcPr>
          <w:p>
            <w:pPr>
              <w:pStyle w:val="TableText"/>
              <w:jc w:val="left"/>
            </w:pPr>
            <w:r>
              <w:t xml:space="preserve">Covenant (Vol I)</w:t>
            </w:r>
          </w:p>
        </w:tc>
      </w:tr>
      <w:tr>
        <w:trPr>
          <w:cantSplit/>
        </w:trPr>
        <w:tc>
          <w:tcPr>
            <w:tcW w:w="1440" w:type="dxa"/>
          </w:tcPr>
          <w:p>
            <w:pPr>
              <w:pStyle w:val="TableText"/>
              <w:jc w:val="left"/>
            </w:pPr>
            <w:r>
              <w:rPr>
                <w:b/>
                <w:bCs/>
              </w:rPr>
              <w:t xml:space="preserve">D2 Work and livelihoods</w:t>
            </w:r>
          </w:p>
        </w:tc>
        <w:tc>
          <w:tcPr>
            <w:tcW w:w="1890" w:type="dxa"/>
          </w:tcPr>
          <w:p>
            <w:pPr>
              <w:pStyle w:val="TableText"/>
              <w:jc w:val="left"/>
            </w:pPr>
            <w:r>
              <w:t xml:space="preserve">The broken first career rung</w:t>
            </w:r>
          </w:p>
        </w:tc>
        <w:tc>
          <w:tcPr>
            <w:tcW w:w="2880" w:type="dxa"/>
          </w:tcPr>
          <w:p>
            <w:pPr>
              <w:pStyle w:val="TableText"/>
              <w:jc w:val="left"/>
            </w:pPr>
            <w:r>
              <w:t xml:space="preserve">Falling entry-level employment in AI-exposed jobs (Stanford, 2025)</w:t>
            </w:r>
          </w:p>
        </w:tc>
        <w:tc>
          <w:tcPr>
            <w:tcW w:w="1709" w:type="dxa"/>
          </w:tcPr>
          <w:p>
            <w:pPr>
              <w:pStyle w:val="TableText"/>
              <w:jc w:val="left"/>
            </w:pPr>
            <w:r>
              <w:t xml:space="preserve">Juniors, retired mentors, SME needs</w:t>
            </w:r>
          </w:p>
        </w:tc>
        <w:tc>
          <w:tcPr>
            <w:tcW w:w="1441" w:type="dxa"/>
          </w:tcPr>
          <w:p>
            <w:pPr>
              <w:pStyle w:val="TableText"/>
              <w:jc w:val="left"/>
            </w:pPr>
            <w:r>
              <w:t xml:space="preserve">Guildhall (Vol I)</w:t>
            </w:r>
          </w:p>
        </w:tc>
      </w:tr>
      <w:tr>
        <w:trPr>
          <w:cantSplit/>
        </w:trPr>
        <w:tc>
          <w:tcPr>
            <w:tcW w:w="1440" w:type="dxa"/>
          </w:tcPr>
          <w:p>
            <w:pPr>
              <w:pStyle w:val="TableText"/>
            </w:pPr>
          </w:p>
        </w:tc>
        <w:tc>
          <w:tcPr>
            <w:tcW w:w="1890" w:type="dxa"/>
          </w:tcPr>
          <w:p>
            <w:pPr>
              <w:pStyle w:val="TableText"/>
              <w:jc w:val="left"/>
            </w:pPr>
            <w:r>
              <w:t xml:space="preserve">Displacement by autonomy</w:t>
            </w:r>
          </w:p>
        </w:tc>
        <w:tc>
          <w:tcPr>
            <w:tcW w:w="2880" w:type="dxa"/>
          </w:tcPr>
          <w:p>
            <w:pPr>
              <w:pStyle w:val="TableText"/>
              <w:jc w:val="left"/>
            </w:pPr>
            <w:r>
              <w:t xml:space="preserve">Waymo ~500,000 paid rides a week (2026)</w:t>
            </w:r>
          </w:p>
        </w:tc>
        <w:tc>
          <w:tcPr>
            <w:tcW w:w="1709" w:type="dxa"/>
          </w:tcPr>
          <w:p>
            <w:pPr>
              <w:pStyle w:val="TableText"/>
              <w:jc w:val="left"/>
            </w:pPr>
            <w:r>
              <w:t xml:space="preserve">Drivers’ operational skills</w:t>
            </w:r>
          </w:p>
        </w:tc>
        <w:tc>
          <w:tcPr>
            <w:tcW w:w="1441" w:type="dxa"/>
          </w:tcPr>
          <w:p>
            <w:pPr>
              <w:pStyle w:val="TableText"/>
              <w:jc w:val="left"/>
            </w:pPr>
            <w:r>
              <w:t xml:space="preserve">CommonFleet (Vol I), RemoteHands</w:t>
            </w:r>
          </w:p>
        </w:tc>
      </w:tr>
      <w:tr>
        <w:trPr>
          <w:cantSplit/>
        </w:trPr>
        <w:tc>
          <w:tcPr>
            <w:tcW w:w="1440" w:type="dxa"/>
          </w:tcPr>
          <w:p>
            <w:pPr>
              <w:pStyle w:val="TableText"/>
              <w:jc w:val="left"/>
            </w:pPr>
            <w:r>
              <w:rPr>
                <w:b/>
                <w:bCs/>
              </w:rPr>
              <w:t xml:space="preserve">D3 Care, health and longevity</w:t>
            </w:r>
          </w:p>
        </w:tc>
        <w:tc>
          <w:tcPr>
            <w:tcW w:w="1890" w:type="dxa"/>
          </w:tcPr>
          <w:p>
            <w:pPr>
              <w:pStyle w:val="TableText"/>
              <w:jc w:val="left"/>
            </w:pPr>
            <w:r>
              <w:t xml:space="preserve">Care deficit of ageing societies</w:t>
            </w:r>
          </w:p>
        </w:tc>
        <w:tc>
          <w:tcPr>
            <w:tcW w:w="2880" w:type="dxa"/>
          </w:tcPr>
          <w:p>
            <w:pPr>
              <w:pStyle w:val="TableText"/>
              <w:jc w:val="left"/>
            </w:pPr>
            <w:r>
              <w:t xml:space="preserve">2.1 billion people aged 60+ by 2050 (WHO)</w:t>
            </w:r>
          </w:p>
        </w:tc>
        <w:tc>
          <w:tcPr>
            <w:tcW w:w="1709" w:type="dxa"/>
          </w:tcPr>
          <w:p>
            <w:pPr>
              <w:pStyle w:val="TableText"/>
              <w:jc w:val="left"/>
            </w:pPr>
            <w:r>
              <w:t xml:space="preserve">The</w:t>
            </w:r>
            <w:r>
              <w:t xml:space="preserve"> </w:t>
            </w:r>
            <w:r>
              <w:t xml:space="preserve">“</w:t>
            </w:r>
            <w:r>
              <w:t xml:space="preserve">young-old</w:t>
            </w:r>
            <w:r>
              <w:t xml:space="preserve">”</w:t>
            </w:r>
            <w:r>
              <w:t xml:space="preserve">; neighbours</w:t>
            </w:r>
          </w:p>
        </w:tc>
        <w:tc>
          <w:tcPr>
            <w:tcW w:w="1441" w:type="dxa"/>
          </w:tcPr>
          <w:p>
            <w:pPr>
              <w:pStyle w:val="TableText"/>
              <w:jc w:val="left"/>
            </w:pPr>
            <w:r>
              <w:t xml:space="preserve">KinGrid (Vol I)</w:t>
            </w:r>
          </w:p>
        </w:tc>
      </w:tr>
      <w:tr>
        <w:trPr>
          <w:cantSplit/>
        </w:trPr>
        <w:tc>
          <w:tcPr>
            <w:tcW w:w="1440" w:type="dxa"/>
          </w:tcPr>
          <w:p>
            <w:pPr>
              <w:pStyle w:val="TableText"/>
            </w:pPr>
          </w:p>
        </w:tc>
        <w:tc>
          <w:tcPr>
            <w:tcW w:w="1890" w:type="dxa"/>
          </w:tcPr>
          <w:p>
            <w:pPr>
              <w:pStyle w:val="TableText"/>
              <w:jc w:val="left"/>
            </w:pPr>
            <w:r>
              <w:t xml:space="preserve">Crisis capacity never ready</w:t>
            </w:r>
          </w:p>
        </w:tc>
        <w:tc>
          <w:tcPr>
            <w:tcW w:w="2880" w:type="dxa"/>
          </w:tcPr>
          <w:p>
            <w:pPr>
              <w:pStyle w:val="TableText"/>
              <w:jc w:val="left"/>
            </w:pPr>
            <w:r>
              <w:t xml:space="preserve">Antimicrobial resistance projected to cause 39 million deaths 2025–2050 (GRAM,</w:t>
            </w:r>
            <w:r>
              <w:t xml:space="preserve"> </w:t>
            </w:r>
            <w:r>
              <w:rPr>
                <w:i/>
                <w:iCs/>
              </w:rPr>
              <w:t xml:space="preserve">Lancet</w:t>
            </w:r>
            <w:r>
              <w:t xml:space="preserve">); WHO Pandemic Agreement adopted 2025</w:t>
            </w:r>
          </w:p>
        </w:tc>
        <w:tc>
          <w:tcPr>
            <w:tcW w:w="1709" w:type="dxa"/>
          </w:tcPr>
          <w:p>
            <w:pPr>
              <w:pStyle w:val="TableText"/>
              <w:jc w:val="left"/>
            </w:pPr>
            <w:r>
              <w:t xml:space="preserve">Idle labs, PCR machines, retired clinicians, rooms</w:t>
            </w:r>
          </w:p>
        </w:tc>
        <w:tc>
          <w:tcPr>
            <w:tcW w:w="1441" w:type="dxa"/>
          </w:tcPr>
          <w:p>
            <w:pPr>
              <w:pStyle w:val="TableText"/>
              <w:jc w:val="left"/>
            </w:pPr>
            <w:r>
              <w:t xml:space="preserve">SurgeNet</w:t>
            </w:r>
          </w:p>
        </w:tc>
      </w:tr>
      <w:tr>
        <w:trPr>
          <w:cantSplit/>
        </w:trPr>
        <w:tc>
          <w:tcPr>
            <w:tcW w:w="1440" w:type="dxa"/>
          </w:tcPr>
          <w:p>
            <w:pPr>
              <w:pStyle w:val="TableText"/>
              <w:jc w:val="left"/>
            </w:pPr>
            <w:r>
              <w:rPr>
                <w:b/>
                <w:bCs/>
              </w:rPr>
              <w:t xml:space="preserve">D4 Climate adaptation</w:t>
            </w:r>
          </w:p>
        </w:tc>
        <w:tc>
          <w:tcPr>
            <w:tcW w:w="1890" w:type="dxa"/>
          </w:tcPr>
          <w:p>
            <w:pPr>
              <w:pStyle w:val="TableText"/>
              <w:jc w:val="left"/>
            </w:pPr>
            <w:r>
              <w:t xml:space="preserve">Extreme heat</w:t>
            </w:r>
          </w:p>
        </w:tc>
        <w:tc>
          <w:tcPr>
            <w:tcW w:w="2880" w:type="dxa"/>
          </w:tcPr>
          <w:p>
            <w:pPr>
              <w:pStyle w:val="TableText"/>
              <w:jc w:val="left"/>
            </w:pPr>
            <w:r>
              <w:t xml:space="preserve">Heat-related deaths among over-65s up 167% in 2023 vs the 1990s (Lancet Countdown 2024); cooling energy demand could triple by 2050 (IEA)</w:t>
            </w:r>
          </w:p>
        </w:tc>
        <w:tc>
          <w:tcPr>
            <w:tcW w:w="1709" w:type="dxa"/>
          </w:tcPr>
          <w:p>
            <w:pPr>
              <w:pStyle w:val="TableText"/>
              <w:jc w:val="left"/>
            </w:pPr>
            <w:r>
              <w:t xml:space="preserve">Idle cool spaces; efficient cooling equipment</w:t>
            </w:r>
          </w:p>
        </w:tc>
        <w:tc>
          <w:tcPr>
            <w:tcW w:w="1441" w:type="dxa"/>
          </w:tcPr>
          <w:p>
            <w:pPr>
              <w:pStyle w:val="TableText"/>
              <w:jc w:val="left"/>
            </w:pPr>
            <w:r>
              <w:t xml:space="preserve">CoolHaven</w:t>
            </w:r>
          </w:p>
        </w:tc>
      </w:tr>
      <w:tr>
        <w:trPr>
          <w:cantSplit/>
        </w:trPr>
        <w:tc>
          <w:tcPr>
            <w:tcW w:w="1440" w:type="dxa"/>
          </w:tcPr>
          <w:p>
            <w:pPr>
              <w:pStyle w:val="TableText"/>
            </w:pPr>
          </w:p>
        </w:tc>
        <w:tc>
          <w:tcPr>
            <w:tcW w:w="1890" w:type="dxa"/>
          </w:tcPr>
          <w:p>
            <w:pPr>
              <w:pStyle w:val="TableText"/>
              <w:jc w:val="left"/>
            </w:pPr>
            <w:r>
              <w:t xml:space="preserve">Uninsured disasters</w:t>
            </w:r>
          </w:p>
        </w:tc>
        <w:tc>
          <w:tcPr>
            <w:tcW w:w="2880" w:type="dxa"/>
          </w:tcPr>
          <w:p>
            <w:pPr>
              <w:pStyle w:val="TableText"/>
              <w:jc w:val="left"/>
            </w:pPr>
            <w:r>
              <w:t xml:space="preserve">$424bn protection gap (Swiss Re)</w:t>
            </w:r>
          </w:p>
        </w:tc>
        <w:tc>
          <w:tcPr>
            <w:tcW w:w="1709" w:type="dxa"/>
          </w:tcPr>
          <w:p>
            <w:pPr>
              <w:pStyle w:val="TableText"/>
              <w:jc w:val="left"/>
            </w:pPr>
            <w:r>
              <w:t xml:space="preserve">Community spare capacity; satellite triggers</w:t>
            </w:r>
          </w:p>
        </w:tc>
        <w:tc>
          <w:tcPr>
            <w:tcW w:w="1441" w:type="dxa"/>
          </w:tcPr>
          <w:p>
            <w:pPr>
              <w:pStyle w:val="TableText"/>
              <w:jc w:val="left"/>
            </w:pPr>
            <w:r>
              <w:t xml:space="preserve">Bastion (Vol I)</w:t>
            </w:r>
          </w:p>
        </w:tc>
      </w:tr>
      <w:tr>
        <w:trPr>
          <w:cantSplit/>
        </w:trPr>
        <w:tc>
          <w:tcPr>
            <w:tcW w:w="1440" w:type="dxa"/>
          </w:tcPr>
          <w:p>
            <w:pPr>
              <w:pStyle w:val="TableText"/>
            </w:pPr>
          </w:p>
        </w:tc>
        <w:tc>
          <w:tcPr>
            <w:tcW w:w="1890" w:type="dxa"/>
          </w:tcPr>
          <w:p>
            <w:pPr>
              <w:pStyle w:val="TableText"/>
              <w:jc w:val="left"/>
            </w:pPr>
            <w:r>
              <w:t xml:space="preserve">Climate migration</w:t>
            </w:r>
          </w:p>
        </w:tc>
        <w:tc>
          <w:tcPr>
            <w:tcW w:w="2880" w:type="dxa"/>
          </w:tcPr>
          <w:p>
            <w:pPr>
              <w:pStyle w:val="TableText"/>
              <w:jc w:val="left"/>
            </w:pPr>
            <w:r>
              <w:t xml:space="preserve">Up to 216 million internal climate migrants by 2050 (World Bank,</w:t>
            </w:r>
            <w:r>
              <w:t xml:space="preserve"> </w:t>
            </w:r>
            <w:r>
              <w:rPr>
                <w:i/>
                <w:iCs/>
              </w:rPr>
              <w:t xml:space="preserve">Groundswell</w:t>
            </w:r>
            <w:r>
              <w:t xml:space="preserve">)</w:t>
            </w:r>
          </w:p>
        </w:tc>
        <w:tc>
          <w:tcPr>
            <w:tcW w:w="1709" w:type="dxa"/>
          </w:tcPr>
          <w:p>
            <w:pPr>
              <w:pStyle w:val="TableText"/>
              <w:jc w:val="left"/>
            </w:pPr>
            <w:r>
              <w:t xml:space="preserve">Pledged homes, jobs and support</w:t>
            </w:r>
          </w:p>
        </w:tc>
        <w:tc>
          <w:tcPr>
            <w:tcW w:w="1441" w:type="dxa"/>
          </w:tcPr>
          <w:p>
            <w:pPr>
              <w:pStyle w:val="TableText"/>
              <w:jc w:val="left"/>
            </w:pPr>
            <w:r>
              <w:t xml:space="preserve">Bastion spin-off</w:t>
            </w:r>
          </w:p>
        </w:tc>
      </w:tr>
      <w:tr>
        <w:trPr>
          <w:cantSplit/>
        </w:trPr>
        <w:tc>
          <w:tcPr>
            <w:tcW w:w="1440" w:type="dxa"/>
          </w:tcPr>
          <w:p>
            <w:pPr>
              <w:pStyle w:val="TableText"/>
              <w:jc w:val="left"/>
            </w:pPr>
            <w:r>
              <w:rPr>
                <w:b/>
                <w:bCs/>
              </w:rPr>
              <w:t xml:space="preserve">D5 Energy and materials</w:t>
            </w:r>
          </w:p>
        </w:tc>
        <w:tc>
          <w:tcPr>
            <w:tcW w:w="1890" w:type="dxa"/>
          </w:tcPr>
          <w:p>
            <w:pPr>
              <w:pStyle w:val="TableText"/>
              <w:jc w:val="left"/>
            </w:pPr>
            <w:r>
              <w:t xml:space="preserve">Energy poverty</w:t>
            </w:r>
          </w:p>
        </w:tc>
        <w:tc>
          <w:tcPr>
            <w:tcW w:w="2880" w:type="dxa"/>
          </w:tcPr>
          <w:p>
            <w:pPr>
              <w:pStyle w:val="TableText"/>
              <w:jc w:val="left"/>
            </w:pPr>
            <w:r>
              <w:t xml:space="preserve">About 730 million people without electricity in 2024, roughly 600 million in sub-Saharan Africa (IEA)</w:t>
            </w:r>
          </w:p>
        </w:tc>
        <w:tc>
          <w:tcPr>
            <w:tcW w:w="1709" w:type="dxa"/>
          </w:tcPr>
          <w:p>
            <w:pPr>
              <w:pStyle w:val="TableText"/>
              <w:jc w:val="left"/>
            </w:pPr>
            <w:r>
              <w:t xml:space="preserve">Retired EV batteries; solar</w:t>
            </w:r>
          </w:p>
        </w:tc>
        <w:tc>
          <w:tcPr>
            <w:tcW w:w="1441" w:type="dxa"/>
          </w:tcPr>
          <w:p>
            <w:pPr>
              <w:pStyle w:val="TableText"/>
              <w:jc w:val="left"/>
            </w:pPr>
            <w:r>
              <w:t xml:space="preserve">SecondCell, FluxCommons (Vol I)</w:t>
            </w:r>
          </w:p>
        </w:tc>
      </w:tr>
      <w:tr>
        <w:trPr>
          <w:cantSplit/>
        </w:trPr>
        <w:tc>
          <w:tcPr>
            <w:tcW w:w="1440" w:type="dxa"/>
          </w:tcPr>
          <w:p>
            <w:pPr>
              <w:pStyle w:val="TableText"/>
            </w:pPr>
          </w:p>
        </w:tc>
        <w:tc>
          <w:tcPr>
            <w:tcW w:w="1890" w:type="dxa"/>
          </w:tcPr>
          <w:p>
            <w:pPr>
              <w:pStyle w:val="TableText"/>
              <w:jc w:val="left"/>
            </w:pPr>
            <w:r>
              <w:t xml:space="preserve">Battery and mineral waste</w:t>
            </w:r>
          </w:p>
        </w:tc>
        <w:tc>
          <w:tcPr>
            <w:tcW w:w="2880" w:type="dxa"/>
          </w:tcPr>
          <w:p>
            <w:pPr>
              <w:pStyle w:val="TableText"/>
              <w:jc w:val="left"/>
            </w:pPr>
            <w:r>
              <w:t xml:space="preserve">Estimates of 100–300+ GWh a year of retired EV batteries by 2030; EU battery passports required from 2027</w:t>
            </w:r>
          </w:p>
        </w:tc>
        <w:tc>
          <w:tcPr>
            <w:tcW w:w="1709" w:type="dxa"/>
          </w:tcPr>
          <w:p>
            <w:pPr>
              <w:pStyle w:val="TableText"/>
              <w:jc w:val="left"/>
            </w:pPr>
            <w:r>
              <w:t xml:space="preserve">Batteries with 70–80% capacity left</w:t>
            </w:r>
          </w:p>
        </w:tc>
        <w:tc>
          <w:tcPr>
            <w:tcW w:w="1441" w:type="dxa"/>
          </w:tcPr>
          <w:p>
            <w:pPr>
              <w:pStyle w:val="TableText"/>
              <w:jc w:val="left"/>
            </w:pPr>
            <w:r>
              <w:t xml:space="preserve">SecondCell</w:t>
            </w:r>
          </w:p>
        </w:tc>
      </w:tr>
      <w:tr>
        <w:trPr>
          <w:cantSplit/>
        </w:trPr>
        <w:tc>
          <w:tcPr>
            <w:tcW w:w="1440" w:type="dxa"/>
          </w:tcPr>
          <w:p>
            <w:pPr>
              <w:pStyle w:val="TableText"/>
            </w:pPr>
          </w:p>
        </w:tc>
        <w:tc>
          <w:tcPr>
            <w:tcW w:w="1890" w:type="dxa"/>
          </w:tcPr>
          <w:p>
            <w:pPr>
              <w:pStyle w:val="TableText"/>
              <w:jc w:val="left"/>
            </w:pPr>
            <w:r>
              <w:t xml:space="preserve">Machines idle for want of parts</w:t>
            </w:r>
          </w:p>
        </w:tc>
        <w:tc>
          <w:tcPr>
            <w:tcW w:w="2880" w:type="dxa"/>
          </w:tcPr>
          <w:p>
            <w:pPr>
              <w:pStyle w:val="TableText"/>
              <w:jc w:val="left"/>
            </w:pPr>
            <w:r>
              <w:t xml:space="preserve">EU Right to Repair Directive (2024); fragile supply chains</w:t>
            </w:r>
          </w:p>
        </w:tc>
        <w:tc>
          <w:tcPr>
            <w:tcW w:w="1709" w:type="dxa"/>
          </w:tcPr>
          <w:p>
            <w:pPr>
              <w:pStyle w:val="TableText"/>
              <w:jc w:val="left"/>
            </w:pPr>
            <w:r>
              <w:t xml:space="preserve">Idle machine shops; informal industrial clusters</w:t>
            </w:r>
          </w:p>
        </w:tc>
        <w:tc>
          <w:tcPr>
            <w:tcW w:w="1441" w:type="dxa"/>
          </w:tcPr>
          <w:p>
            <w:pPr>
              <w:pStyle w:val="TableText"/>
              <w:jc w:val="left"/>
            </w:pPr>
            <w:r>
              <w:t xml:space="preserve">PartsGrid</w:t>
            </w:r>
          </w:p>
        </w:tc>
      </w:tr>
      <w:tr>
        <w:trPr>
          <w:cantSplit/>
        </w:trPr>
        <w:tc>
          <w:tcPr>
            <w:tcW w:w="1440" w:type="dxa"/>
          </w:tcPr>
          <w:p>
            <w:pPr>
              <w:pStyle w:val="TableText"/>
              <w:jc w:val="left"/>
            </w:pPr>
            <w:r>
              <w:rPr>
                <w:b/>
                <w:bCs/>
              </w:rPr>
              <w:t xml:space="preserve">D6 Water and food</w:t>
            </w:r>
          </w:p>
        </w:tc>
        <w:tc>
          <w:tcPr>
            <w:tcW w:w="1890" w:type="dxa"/>
          </w:tcPr>
          <w:p>
            <w:pPr>
              <w:pStyle w:val="TableText"/>
              <w:jc w:val="left"/>
            </w:pPr>
            <w:r>
              <w:t xml:space="preserve">Unsafe, costly urban water</w:t>
            </w:r>
          </w:p>
        </w:tc>
        <w:tc>
          <w:tcPr>
            <w:tcW w:w="2880" w:type="dxa"/>
          </w:tcPr>
          <w:p>
            <w:pPr>
              <w:pStyle w:val="TableText"/>
              <w:jc w:val="left"/>
            </w:pPr>
            <w:r>
              <w:t xml:space="preserve">About 2.2 billion people lacked safely managed drinking water (WHO/UNICEF, 2022 data)</w:t>
            </w:r>
          </w:p>
        </w:tc>
        <w:tc>
          <w:tcPr>
            <w:tcW w:w="1709" w:type="dxa"/>
          </w:tcPr>
          <w:p>
            <w:pPr>
              <w:pStyle w:val="TableText"/>
              <w:jc w:val="left"/>
            </w:pPr>
            <w:r>
              <w:t xml:space="preserve">Boreholes, storage, tankers, rooftops</w:t>
            </w:r>
          </w:p>
        </w:tc>
        <w:tc>
          <w:tcPr>
            <w:tcW w:w="1441" w:type="dxa"/>
          </w:tcPr>
          <w:p>
            <w:pPr>
              <w:pStyle w:val="TableText"/>
              <w:jc w:val="left"/>
            </w:pPr>
            <w:r>
              <w:t xml:space="preserve">AquaGrid</w:t>
            </w:r>
          </w:p>
        </w:tc>
      </w:tr>
      <w:tr>
        <w:trPr>
          <w:cantSplit/>
        </w:trPr>
        <w:tc>
          <w:tcPr>
            <w:tcW w:w="1440" w:type="dxa"/>
          </w:tcPr>
          <w:p>
            <w:pPr>
              <w:pStyle w:val="TableText"/>
            </w:pPr>
          </w:p>
        </w:tc>
        <w:tc>
          <w:tcPr>
            <w:tcW w:w="1890" w:type="dxa"/>
          </w:tcPr>
          <w:p>
            <w:pPr>
              <w:pStyle w:val="TableText"/>
              <w:jc w:val="left"/>
            </w:pPr>
            <w:r>
              <w:t xml:space="preserve">Perishable food loss</w:t>
            </w:r>
          </w:p>
        </w:tc>
        <w:tc>
          <w:tcPr>
            <w:tcW w:w="2880" w:type="dxa"/>
          </w:tcPr>
          <w:p>
            <w:pPr>
              <w:pStyle w:val="TableText"/>
              <w:jc w:val="left"/>
            </w:pPr>
            <w:r>
              <w:t xml:space="preserve">Up to 40–50% loss for some perishables in sub-Saharan Africa (FAO estimates)</w:t>
            </w:r>
          </w:p>
        </w:tc>
        <w:tc>
          <w:tcPr>
            <w:tcW w:w="1709" w:type="dxa"/>
          </w:tcPr>
          <w:p>
            <w:pPr>
              <w:pStyle w:val="TableText"/>
              <w:jc w:val="left"/>
            </w:pPr>
            <w:r>
              <w:t xml:space="preserve">Cold rooms, backhauls</w:t>
            </w:r>
          </w:p>
        </w:tc>
        <w:tc>
          <w:tcPr>
            <w:tcW w:w="1441" w:type="dxa"/>
          </w:tcPr>
          <w:p>
            <w:pPr>
              <w:pStyle w:val="TableText"/>
              <w:jc w:val="left"/>
            </w:pPr>
            <w:r>
              <w:t xml:space="preserve">HarvestGrid (Vol I)</w:t>
            </w:r>
          </w:p>
        </w:tc>
      </w:tr>
      <w:tr>
        <w:trPr>
          <w:cantSplit/>
        </w:trPr>
        <w:tc>
          <w:tcPr>
            <w:tcW w:w="1440" w:type="dxa"/>
          </w:tcPr>
          <w:p>
            <w:pPr>
              <w:pStyle w:val="TableText"/>
              <w:jc w:val="left"/>
            </w:pPr>
            <w:r>
              <w:rPr>
                <w:b/>
                <w:bCs/>
              </w:rPr>
              <w:t xml:space="preserve">D7 Cities, housing and mobility</w:t>
            </w:r>
          </w:p>
        </w:tc>
        <w:tc>
          <w:tcPr>
            <w:tcW w:w="1890" w:type="dxa"/>
          </w:tcPr>
          <w:p>
            <w:pPr>
              <w:pStyle w:val="TableText"/>
              <w:jc w:val="left"/>
            </w:pPr>
            <w:r>
              <w:t xml:space="preserve">Housing deficits and fraud in self-build</w:t>
            </w:r>
          </w:p>
        </w:tc>
        <w:tc>
          <w:tcPr>
            <w:tcW w:w="2880" w:type="dxa"/>
          </w:tcPr>
          <w:p>
            <w:pPr>
              <w:pStyle w:val="TableText"/>
              <w:jc w:val="left"/>
            </w:pPr>
            <w:r>
              <w:t xml:space="preserve">Nigeria’s deficit commonly estimated at 17–28 million homes; $685bn remittances to developing countries (2024)</w:t>
            </w:r>
          </w:p>
        </w:tc>
        <w:tc>
          <w:tcPr>
            <w:tcW w:w="1709" w:type="dxa"/>
          </w:tcPr>
          <w:p>
            <w:pPr>
              <w:pStyle w:val="TableText"/>
              <w:jc w:val="left"/>
            </w:pPr>
            <w:r>
              <w:t xml:space="preserve">Diaspora capital; artisans; trust</w:t>
            </w:r>
          </w:p>
        </w:tc>
        <w:tc>
          <w:tcPr>
            <w:tcW w:w="1441" w:type="dxa"/>
          </w:tcPr>
          <w:p>
            <w:pPr>
              <w:pStyle w:val="TableText"/>
              <w:jc w:val="left"/>
            </w:pPr>
            <w:r>
              <w:t xml:space="preserve">BuildBridge, Hearth (Vol I)</w:t>
            </w:r>
          </w:p>
        </w:tc>
      </w:tr>
      <w:tr>
        <w:trPr>
          <w:cantSplit/>
        </w:trPr>
        <w:tc>
          <w:tcPr>
            <w:tcW w:w="1440" w:type="dxa"/>
          </w:tcPr>
          <w:p>
            <w:pPr>
              <w:pStyle w:val="TableText"/>
              <w:jc w:val="left"/>
            </w:pPr>
            <w:r>
              <w:rPr>
                <w:b/>
                <w:bCs/>
              </w:rPr>
              <w:t xml:space="preserve">D8 Nature and biodiversity</w:t>
            </w:r>
          </w:p>
        </w:tc>
        <w:tc>
          <w:tcPr>
            <w:tcW w:w="1890" w:type="dxa"/>
          </w:tcPr>
          <w:p>
            <w:pPr>
              <w:pStyle w:val="TableText"/>
              <w:jc w:val="left"/>
            </w:pPr>
            <w:r>
              <w:t xml:space="preserve">Collapse of wildlife; mistrusted nature finance</w:t>
            </w:r>
          </w:p>
        </w:tc>
        <w:tc>
          <w:tcPr>
            <w:tcW w:w="2880" w:type="dxa"/>
          </w:tcPr>
          <w:p>
            <w:pPr>
              <w:pStyle w:val="TableText"/>
              <w:jc w:val="left"/>
            </w:pPr>
            <w:r>
              <w:t xml:space="preserve">73% average decline in monitored wildlife populations since 1970 (WWF, 2024); global goal of 30% protection by 2030</w:t>
            </w:r>
          </w:p>
        </w:tc>
        <w:tc>
          <w:tcPr>
            <w:tcW w:w="1709" w:type="dxa"/>
          </w:tcPr>
          <w:p>
            <w:pPr>
              <w:pStyle w:val="TableText"/>
              <w:jc w:val="left"/>
            </w:pPr>
            <w:r>
              <w:t xml:space="preserve">Community stewardship; local knowledge</w:t>
            </w:r>
          </w:p>
        </w:tc>
        <w:tc>
          <w:tcPr>
            <w:tcW w:w="1441" w:type="dxa"/>
          </w:tcPr>
          <w:p>
            <w:pPr>
              <w:pStyle w:val="TableText"/>
              <w:jc w:val="left"/>
            </w:pPr>
            <w:r>
              <w:t xml:space="preserve">WildLedger</w:t>
            </w:r>
          </w:p>
        </w:tc>
      </w:tr>
      <w:tr>
        <w:trPr>
          <w:cantSplit/>
        </w:trPr>
        <w:tc>
          <w:tcPr>
            <w:tcW w:w="1440" w:type="dxa"/>
          </w:tcPr>
          <w:p>
            <w:pPr>
              <w:pStyle w:val="TableText"/>
              <w:jc w:val="left"/>
            </w:pPr>
            <w:r>
              <w:rPr>
                <w:b/>
                <w:bCs/>
              </w:rPr>
              <w:t xml:space="preserve">D9 Trust, identity and reality</w:t>
            </w:r>
          </w:p>
        </w:tc>
        <w:tc>
          <w:tcPr>
            <w:tcW w:w="1890" w:type="dxa"/>
          </w:tcPr>
          <w:p>
            <w:pPr>
              <w:pStyle w:val="TableText"/>
              <w:jc w:val="left"/>
            </w:pPr>
            <w:r>
              <w:t xml:space="preserve">Synthetic-media fraud and disinformation</w:t>
            </w:r>
          </w:p>
        </w:tc>
        <w:tc>
          <w:tcPr>
            <w:tcW w:w="2880" w:type="dxa"/>
          </w:tcPr>
          <w:p>
            <w:pPr>
              <w:pStyle w:val="TableText"/>
              <w:jc w:val="left"/>
            </w:pPr>
            <w:r>
              <w:t xml:space="preserve">Generative-AI fraud could reach $40bn a year in the US by 2027 (Deloitte); a $25m deepfake video-call fraud (Hong Kong, 2024)</w:t>
            </w:r>
          </w:p>
        </w:tc>
        <w:tc>
          <w:tcPr>
            <w:tcW w:w="1709" w:type="dxa"/>
          </w:tcPr>
          <w:p>
            <w:pPr>
              <w:pStyle w:val="TableText"/>
              <w:jc w:val="left"/>
            </w:pPr>
            <w:r>
              <w:t xml:space="preserve">People on location; local reputations</w:t>
            </w:r>
          </w:p>
        </w:tc>
        <w:tc>
          <w:tcPr>
            <w:tcW w:w="1441" w:type="dxa"/>
          </w:tcPr>
          <w:p>
            <w:pPr>
              <w:pStyle w:val="TableText"/>
              <w:jc w:val="left"/>
            </w:pPr>
            <w:r>
              <w:t xml:space="preserve">GroundTruth</w:t>
            </w:r>
          </w:p>
        </w:tc>
      </w:tr>
      <w:tr>
        <w:trPr>
          <w:cantSplit/>
        </w:trPr>
        <w:tc>
          <w:tcPr>
            <w:tcW w:w="1440" w:type="dxa"/>
          </w:tcPr>
          <w:p>
            <w:pPr>
              <w:pStyle w:val="TableText"/>
            </w:pPr>
          </w:p>
        </w:tc>
        <w:tc>
          <w:tcPr>
            <w:tcW w:w="1890" w:type="dxa"/>
          </w:tcPr>
          <w:p>
            <w:pPr>
              <w:pStyle w:val="TableText"/>
              <w:jc w:val="left"/>
            </w:pPr>
            <w:r>
              <w:t xml:space="preserve">Data taken without consent</w:t>
            </w:r>
          </w:p>
        </w:tc>
        <w:tc>
          <w:tcPr>
            <w:tcW w:w="2880" w:type="dxa"/>
          </w:tcPr>
          <w:p>
            <w:pPr>
              <w:pStyle w:val="TableText"/>
              <w:jc w:val="left"/>
            </w:pPr>
            <w:r>
              <w:t xml:space="preserve">Large training-data settlements and lawsuits</w:t>
            </w:r>
          </w:p>
        </w:tc>
        <w:tc>
          <w:tcPr>
            <w:tcW w:w="1709" w:type="dxa"/>
          </w:tcPr>
          <w:p>
            <w:pPr>
              <w:pStyle w:val="TableText"/>
              <w:jc w:val="left"/>
            </w:pPr>
            <w:r>
              <w:t xml:space="preserve">Tacit knowledge; languages</w:t>
            </w:r>
          </w:p>
        </w:tc>
        <w:tc>
          <w:tcPr>
            <w:tcW w:w="1441" w:type="dxa"/>
          </w:tcPr>
          <w:p>
            <w:pPr>
              <w:pStyle w:val="TableText"/>
              <w:jc w:val="left"/>
            </w:pPr>
            <w:r>
              <w:t xml:space="preserve">DataGuild (Vol I)</w:t>
            </w:r>
          </w:p>
        </w:tc>
      </w:tr>
      <w:tr>
        <w:trPr>
          <w:cantSplit/>
        </w:trPr>
        <w:tc>
          <w:tcPr>
            <w:tcW w:w="1440" w:type="dxa"/>
          </w:tcPr>
          <w:p>
            <w:pPr>
              <w:pStyle w:val="TableText"/>
              <w:jc w:val="left"/>
            </w:pPr>
            <w:r>
              <w:rPr>
                <w:b/>
                <w:bCs/>
              </w:rPr>
              <w:t xml:space="preserve">D10 Belonging and civic life</w:t>
            </w:r>
          </w:p>
        </w:tc>
        <w:tc>
          <w:tcPr>
            <w:tcW w:w="1890" w:type="dxa"/>
          </w:tcPr>
          <w:p>
            <w:pPr>
              <w:pStyle w:val="TableText"/>
              <w:jc w:val="left"/>
            </w:pPr>
            <w:r>
              <w:t xml:space="preserve">Loneliness and polarization</w:t>
            </w:r>
          </w:p>
        </w:tc>
        <w:tc>
          <w:tcPr>
            <w:tcW w:w="2880" w:type="dxa"/>
          </w:tcPr>
          <w:p>
            <w:pPr>
              <w:pStyle w:val="TableText"/>
              <w:jc w:val="left"/>
            </w:pPr>
            <w:r>
              <w:t xml:space="preserve">871,000 deaths a year linked to loneliness (WHO)</w:t>
            </w:r>
          </w:p>
        </w:tc>
        <w:tc>
          <w:tcPr>
            <w:tcW w:w="1709" w:type="dxa"/>
          </w:tcPr>
          <w:p>
            <w:pPr>
              <w:pStyle w:val="TableText"/>
              <w:jc w:val="left"/>
            </w:pPr>
            <w:r>
              <w:t xml:space="preserve">Idle venues; idle evenings</w:t>
            </w:r>
          </w:p>
        </w:tc>
        <w:tc>
          <w:tcPr>
            <w:tcW w:w="1441" w:type="dxa"/>
          </w:tcPr>
          <w:p>
            <w:pPr>
              <w:pStyle w:val="TableText"/>
              <w:jc w:val="left"/>
            </w:pPr>
            <w:r>
              <w:t xml:space="preserve">Agora (Vol I)</w:t>
            </w:r>
          </w:p>
        </w:tc>
      </w:tr>
    </w:tbl>
    <w:p>
      <w:pPr>
        <w:pStyle w:val="BodyText"/>
        <w:spacing w:before="160"/>
      </w:pPr>
      <w:r>
        <w:rPr>
          <w:b/>
          <w:bCs/>
        </w:rPr>
        <w:t xml:space="preserve">Reading the Atlas.</w:t>
      </w:r>
      <w:r>
        <w:t xml:space="preserve"> </w:t>
      </w:r>
      <w:r>
        <w:t xml:space="preserve">Three patterns stand out. First,</w:t>
      </w:r>
      <w:r>
        <w:t xml:space="preserve"> </w:t>
      </w:r>
      <w:r>
        <w:rPr>
          <w:b/>
          <w:bCs/>
        </w:rPr>
        <w:t xml:space="preserve">Africa is at the centre</w:t>
      </w:r>
      <w:r>
        <w:t xml:space="preserve"> </w:t>
      </w:r>
      <w:r>
        <w:t xml:space="preserve">of many of these problems (energy access, water, housing, youth employment) and of the latent capacity to solve them. Second,</w:t>
      </w:r>
      <w:r>
        <w:t xml:space="preserve"> </w:t>
      </w:r>
      <w:r>
        <w:rPr>
          <w:b/>
          <w:bCs/>
        </w:rPr>
        <w:t xml:space="preserve">AI creates as many problems as it solves</w:t>
      </w:r>
      <w:r>
        <w:t xml:space="preserve">: agent accountability, synthetic fraud, edge-case labour. Third,</w:t>
      </w:r>
      <w:r>
        <w:t xml:space="preserve"> </w:t>
      </w:r>
      <w:r>
        <w:rPr>
          <w:b/>
          <w:bCs/>
        </w:rPr>
        <w:t xml:space="preserve">adaptation is a market</w:t>
      </w:r>
      <w:r>
        <w:t xml:space="preserve">: heat, water and crisis capacity are services people and governments will pay for.</w:t>
      </w:r>
    </w:p>
    <w:bookmarkEnd w:id="27"/>
    <w:bookmarkEnd w:id="28"/>
    <w:bookmarkStart w:id="45" w:name="part-3-the-framework-the-double-decagon"/>
    <w:p>
      <w:pPr>
        <w:pStyle w:val="Heading1"/>
      </w:pPr>
      <w:r>
        <w:t xml:space="preserve">Part 3: The Framework: The Double Decagon</w:t>
      </w:r>
    </w:p>
    <w:bookmarkStart w:id="32" w:name="architecture"/>
    <w:p>
      <w:pPr>
        <w:pStyle w:val="Heading2"/>
      </w:pPr>
      <w:r>
        <w:t xml:space="preserve">3.1 Architecture</w:t>
      </w:r>
    </w:p>
    <w:p>
      <w:pPr>
        <w:pStyle w:val="FirstParagraph"/>
      </w:pPr>
      <w:r>
        <w:t xml:space="preserve">Volume I’s Innovation Decagon asks:</w:t>
      </w:r>
      <w:r>
        <w:t xml:space="preserve"> </w:t>
      </w:r>
      <w:r>
        <w:rPr>
          <w:i/>
          <w:iCs/>
        </w:rPr>
        <w:t xml:space="preserve">is this venture well designed?</w:t>
      </w:r>
      <w:r>
        <w:t xml:space="preserve"> </w:t>
      </w:r>
      <w:r>
        <w:t xml:space="preserve">Volume II adds two further questions:</w:t>
      </w:r>
      <w:r>
        <w:t xml:space="preserve"> </w:t>
      </w:r>
      <w:r>
        <w:rPr>
          <w:i/>
          <w:iCs/>
        </w:rPr>
        <w:t xml:space="preserve">how do we generate ventures systematically?</w:t>
      </w:r>
      <w:r>
        <w:t xml:space="preserve"> </w:t>
      </w:r>
      <w:r>
        <w:t xml:space="preserve">and</w:t>
      </w:r>
      <w:r>
        <w:t xml:space="preserve"> </w:t>
      </w:r>
      <w:r>
        <w:rPr>
          <w:i/>
          <w:iCs/>
        </w:rPr>
        <w:t xml:space="preserve">will they survive 2030–2050?</w:t>
      </w:r>
      <w:r>
        <w:t xml:space="preserve"> </w:t>
      </w:r>
      <w:r>
        <w:t xml:space="preserve">The answer is a framework of four instruments and one process.</w:t>
      </w:r>
    </w:p>
    <w:tbl>
      <w:tblPr>
        <w:tblStyle w:val="Table"/>
        <w:tblW w:w="9360" w:type="dxa"/>
        <w:jc w:val="left"/>
        <w:tblLayout w:type="fixed"/>
        <w:tblLook w:firstRow="1" w:lastRow="0" w:firstColumn="0" w:lastColumn="0" w:noHBand="0" w:noVBand="0" w:val="0020"/>
      </w:tblPr>
      <w:tblGrid>
        <w:gridCol w:w="3778"/>
        <w:gridCol w:w="4636"/>
        <w:gridCol w:w="946"/>
      </w:tblGrid>
      <w:tr>
        <w:trPr>
          <w:cantSplit/>
          <w:tblHeader w:val="true"/>
        </w:trPr>
        <w:tc>
          <w:tcPr>
            <w:tcW w:w="3778" w:type="dxa"/>
          </w:tcPr>
          <w:p>
            <w:pPr>
              <w:pStyle w:val="TableText"/>
              <w:jc w:val="left"/>
            </w:pPr>
            <w:r>
              <w:t xml:space="preserve">Instrument</w:t>
            </w:r>
          </w:p>
        </w:tc>
        <w:tc>
          <w:tcPr>
            <w:tcW w:w="4636" w:type="dxa"/>
          </w:tcPr>
          <w:p>
            <w:pPr>
              <w:pStyle w:val="TableText"/>
              <w:jc w:val="left"/>
            </w:pPr>
            <w:r>
              <w:t xml:space="preserve">Question it answers</w:t>
            </w:r>
          </w:p>
        </w:tc>
        <w:tc>
          <w:tcPr>
            <w:tcW w:w="946" w:type="dxa"/>
          </w:tcPr>
          <w:p>
            <w:pPr>
              <w:pStyle w:val="TableText"/>
              <w:jc w:val="left"/>
            </w:pPr>
            <w:r>
              <w:t xml:space="preserve">Section</w:t>
            </w:r>
          </w:p>
        </w:tc>
      </w:tr>
      <w:tr>
        <w:trPr>
          <w:cantSplit/>
        </w:trPr>
        <w:tc>
          <w:tcPr>
            <w:tcW w:w="3778" w:type="dxa"/>
          </w:tcPr>
          <w:p>
            <w:pPr>
              <w:pStyle w:val="TableText"/>
              <w:jc w:val="left"/>
            </w:pPr>
            <w:r>
              <w:rPr>
                <w:b/>
                <w:bCs/>
              </w:rPr>
              <w:t xml:space="preserve">The Disruption Genome</w:t>
            </w:r>
          </w:p>
        </w:tc>
        <w:tc>
          <w:tcPr>
            <w:tcW w:w="4636" w:type="dxa"/>
          </w:tcPr>
          <w:p>
            <w:pPr>
              <w:pStyle w:val="TableText"/>
              <w:jc w:val="left"/>
            </w:pPr>
            <w:r>
              <w:t xml:space="preserve">How do we</w:t>
            </w:r>
            <w:r>
              <w:t xml:space="preserve"> </w:t>
            </w:r>
            <w:r>
              <w:rPr>
                <w:i/>
                <w:iCs/>
              </w:rPr>
              <w:t xml:space="preserve">generate</w:t>
            </w:r>
            <w:r>
              <w:t xml:space="preserve"> </w:t>
            </w:r>
            <w:r>
              <w:t xml:space="preserve">new venture ideas systematically?</w:t>
            </w:r>
          </w:p>
        </w:tc>
        <w:tc>
          <w:tcPr>
            <w:tcW w:w="946" w:type="dxa"/>
          </w:tcPr>
          <w:p>
            <w:pPr>
              <w:pStyle w:val="TableText"/>
              <w:jc w:val="left"/>
            </w:pPr>
            <w:r>
              <w:t xml:space="preserve">3.2</w:t>
            </w:r>
          </w:p>
        </w:tc>
      </w:tr>
      <w:tr>
        <w:trPr>
          <w:cantSplit/>
        </w:trPr>
        <w:tc>
          <w:tcPr>
            <w:tcW w:w="3778" w:type="dxa"/>
          </w:tcPr>
          <w:p>
            <w:pPr>
              <w:pStyle w:val="TableText"/>
              <w:jc w:val="left"/>
            </w:pPr>
            <w:r>
              <w:rPr>
                <w:b/>
                <w:bCs/>
              </w:rPr>
              <w:t xml:space="preserve">Ten platform archetypes</w:t>
            </w:r>
          </w:p>
        </w:tc>
        <w:tc>
          <w:tcPr>
            <w:tcW w:w="4636" w:type="dxa"/>
          </w:tcPr>
          <w:p>
            <w:pPr>
              <w:pStyle w:val="TableText"/>
              <w:jc w:val="left"/>
            </w:pPr>
            <w:r>
              <w:t xml:space="preserve">Which kind of</w:t>
            </w:r>
            <w:r>
              <w:t xml:space="preserve"> </w:t>
            </w:r>
            <w:r>
              <w:t xml:space="preserve">“</w:t>
            </w:r>
            <w:r>
              <w:t xml:space="preserve">machine</w:t>
            </w:r>
            <w:r>
              <w:t xml:space="preserve">”</w:t>
            </w:r>
            <w:r>
              <w:t xml:space="preserve"> </w:t>
            </w:r>
            <w:r>
              <w:t xml:space="preserve">should we build?</w:t>
            </w:r>
          </w:p>
        </w:tc>
        <w:tc>
          <w:tcPr>
            <w:tcW w:w="946" w:type="dxa"/>
          </w:tcPr>
          <w:p>
            <w:pPr>
              <w:pStyle w:val="TableText"/>
              <w:jc w:val="left"/>
            </w:pPr>
            <w:r>
              <w:t xml:space="preserve">3.3</w:t>
            </w:r>
          </w:p>
        </w:tc>
      </w:tr>
      <w:tr>
        <w:trPr>
          <w:cantSplit/>
        </w:trPr>
        <w:tc>
          <w:tcPr>
            <w:tcW w:w="3778" w:type="dxa"/>
          </w:tcPr>
          <w:p>
            <w:pPr>
              <w:pStyle w:val="TableText"/>
              <w:jc w:val="left"/>
            </w:pPr>
            <w:r>
              <w:rPr>
                <w:b/>
                <w:bCs/>
              </w:rPr>
              <w:t xml:space="preserve">The Inner Decagon</w:t>
            </w:r>
            <w:r>
              <w:t xml:space="preserve"> </w:t>
            </w:r>
            <w:r>
              <w:t xml:space="preserve">(Volume I’s ten design obligations)</w:t>
            </w:r>
          </w:p>
        </w:tc>
        <w:tc>
          <w:tcPr>
            <w:tcW w:w="4636" w:type="dxa"/>
          </w:tcPr>
          <w:p>
            <w:pPr>
              <w:pStyle w:val="TableText"/>
              <w:jc w:val="left"/>
            </w:pPr>
            <w:r>
              <w:t xml:space="preserve">Is the venture well designed? Does it create</w:t>
            </w:r>
            <w:r>
              <w:t xml:space="preserve"> </w:t>
            </w:r>
            <w:r>
              <w:rPr>
                <w:i/>
                <w:iCs/>
              </w:rPr>
              <w:t xml:space="preserve">and</w:t>
            </w:r>
            <w:r>
              <w:t xml:space="preserve"> </w:t>
            </w:r>
            <w:r>
              <w:t xml:space="preserve">distribute value?</w:t>
            </w:r>
          </w:p>
        </w:tc>
        <w:tc>
          <w:tcPr>
            <w:tcW w:w="946" w:type="dxa"/>
          </w:tcPr>
          <w:p>
            <w:pPr>
              <w:pStyle w:val="TableText"/>
              <w:jc w:val="left"/>
            </w:pPr>
            <w:r>
              <w:t xml:space="preserve">3.4</w:t>
            </w:r>
          </w:p>
        </w:tc>
      </w:tr>
      <w:tr>
        <w:trPr>
          <w:cantSplit/>
        </w:trPr>
        <w:tc>
          <w:tcPr>
            <w:tcW w:w="3778" w:type="dxa"/>
          </w:tcPr>
          <w:p>
            <w:pPr>
              <w:pStyle w:val="TableText"/>
              <w:jc w:val="left"/>
            </w:pPr>
            <w:r>
              <w:rPr>
                <w:b/>
                <w:bCs/>
              </w:rPr>
              <w:t xml:space="preserve">The Future-Fitness Decagon</w:t>
            </w:r>
            <w:r>
              <w:t xml:space="preserve"> </w:t>
            </w:r>
            <w:r>
              <w:t xml:space="preserve">(ten new tests)</w:t>
            </w:r>
          </w:p>
        </w:tc>
        <w:tc>
          <w:tcPr>
            <w:tcW w:w="4636" w:type="dxa"/>
          </w:tcPr>
          <w:p>
            <w:pPr>
              <w:pStyle w:val="TableText"/>
              <w:jc w:val="left"/>
            </w:pPr>
            <w:r>
              <w:t xml:space="preserve">Will it survive and thrive in 2030–2050?</w:t>
            </w:r>
          </w:p>
        </w:tc>
        <w:tc>
          <w:tcPr>
            <w:tcW w:w="946" w:type="dxa"/>
          </w:tcPr>
          <w:p>
            <w:pPr>
              <w:pStyle w:val="TableText"/>
              <w:jc w:val="left"/>
            </w:pPr>
            <w:r>
              <w:t xml:space="preserve">3.4</w:t>
            </w:r>
          </w:p>
        </w:tc>
      </w:tr>
      <w:tr>
        <w:trPr>
          <w:cantSplit/>
        </w:trPr>
        <w:tc>
          <w:tcPr>
            <w:tcW w:w="3778" w:type="dxa"/>
          </w:tcPr>
          <w:p>
            <w:pPr>
              <w:pStyle w:val="TableText"/>
              <w:jc w:val="left"/>
            </w:pPr>
            <w:r>
              <w:rPr>
                <w:b/>
                <w:bCs/>
              </w:rPr>
              <w:t xml:space="preserve">The Foresight-to-Venture Pipeline</w:t>
            </w:r>
            <w:r>
              <w:t xml:space="preserve"> </w:t>
            </w:r>
            <w:r>
              <w:t xml:space="preserve">(process)</w:t>
            </w:r>
          </w:p>
        </w:tc>
        <w:tc>
          <w:tcPr>
            <w:tcW w:w="4636" w:type="dxa"/>
          </w:tcPr>
          <w:p>
            <w:pPr>
              <w:pStyle w:val="TableText"/>
              <w:jc w:val="left"/>
            </w:pPr>
            <w:r>
              <w:t xml:space="preserve">In what order do we do all this?</w:t>
            </w:r>
          </w:p>
        </w:tc>
        <w:tc>
          <w:tcPr>
            <w:tcW w:w="946" w:type="dxa"/>
          </w:tcPr>
          <w:p>
            <w:pPr>
              <w:pStyle w:val="TableText"/>
              <w:jc w:val="left"/>
            </w:pPr>
            <w:r>
              <w:t xml:space="preserve">3.6</w:t>
            </w:r>
          </w:p>
        </w:tc>
      </w:tr>
    </w:tbl>
    <w:p>
      <w:pPr>
        <w:pStyle w:val="BodyText"/>
        <w:spacing w:before="160"/>
      </w:pPr>
      <w:r>
        <w:t xml:space="preserve">Together, the Inner Decagon and the Future-Fitness Decagon form the</w:t>
      </w:r>
      <w:r>
        <w:t xml:space="preserve"> </w:t>
      </w:r>
      <w:r>
        <w:rPr>
          <w:b/>
          <w:bCs/>
        </w:rPr>
        <w:t xml:space="preserve">Double Decagon</w:t>
      </w:r>
      <w:r>
        <w:t xml:space="preserve">: two concentric rings of ten, scored out of 100.</w:t>
      </w:r>
    </w:p>
    <w:p>
      <w:pPr>
        <w:pStyle w:val="CaptionedFigure"/>
      </w:pPr>
      <w:r>
        <w:drawing>
          <wp:inline>
            <wp:extent cx="5120640" cy="5120640"/>
            <wp:effectExtent b="0" l="0" r="0" t="0"/>
            <wp:docPr descr="Figure 1. The Double Decagon. The inner ring holds the ten design obligations from Volume I (engine and conscience). The outer ring holds the ten future-fitness tests introduced in this volume. Each vertex is scored 0–5, for a total of 100." title="" id="30" name="Picture"/>
            <a:graphic>
              <a:graphicData uri="http://schemas.openxmlformats.org/drawingml/2006/picture">
                <pic:pic>
                  <pic:nvPicPr>
                    <pic:cNvPr descr="/tmp/claude-0/-home-user-Adekunle-Adeniji/db1110ee-95e2-549a-bb3a-dcca8fdc5e35/scratchpad/docx_build/img2/double-decagon.png" id="31" name="Picture"/>
                    <pic:cNvPicPr>
                      <a:picLocks noChangeArrowheads="1" noChangeAspect="1"/>
                    </pic:cNvPicPr>
                  </pic:nvPicPr>
                  <pic:blipFill>
                    <a:blip r:embed="rId29"/>
                    <a:stretch>
                      <a:fillRect/>
                    </a:stretch>
                  </pic:blipFill>
                  <pic:spPr bwMode="auto">
                    <a:xfrm>
                      <a:off x="0" y="0"/>
                      <a:ext cx="5120640" cy="5120640"/>
                    </a:xfrm>
                    <a:prstGeom prst="rect">
                      <a:avLst/>
                    </a:prstGeom>
                    <a:noFill/>
                    <a:ln w="9525">
                      <a:noFill/>
                      <a:headEnd/>
                      <a:tailEnd/>
                    </a:ln>
                  </pic:spPr>
                </pic:pic>
              </a:graphicData>
            </a:graphic>
          </wp:inline>
        </w:drawing>
      </w:r>
    </w:p>
    <w:p>
      <w:pPr>
        <w:pStyle w:val="ImageCaption"/>
      </w:pPr>
      <w:r>
        <w:t xml:space="preserve">Figure 1. The Double Decagon. The inner ring holds the ten design obligations from Volume I (engine and conscience). The outer ring holds the ten future-fitness tests introduced in this volume. Each vertex is scored 0–5, for a total of 100.</w:t>
      </w:r>
    </w:p>
    <w:bookmarkEnd w:id="32"/>
    <w:bookmarkStart w:id="33" w:name="the-disruption-genome"/>
    <w:p>
      <w:pPr>
        <w:pStyle w:val="Heading2"/>
      </w:pPr>
      <w:r>
        <w:t xml:space="preserve">3.2 The Disruption Genome</w:t>
      </w:r>
    </w:p>
    <w:p>
      <w:pPr>
        <w:pStyle w:val="FirstParagraph"/>
      </w:pPr>
      <w:r>
        <w:t xml:space="preserve">W. Brian Arthur showed that new technologies are combinations of existing ones, and Stuart Kauffman called the set of combinations reachable from today the</w:t>
      </w:r>
      <w:r>
        <w:t xml:space="preserve"> </w:t>
      </w:r>
      <w:r>
        <w:rPr>
          <w:i/>
          <w:iCs/>
        </w:rPr>
        <w:t xml:space="preserve">adjacent possible</w:t>
      </w:r>
      <w:r>
        <w:t xml:space="preserve">. The Disruption Genome applies that idea to ventures. Every venture can be described by</w:t>
      </w:r>
      <w:r>
        <w:t xml:space="preserve"> </w:t>
      </w:r>
      <w:r>
        <w:rPr>
          <w:b/>
          <w:bCs/>
        </w:rPr>
        <w:t xml:space="preserve">six genes</w:t>
      </w:r>
      <w:r>
        <w:t xml:space="preserve">. Generating ventures becomes a matter of combining genes deliberately rather than waiting for inspiration.</w:t>
      </w:r>
    </w:p>
    <w:tbl>
      <w:tblPr>
        <w:tblStyle w:val="Table"/>
        <w:tblW w:w="9360" w:type="dxa"/>
        <w:jc w:val="left"/>
        <w:tblLayout w:type="fixed"/>
        <w:tblLook w:firstRow="1" w:lastRow="0" w:firstColumn="0" w:lastColumn="0" w:noHBand="0" w:noVBand="0" w:val="0020"/>
      </w:tblPr>
      <w:tblGrid>
        <w:gridCol w:w="1202"/>
        <w:gridCol w:w="1459"/>
        <w:gridCol w:w="6699"/>
      </w:tblGrid>
      <w:tr>
        <w:trPr>
          <w:cantSplit/>
          <w:tblHeader w:val="true"/>
        </w:trPr>
        <w:tc>
          <w:tcPr>
            <w:tcW w:w="1202" w:type="dxa"/>
          </w:tcPr>
          <w:p>
            <w:pPr>
              <w:pStyle w:val="TableText"/>
              <w:jc w:val="left"/>
            </w:pPr>
            <w:r>
              <w:t xml:space="preserve">Gene</w:t>
            </w:r>
          </w:p>
        </w:tc>
        <w:tc>
          <w:tcPr>
            <w:tcW w:w="1459" w:type="dxa"/>
          </w:tcPr>
          <w:p>
            <w:pPr>
              <w:pStyle w:val="TableText"/>
              <w:jc w:val="left"/>
            </w:pPr>
            <w:r>
              <w:t xml:space="preserve">Question</w:t>
            </w:r>
          </w:p>
        </w:tc>
        <w:tc>
          <w:tcPr>
            <w:tcW w:w="6699" w:type="dxa"/>
          </w:tcPr>
          <w:p>
            <w:pPr>
              <w:pStyle w:val="TableText"/>
              <w:jc w:val="left"/>
            </w:pPr>
            <w:r>
              <w:t xml:space="preserve">Library (options)</w:t>
            </w:r>
          </w:p>
        </w:tc>
      </w:tr>
      <w:tr>
        <w:trPr>
          <w:cantSplit/>
        </w:trPr>
        <w:tc>
          <w:tcPr>
            <w:tcW w:w="1202" w:type="dxa"/>
          </w:tcPr>
          <w:p>
            <w:pPr>
              <w:pStyle w:val="TableText"/>
              <w:jc w:val="left"/>
            </w:pPr>
            <w:r>
              <w:rPr>
                <w:b/>
                <w:bCs/>
              </w:rPr>
              <w:t xml:space="preserve">G1 Problem domain</w:t>
            </w:r>
          </w:p>
        </w:tc>
        <w:tc>
          <w:tcPr>
            <w:tcW w:w="1459" w:type="dxa"/>
          </w:tcPr>
          <w:p>
            <w:pPr>
              <w:pStyle w:val="TableText"/>
              <w:jc w:val="left"/>
            </w:pPr>
            <w:r>
              <w:t xml:space="preserve">Which emerging problem?</w:t>
            </w:r>
          </w:p>
        </w:tc>
        <w:tc>
          <w:tcPr>
            <w:tcW w:w="6699" w:type="dxa"/>
          </w:tcPr>
          <w:p>
            <w:pPr>
              <w:pStyle w:val="TableText"/>
              <w:jc w:val="left"/>
            </w:pPr>
            <w:r>
              <w:t xml:space="preserve">D1 Intelligence and agency · D2 Work and livelihoods · D3 Care, health and longevity · D4 Climate adaptation · D5 Energy and materials · D6 Water and food · D7 Cities, housing and mobility · D8 Nature and biodiversity · D9 Trust, identity and reality · D10 Belonging and civic life</w:t>
            </w:r>
          </w:p>
        </w:tc>
      </w:tr>
      <w:tr>
        <w:trPr>
          <w:cantSplit/>
        </w:trPr>
        <w:tc>
          <w:tcPr>
            <w:tcW w:w="1202" w:type="dxa"/>
          </w:tcPr>
          <w:p>
            <w:pPr>
              <w:pStyle w:val="TableText"/>
              <w:jc w:val="left"/>
            </w:pPr>
            <w:r>
              <w:rPr>
                <w:b/>
                <w:bCs/>
              </w:rPr>
              <w:t xml:space="preserve">G2 Latent capacity</w:t>
            </w:r>
          </w:p>
        </w:tc>
        <w:tc>
          <w:tcPr>
            <w:tcW w:w="1459" w:type="dxa"/>
          </w:tcPr>
          <w:p>
            <w:pPr>
              <w:pStyle w:val="TableText"/>
              <w:jc w:val="left"/>
            </w:pPr>
            <w:r>
              <w:t xml:space="preserve">What is idle, invisible or untrusted?</w:t>
            </w:r>
          </w:p>
        </w:tc>
        <w:tc>
          <w:tcPr>
            <w:tcW w:w="6699" w:type="dxa"/>
          </w:tcPr>
          <w:p>
            <w:pPr>
              <w:pStyle w:val="TableText"/>
              <w:jc w:val="left"/>
            </w:pPr>
            <w:r>
              <w:t xml:space="preserve">L1 Idle time · L2 Idle skills and expertise · L3 Idle space · L4 Idle equipment and machines · L5 Idle vehicles and fleets · L6 Idle energy (storage, surplus) · L7 Idle compute · L8 Idle data and knowledge · L9 Idle capital (savings, diaspora) · L10 Idle trust (reputations, community vouching) · L11 Idle presence (people already on location) · L12 End-of-life value (waste, batteries, parts) · L13 Idle nature-stewardship capacity</w:t>
            </w:r>
          </w:p>
        </w:tc>
      </w:tr>
      <w:tr>
        <w:trPr>
          <w:cantSplit/>
        </w:trPr>
        <w:tc>
          <w:tcPr>
            <w:tcW w:w="1202" w:type="dxa"/>
          </w:tcPr>
          <w:p>
            <w:pPr>
              <w:pStyle w:val="TableText"/>
              <w:jc w:val="left"/>
            </w:pPr>
            <w:r>
              <w:rPr>
                <w:b/>
                <w:bCs/>
              </w:rPr>
              <w:t xml:space="preserve">G3 Platform archetype</w:t>
            </w:r>
          </w:p>
        </w:tc>
        <w:tc>
          <w:tcPr>
            <w:tcW w:w="1459" w:type="dxa"/>
          </w:tcPr>
          <w:p>
            <w:pPr>
              <w:pStyle w:val="TableText"/>
              <w:jc w:val="left"/>
            </w:pPr>
            <w:r>
              <w:t xml:space="preserve">Which machine?</w:t>
            </w:r>
          </w:p>
        </w:tc>
        <w:tc>
          <w:tcPr>
            <w:tcW w:w="6699" w:type="dxa"/>
          </w:tcPr>
          <w:p>
            <w:pPr>
              <w:pStyle w:val="TableText"/>
              <w:jc w:val="left"/>
            </w:pPr>
            <w:r>
              <w:t xml:space="preserve">A1–A10 (Section 3.3)</w:t>
            </w:r>
          </w:p>
        </w:tc>
      </w:tr>
      <w:tr>
        <w:trPr>
          <w:cantSplit/>
        </w:trPr>
        <w:tc>
          <w:tcPr>
            <w:tcW w:w="1202" w:type="dxa"/>
          </w:tcPr>
          <w:p>
            <w:pPr>
              <w:pStyle w:val="TableText"/>
              <w:jc w:val="left"/>
            </w:pPr>
            <w:r>
              <w:rPr>
                <w:b/>
                <w:bCs/>
              </w:rPr>
              <w:t xml:space="preserve">G4 Technology wave</w:t>
            </w:r>
          </w:p>
        </w:tc>
        <w:tc>
          <w:tcPr>
            <w:tcW w:w="1459" w:type="dxa"/>
          </w:tcPr>
          <w:p>
            <w:pPr>
              <w:pStyle w:val="TableText"/>
              <w:jc w:val="left"/>
            </w:pPr>
            <w:r>
              <w:t xml:space="preserve">What makes it possible now?</w:t>
            </w:r>
          </w:p>
        </w:tc>
        <w:tc>
          <w:tcPr>
            <w:tcW w:w="6699" w:type="dxa"/>
          </w:tcPr>
          <w:p>
            <w:pPr>
              <w:pStyle w:val="TableText"/>
              <w:jc w:val="left"/>
            </w:pPr>
            <w:r>
              <w:t xml:space="preserve">T-a Agentic AI · T-b Robotics and autonomy · T-c Verifiable identity and credentials · T-d Instant and programmable money · T-e Sensing and earth observation · T-f Digital twins and simulation · T-g Clean energy and storage · T-h Advanced connectivity (satellite-to-phone, 5G) · T-i Additive manufacturing and digital fabrication · T-j Spatial computing (VR and AR)</w:t>
            </w:r>
          </w:p>
        </w:tc>
      </w:tr>
      <w:tr>
        <w:trPr>
          <w:cantSplit/>
        </w:trPr>
        <w:tc>
          <w:tcPr>
            <w:tcW w:w="1202" w:type="dxa"/>
          </w:tcPr>
          <w:p>
            <w:pPr>
              <w:pStyle w:val="TableText"/>
              <w:jc w:val="left"/>
            </w:pPr>
            <w:r>
              <w:rPr>
                <w:b/>
                <w:bCs/>
              </w:rPr>
              <w:t xml:space="preserve">G5 Governance form</w:t>
            </w:r>
          </w:p>
        </w:tc>
        <w:tc>
          <w:tcPr>
            <w:tcW w:w="1459" w:type="dxa"/>
          </w:tcPr>
          <w:p>
            <w:pPr>
              <w:pStyle w:val="TableText"/>
              <w:jc w:val="left"/>
            </w:pPr>
            <w:r>
              <w:t xml:space="preserve">Who owns and governs it?</w:t>
            </w:r>
          </w:p>
        </w:tc>
        <w:tc>
          <w:tcPr>
            <w:tcW w:w="6699" w:type="dxa"/>
          </w:tcPr>
          <w:p>
            <w:pPr>
              <w:pStyle w:val="TableText"/>
              <w:jc w:val="left"/>
            </w:pPr>
            <w:r>
              <w:t xml:space="preserve">Investor-owned · Steward-owned (purpose trust or golden share) · Worker cooperative · Consumer or user cooperative · Mutual · Public–private–commons partnership · Protocol foundation · Community land or data trust</w:t>
            </w:r>
          </w:p>
        </w:tc>
      </w:tr>
      <w:tr>
        <w:trPr>
          <w:cantSplit/>
        </w:trPr>
        <w:tc>
          <w:tcPr>
            <w:tcW w:w="1202" w:type="dxa"/>
          </w:tcPr>
          <w:p>
            <w:pPr>
              <w:pStyle w:val="TableText"/>
              <w:jc w:val="left"/>
            </w:pPr>
            <w:r>
              <w:rPr>
                <w:b/>
                <w:bCs/>
              </w:rPr>
              <w:t xml:space="preserve">G6 Foothold</w:t>
            </w:r>
          </w:p>
        </w:tc>
        <w:tc>
          <w:tcPr>
            <w:tcW w:w="1459" w:type="dxa"/>
          </w:tcPr>
          <w:p>
            <w:pPr>
              <w:pStyle w:val="TableText"/>
              <w:jc w:val="left"/>
            </w:pPr>
            <w:r>
              <w:t xml:space="preserve">Where does it start, so incumbents won’t follow?</w:t>
            </w:r>
          </w:p>
        </w:tc>
        <w:tc>
          <w:tcPr>
            <w:tcW w:w="6699" w:type="dxa"/>
          </w:tcPr>
          <w:p>
            <w:pPr>
              <w:pStyle w:val="TableText"/>
              <w:jc w:val="left"/>
            </w:pPr>
            <w:r>
              <w:t xml:space="preserve">Non-consumption · Low-end · New-market · Regulatory window (a new law creates demand) · Crisis window (a shock creates demand) · Global South leapfrog</w:t>
            </w:r>
          </w:p>
        </w:tc>
      </w:tr>
    </w:tbl>
    <w:p>
      <w:pPr>
        <w:pStyle w:val="BodyText"/>
        <w:spacing w:before="160"/>
      </w:pPr>
      <w:r>
        <w:rPr>
          <w:b/>
          <w:bCs/>
        </w:rPr>
        <w:t xml:space="preserve">A Genome code</w:t>
      </w:r>
      <w:r>
        <w:t xml:space="preserve"> </w:t>
      </w:r>
      <w:r>
        <w:t xml:space="preserve">summarizes a venture in one line, for example:</w:t>
      </w:r>
    </w:p>
    <w:p>
      <w:pPr>
        <w:pStyle w:val="BlockText"/>
      </w:pPr>
      <w:r>
        <w:rPr>
          <w:b/>
          <w:bCs/>
        </w:rPr>
        <w:t xml:space="preserve">Uber (c.2012):</w:t>
      </w:r>
      <w:r>
        <w:t xml:space="preserve"> </w:t>
      </w:r>
      <w:r>
        <w:t xml:space="preserve">D7 mobility · L5 idle vehicles + L1 idle time · A1 dispatch · smartphone and GPS (the 2008 stack) · investor-owned · started in the mainstream (no classic foothold)</w:t>
      </w:r>
    </w:p>
    <w:p>
      <w:pPr>
        <w:pStyle w:val="BlockText"/>
      </w:pPr>
      <w:r>
        <w:rPr>
          <w:b/>
          <w:bCs/>
        </w:rPr>
        <w:t xml:space="preserve">Airbnb (c.2009):</w:t>
      </w:r>
      <w:r>
        <w:t xml:space="preserve"> </w:t>
      </w:r>
      <w:r>
        <w:t xml:space="preserve">D7 housing · L3 idle space · A2 idle-asset marketplace · smartphone, online payments, social identity · investor-owned · new-market (people who would not have booked hotels)</w:t>
      </w:r>
    </w:p>
    <w:p>
      <w:pPr>
        <w:pStyle w:val="FirstParagraph"/>
      </w:pPr>
      <w:r>
        <w:rPr>
          <w:b/>
          <w:bCs/>
        </w:rPr>
        <w:t xml:space="preserve">How to generate ideas with the Genome.</w:t>
      </w:r>
    </w:p>
    <w:p>
      <w:pPr>
        <w:pStyle w:val="Compact"/>
        <w:numPr>
          <w:ilvl w:val="0"/>
          <w:numId w:val="1005"/>
        </w:numPr>
      </w:pPr>
      <w:r>
        <w:t xml:space="preserve">Pick a problem from the Future Problem Atlas (G1).</w:t>
      </w:r>
    </w:p>
    <w:p>
      <w:pPr>
        <w:pStyle w:val="Compact"/>
        <w:numPr>
          <w:ilvl w:val="0"/>
          <w:numId w:val="1005"/>
        </w:numPr>
      </w:pPr>
      <w:r>
        <w:t xml:space="preserve">List every latent capacity that could address it (G2). Aim for at least five.</w:t>
      </w:r>
    </w:p>
    <w:p>
      <w:pPr>
        <w:pStyle w:val="Compact"/>
        <w:numPr>
          <w:ilvl w:val="0"/>
          <w:numId w:val="1005"/>
        </w:numPr>
      </w:pPr>
      <w:r>
        <w:t xml:space="preserve">For each capacity, ask which archetypes could unlock it (G3). This gives a matrix of candidate concepts.</w:t>
      </w:r>
    </w:p>
    <w:p>
      <w:pPr>
        <w:pStyle w:val="Compact"/>
        <w:numPr>
          <w:ilvl w:val="0"/>
          <w:numId w:val="1005"/>
        </w:numPr>
      </w:pPr>
      <w:r>
        <w:t xml:space="preserve">Ask which technology waves make each candidate newly feasible (G4). Drop candidates no new wave enables; they were possible before, and someone has probably tried.</w:t>
      </w:r>
    </w:p>
    <w:p>
      <w:pPr>
        <w:pStyle w:val="Compact"/>
        <w:numPr>
          <w:ilvl w:val="0"/>
          <w:numId w:val="1005"/>
        </w:numPr>
      </w:pPr>
      <w:r>
        <w:t xml:space="preserve">Choose the governance form that would pass the veil-of-ignorance test (G5).</w:t>
      </w:r>
    </w:p>
    <w:p>
      <w:pPr>
        <w:pStyle w:val="Compact"/>
        <w:numPr>
          <w:ilvl w:val="0"/>
          <w:numId w:val="1005"/>
        </w:numPr>
      </w:pPr>
      <w:r>
        <w:t xml:space="preserve">Find a foothold incumbents will ignore (G6).</w:t>
      </w:r>
    </w:p>
    <w:p>
      <w:pPr>
        <w:pStyle w:val="Compact"/>
        <w:numPr>
          <w:ilvl w:val="0"/>
          <w:numId w:val="1005"/>
        </w:numPr>
      </w:pPr>
      <w:r>
        <w:t xml:space="preserve">Run the survivors through the fit test (Volume I, Part VI) and the Double Decagon.</w:t>
      </w:r>
    </w:p>
    <w:p>
      <w:pPr>
        <w:pStyle w:val="FirstParagraph"/>
      </w:pPr>
      <w:r>
        <w:rPr>
          <w:i/>
          <w:iCs/>
        </w:rPr>
        <w:t xml:space="preserve">Worked example.</w:t>
      </w:r>
      <w:r>
        <w:t xml:space="preserve"> </w:t>
      </w:r>
      <w:r>
        <w:t xml:space="preserve">Problem: extreme heat (D4). Latent capacities: idle cool spaces (L3), idle cooling equipment (L4), idle transport (L5), idle community presence (L11), idle energy storage (L6). Archetypes: idle-asset marketplace for cool rooms (A2), pooled cooling equipment (A4), dispatch of transport to refuges (A1), mutual heat-income cover (A6). Technology: hyperlocal heat forecasting (T-e), efficient cooling and storage (T-g). Governance: public–private–commons partnership. Foothold: crisis window (heatwaves) and non-consumption (people without air conditioning). Result:</w:t>
      </w:r>
      <w:r>
        <w:t xml:space="preserve"> </w:t>
      </w:r>
      <w:r>
        <w:rPr>
          <w:b/>
          <w:bCs/>
        </w:rPr>
        <w:t xml:space="preserve">CoolHaven</w:t>
      </w:r>
      <w:r>
        <w:t xml:space="preserve"> </w:t>
      </w:r>
      <w:r>
        <w:t xml:space="preserve">(Venture 4).</w:t>
      </w:r>
    </w:p>
    <w:bookmarkEnd w:id="33"/>
    <w:bookmarkStart w:id="34" w:name="ten-platform-archetypes"/>
    <w:p>
      <w:pPr>
        <w:pStyle w:val="Heading2"/>
      </w:pPr>
      <w:r>
        <w:t xml:space="preserve">3.3 Ten platform archetypes</w:t>
      </w:r>
    </w:p>
    <w:p>
      <w:pPr>
        <w:pStyle w:val="FirstParagraph"/>
      </w:pPr>
      <w:r>
        <w:t xml:space="preserve">Uber and Airbnb are two archetypes. Volume I’s Part VI added the skills marketplace, pooled access and the relationship platform. The 2030–2050 landscape needs five more.</w:t>
      </w:r>
    </w:p>
    <w:tbl>
      <w:tblPr>
        <w:tblStyle w:val="Table"/>
        <w:tblW w:w="9360" w:type="dxa"/>
        <w:jc w:val="left"/>
        <w:tblLayout w:type="fixed"/>
        <w:tblLook w:firstRow="1" w:lastRow="0" w:firstColumn="0" w:lastColumn="0" w:noHBand="0" w:noVBand="0" w:val="0020"/>
      </w:tblPr>
      <w:tblGrid>
        <w:gridCol w:w="534"/>
        <w:gridCol w:w="1515"/>
        <w:gridCol w:w="3120"/>
        <w:gridCol w:w="1693"/>
        <w:gridCol w:w="2498"/>
      </w:tblGrid>
      <w:tr>
        <w:trPr>
          <w:cantSplit/>
          <w:tblHeader w:val="true"/>
        </w:trPr>
        <w:tc>
          <w:tcPr>
            <w:tcW w:w="534" w:type="dxa"/>
          </w:tcPr>
          <w:p>
            <w:pPr>
              <w:pStyle w:val="TableText"/>
              <w:jc w:val="left"/>
            </w:pPr>
            <w:r>
              <w:t xml:space="preserve">#</w:t>
            </w:r>
          </w:p>
        </w:tc>
        <w:tc>
          <w:tcPr>
            <w:tcW w:w="1515" w:type="dxa"/>
          </w:tcPr>
          <w:p>
            <w:pPr>
              <w:pStyle w:val="TableText"/>
              <w:jc w:val="left"/>
            </w:pPr>
            <w:r>
              <w:t xml:space="preserve">Archetype</w:t>
            </w:r>
          </w:p>
        </w:tc>
        <w:tc>
          <w:tcPr>
            <w:tcW w:w="3120" w:type="dxa"/>
          </w:tcPr>
          <w:p>
            <w:pPr>
              <w:pStyle w:val="TableText"/>
              <w:jc w:val="left"/>
            </w:pPr>
            <w:r>
              <w:t xml:space="preserve">Mechanism</w:t>
            </w:r>
          </w:p>
        </w:tc>
        <w:tc>
          <w:tcPr>
            <w:tcW w:w="1693" w:type="dxa"/>
          </w:tcPr>
          <w:p>
            <w:pPr>
              <w:pStyle w:val="TableText"/>
              <w:jc w:val="left"/>
            </w:pPr>
            <w:r>
              <w:t xml:space="preserve">Benchmark example</w:t>
            </w:r>
          </w:p>
        </w:tc>
        <w:tc>
          <w:tcPr>
            <w:tcW w:w="2498" w:type="dxa"/>
          </w:tcPr>
          <w:p>
            <w:pPr>
              <w:pStyle w:val="TableText"/>
              <w:jc w:val="left"/>
            </w:pPr>
            <w:r>
              <w:t xml:space="preserve">Best for</w:t>
            </w:r>
          </w:p>
        </w:tc>
      </w:tr>
      <w:tr>
        <w:trPr>
          <w:cantSplit/>
        </w:trPr>
        <w:tc>
          <w:tcPr>
            <w:tcW w:w="534" w:type="dxa"/>
          </w:tcPr>
          <w:p>
            <w:pPr>
              <w:pStyle w:val="TableText"/>
              <w:jc w:val="left"/>
            </w:pPr>
            <w:r>
              <w:rPr>
                <w:b/>
                <w:bCs/>
              </w:rPr>
              <w:t xml:space="preserve">A1</w:t>
            </w:r>
          </w:p>
        </w:tc>
        <w:tc>
          <w:tcPr>
            <w:tcW w:w="1515" w:type="dxa"/>
          </w:tcPr>
          <w:p>
            <w:pPr>
              <w:pStyle w:val="TableText"/>
              <w:jc w:val="left"/>
            </w:pPr>
            <w:r>
              <w:rPr>
                <w:b/>
                <w:bCs/>
              </w:rPr>
              <w:t xml:space="preserve">On-demand dispatch</w:t>
            </w:r>
          </w:p>
        </w:tc>
        <w:tc>
          <w:tcPr>
            <w:tcW w:w="3120" w:type="dxa"/>
          </w:tcPr>
          <w:p>
            <w:pPr>
              <w:pStyle w:val="TableText"/>
              <w:jc w:val="left"/>
            </w:pPr>
            <w:r>
              <w:t xml:space="preserve">The platform assigns the nearest suitable provider in real time and sets the price</w:t>
            </w:r>
          </w:p>
        </w:tc>
        <w:tc>
          <w:tcPr>
            <w:tcW w:w="1693" w:type="dxa"/>
          </w:tcPr>
          <w:p>
            <w:pPr>
              <w:pStyle w:val="TableText"/>
              <w:jc w:val="left"/>
            </w:pPr>
            <w:r>
              <w:t xml:space="preserve">Uber</w:t>
            </w:r>
          </w:p>
        </w:tc>
        <w:tc>
          <w:tcPr>
            <w:tcW w:w="2498" w:type="dxa"/>
          </w:tcPr>
          <w:p>
            <w:pPr>
              <w:pStyle w:val="TableText"/>
              <w:jc w:val="left"/>
            </w:pPr>
            <w:r>
              <w:t xml:space="preserve">Urgent, location-bound, standardized services</w:t>
            </w:r>
          </w:p>
        </w:tc>
      </w:tr>
      <w:tr>
        <w:trPr>
          <w:cantSplit/>
        </w:trPr>
        <w:tc>
          <w:tcPr>
            <w:tcW w:w="534" w:type="dxa"/>
          </w:tcPr>
          <w:p>
            <w:pPr>
              <w:pStyle w:val="TableText"/>
              <w:jc w:val="left"/>
            </w:pPr>
            <w:r>
              <w:rPr>
                <w:b/>
                <w:bCs/>
              </w:rPr>
              <w:t xml:space="preserve">A2</w:t>
            </w:r>
          </w:p>
        </w:tc>
        <w:tc>
          <w:tcPr>
            <w:tcW w:w="1515" w:type="dxa"/>
          </w:tcPr>
          <w:p>
            <w:pPr>
              <w:pStyle w:val="TableText"/>
              <w:jc w:val="left"/>
            </w:pPr>
            <w:r>
              <w:rPr>
                <w:b/>
                <w:bCs/>
              </w:rPr>
              <w:t xml:space="preserve">Idle-asset marketplace</w:t>
            </w:r>
          </w:p>
        </w:tc>
        <w:tc>
          <w:tcPr>
            <w:tcW w:w="3120" w:type="dxa"/>
          </w:tcPr>
          <w:p>
            <w:pPr>
              <w:pStyle w:val="TableText"/>
              <w:jc w:val="left"/>
            </w:pPr>
            <w:r>
              <w:t xml:space="preserve">Owners list unique assets; customers search, choose and book</w:t>
            </w:r>
          </w:p>
        </w:tc>
        <w:tc>
          <w:tcPr>
            <w:tcW w:w="1693" w:type="dxa"/>
          </w:tcPr>
          <w:p>
            <w:pPr>
              <w:pStyle w:val="TableText"/>
              <w:jc w:val="left"/>
            </w:pPr>
            <w:r>
              <w:t xml:space="preserve">Airbnb</w:t>
            </w:r>
          </w:p>
        </w:tc>
        <w:tc>
          <w:tcPr>
            <w:tcW w:w="2498" w:type="dxa"/>
          </w:tcPr>
          <w:p>
            <w:pPr>
              <w:pStyle w:val="TableText"/>
              <w:jc w:val="left"/>
            </w:pPr>
            <w:r>
              <w:t xml:space="preserve">Heterogeneous assets that sit unused</w:t>
            </w:r>
          </w:p>
        </w:tc>
      </w:tr>
      <w:tr>
        <w:trPr>
          <w:cantSplit/>
        </w:trPr>
        <w:tc>
          <w:tcPr>
            <w:tcW w:w="534" w:type="dxa"/>
          </w:tcPr>
          <w:p>
            <w:pPr>
              <w:pStyle w:val="TableText"/>
              <w:jc w:val="left"/>
            </w:pPr>
            <w:r>
              <w:rPr>
                <w:b/>
                <w:bCs/>
              </w:rPr>
              <w:t xml:space="preserve">A3</w:t>
            </w:r>
          </w:p>
        </w:tc>
        <w:tc>
          <w:tcPr>
            <w:tcW w:w="1515" w:type="dxa"/>
          </w:tcPr>
          <w:p>
            <w:pPr>
              <w:pStyle w:val="TableText"/>
              <w:jc w:val="left"/>
            </w:pPr>
            <w:r>
              <w:rPr>
                <w:b/>
                <w:bCs/>
              </w:rPr>
              <w:t xml:space="preserve">Skills marketplace</w:t>
            </w:r>
          </w:p>
        </w:tc>
        <w:tc>
          <w:tcPr>
            <w:tcW w:w="3120" w:type="dxa"/>
          </w:tcPr>
          <w:p>
            <w:pPr>
              <w:pStyle w:val="TableText"/>
              <w:jc w:val="left"/>
            </w:pPr>
            <w:r>
              <w:t xml:space="preserve">Providers with profiles and reviews; scheduled work</w:t>
            </w:r>
          </w:p>
        </w:tc>
        <w:tc>
          <w:tcPr>
            <w:tcW w:w="1693" w:type="dxa"/>
          </w:tcPr>
          <w:p>
            <w:pPr>
              <w:pStyle w:val="TableText"/>
              <w:jc w:val="left"/>
            </w:pPr>
            <w:r>
              <w:t xml:space="preserve">Urban Company, Upwork</w:t>
            </w:r>
          </w:p>
        </w:tc>
        <w:tc>
          <w:tcPr>
            <w:tcW w:w="2498" w:type="dxa"/>
          </w:tcPr>
          <w:p>
            <w:pPr>
              <w:pStyle w:val="TableText"/>
              <w:jc w:val="left"/>
            </w:pPr>
            <w:r>
              <w:t xml:space="preserve">Skilled services where the provider matters</w:t>
            </w:r>
          </w:p>
        </w:tc>
      </w:tr>
      <w:tr>
        <w:trPr>
          <w:cantSplit/>
        </w:trPr>
        <w:tc>
          <w:tcPr>
            <w:tcW w:w="534" w:type="dxa"/>
          </w:tcPr>
          <w:p>
            <w:pPr>
              <w:pStyle w:val="TableText"/>
              <w:jc w:val="left"/>
            </w:pPr>
            <w:r>
              <w:rPr>
                <w:b/>
                <w:bCs/>
              </w:rPr>
              <w:t xml:space="preserve">A4</w:t>
            </w:r>
          </w:p>
        </w:tc>
        <w:tc>
          <w:tcPr>
            <w:tcW w:w="1515" w:type="dxa"/>
          </w:tcPr>
          <w:p>
            <w:pPr>
              <w:pStyle w:val="TableText"/>
              <w:jc w:val="left"/>
            </w:pPr>
            <w:r>
              <w:rPr>
                <w:b/>
                <w:bCs/>
              </w:rPr>
              <w:t xml:space="preserve">Pooled access</w:t>
            </w:r>
          </w:p>
        </w:tc>
        <w:tc>
          <w:tcPr>
            <w:tcW w:w="3120" w:type="dxa"/>
          </w:tcPr>
          <w:p>
            <w:pPr>
              <w:pStyle w:val="TableText"/>
              <w:jc w:val="left"/>
            </w:pPr>
            <w:r>
              <w:t xml:space="preserve">The platform manages a shared pool (fleet, lockers, swap stations)</w:t>
            </w:r>
          </w:p>
        </w:tc>
        <w:tc>
          <w:tcPr>
            <w:tcW w:w="1693" w:type="dxa"/>
          </w:tcPr>
          <w:p>
            <w:pPr>
              <w:pStyle w:val="TableText"/>
              <w:jc w:val="left"/>
            </w:pPr>
            <w:r>
              <w:t xml:space="preserve">Bike and scooter sharing, battery swapping</w:t>
            </w:r>
          </w:p>
        </w:tc>
        <w:tc>
          <w:tcPr>
            <w:tcW w:w="2498" w:type="dxa"/>
          </w:tcPr>
          <w:p>
            <w:pPr>
              <w:pStyle w:val="TableText"/>
              <w:jc w:val="left"/>
            </w:pPr>
            <w:r>
              <w:t xml:space="preserve">Standardized assets used briefly by many</w:t>
            </w:r>
          </w:p>
        </w:tc>
      </w:tr>
      <w:tr>
        <w:trPr>
          <w:cantSplit/>
        </w:trPr>
        <w:tc>
          <w:tcPr>
            <w:tcW w:w="534" w:type="dxa"/>
          </w:tcPr>
          <w:p>
            <w:pPr>
              <w:pStyle w:val="TableText"/>
              <w:jc w:val="left"/>
            </w:pPr>
            <w:r>
              <w:rPr>
                <w:b/>
                <w:bCs/>
              </w:rPr>
              <w:t xml:space="preserve">A5</w:t>
            </w:r>
          </w:p>
        </w:tc>
        <w:tc>
          <w:tcPr>
            <w:tcW w:w="1515" w:type="dxa"/>
          </w:tcPr>
          <w:p>
            <w:pPr>
              <w:pStyle w:val="TableText"/>
              <w:jc w:val="left"/>
            </w:pPr>
            <w:r>
              <w:rPr>
                <w:b/>
                <w:bCs/>
              </w:rPr>
              <w:t xml:space="preserve">Relationship platform</w:t>
            </w:r>
          </w:p>
        </w:tc>
        <w:tc>
          <w:tcPr>
            <w:tcW w:w="3120" w:type="dxa"/>
          </w:tcPr>
          <w:p>
            <w:pPr>
              <w:pStyle w:val="TableText"/>
              <w:jc w:val="left"/>
            </w:pPr>
            <w:r>
              <w:t xml:space="preserve">Ongoing circles or subscriptions with scheduling, payments and guarantees</w:t>
            </w:r>
          </w:p>
        </w:tc>
        <w:tc>
          <w:tcPr>
            <w:tcW w:w="1693" w:type="dxa"/>
          </w:tcPr>
          <w:p>
            <w:pPr>
              <w:pStyle w:val="TableText"/>
              <w:jc w:val="left"/>
            </w:pPr>
            <w:r>
              <w:t xml:space="preserve">KinGrid (Vol I)</w:t>
            </w:r>
          </w:p>
        </w:tc>
        <w:tc>
          <w:tcPr>
            <w:tcW w:w="2498" w:type="dxa"/>
          </w:tcPr>
          <w:p>
            <w:pPr>
              <w:pStyle w:val="TableText"/>
              <w:jc w:val="left"/>
            </w:pPr>
            <w:r>
              <w:t xml:space="preserve">Recurring relationships that would otherwise leak</w:t>
            </w:r>
          </w:p>
        </w:tc>
      </w:tr>
      <w:tr>
        <w:trPr>
          <w:cantSplit/>
        </w:trPr>
        <w:tc>
          <w:tcPr>
            <w:tcW w:w="534" w:type="dxa"/>
          </w:tcPr>
          <w:p>
            <w:pPr>
              <w:pStyle w:val="TableText"/>
              <w:jc w:val="left"/>
            </w:pPr>
            <w:r>
              <w:rPr>
                <w:b/>
                <w:bCs/>
              </w:rPr>
              <w:t xml:space="preserve">A6</w:t>
            </w:r>
          </w:p>
        </w:tc>
        <w:tc>
          <w:tcPr>
            <w:tcW w:w="1515" w:type="dxa"/>
          </w:tcPr>
          <w:p>
            <w:pPr>
              <w:pStyle w:val="TableText"/>
              <w:jc w:val="left"/>
            </w:pPr>
            <w:r>
              <w:rPr>
                <w:b/>
                <w:bCs/>
              </w:rPr>
              <w:t xml:space="preserve">Mutual</w:t>
            </w:r>
          </w:p>
        </w:tc>
        <w:tc>
          <w:tcPr>
            <w:tcW w:w="3120" w:type="dxa"/>
          </w:tcPr>
          <w:p>
            <w:pPr>
              <w:pStyle w:val="TableText"/>
              <w:jc w:val="left"/>
            </w:pPr>
            <w:r>
              <w:t xml:space="preserve">Members pool risk or resources and share surplus</w:t>
            </w:r>
          </w:p>
        </w:tc>
        <w:tc>
          <w:tcPr>
            <w:tcW w:w="1693" w:type="dxa"/>
          </w:tcPr>
          <w:p>
            <w:pPr>
              <w:pStyle w:val="TableText"/>
              <w:jc w:val="left"/>
            </w:pPr>
            <w:r>
              <w:t xml:space="preserve">Bastion (Vol I); friendly societies</w:t>
            </w:r>
          </w:p>
        </w:tc>
        <w:tc>
          <w:tcPr>
            <w:tcW w:w="2498" w:type="dxa"/>
          </w:tcPr>
          <w:p>
            <w:pPr>
              <w:pStyle w:val="TableText"/>
              <w:jc w:val="left"/>
            </w:pPr>
            <w:r>
              <w:t xml:space="preserve">Risk, insurance and crisis capacity</w:t>
            </w:r>
          </w:p>
        </w:tc>
      </w:tr>
      <w:tr>
        <w:trPr>
          <w:cantSplit/>
        </w:trPr>
        <w:tc>
          <w:tcPr>
            <w:tcW w:w="534" w:type="dxa"/>
          </w:tcPr>
          <w:p>
            <w:pPr>
              <w:pStyle w:val="TableText"/>
              <w:jc w:val="left"/>
            </w:pPr>
            <w:r>
              <w:rPr>
                <w:b/>
                <w:bCs/>
              </w:rPr>
              <w:t xml:space="preserve">A7</w:t>
            </w:r>
          </w:p>
        </w:tc>
        <w:tc>
          <w:tcPr>
            <w:tcW w:w="1515" w:type="dxa"/>
          </w:tcPr>
          <w:p>
            <w:pPr>
              <w:pStyle w:val="TableText"/>
              <w:jc w:val="left"/>
            </w:pPr>
            <w:r>
              <w:rPr>
                <w:b/>
                <w:bCs/>
              </w:rPr>
              <w:t xml:space="preserve">Data or knowledge trust</w:t>
            </w:r>
          </w:p>
        </w:tc>
        <w:tc>
          <w:tcPr>
            <w:tcW w:w="3120" w:type="dxa"/>
          </w:tcPr>
          <w:p>
            <w:pPr>
              <w:pStyle w:val="TableText"/>
              <w:jc w:val="left"/>
            </w:pPr>
            <w:r>
              <w:t xml:space="preserve">A fiduciary holds rights to members’ data and licenses it on their behalf</w:t>
            </w:r>
          </w:p>
        </w:tc>
        <w:tc>
          <w:tcPr>
            <w:tcW w:w="1693" w:type="dxa"/>
          </w:tcPr>
          <w:p>
            <w:pPr>
              <w:pStyle w:val="TableText"/>
              <w:jc w:val="left"/>
            </w:pPr>
            <w:r>
              <w:t xml:space="preserve">DataGuild (Vol I)</w:t>
            </w:r>
          </w:p>
        </w:tc>
        <w:tc>
          <w:tcPr>
            <w:tcW w:w="2498" w:type="dxa"/>
          </w:tcPr>
          <w:p>
            <w:pPr>
              <w:pStyle w:val="TableText"/>
              <w:jc w:val="left"/>
            </w:pPr>
            <w:r>
              <w:t xml:space="preserve">Data, knowledge and creative work</w:t>
            </w:r>
          </w:p>
        </w:tc>
      </w:tr>
      <w:tr>
        <w:trPr>
          <w:cantSplit/>
        </w:trPr>
        <w:tc>
          <w:tcPr>
            <w:tcW w:w="534" w:type="dxa"/>
          </w:tcPr>
          <w:p>
            <w:pPr>
              <w:pStyle w:val="TableText"/>
              <w:jc w:val="left"/>
            </w:pPr>
            <w:r>
              <w:rPr>
                <w:b/>
                <w:bCs/>
              </w:rPr>
              <w:t xml:space="preserve">A8</w:t>
            </w:r>
          </w:p>
        </w:tc>
        <w:tc>
          <w:tcPr>
            <w:tcW w:w="1515" w:type="dxa"/>
          </w:tcPr>
          <w:p>
            <w:pPr>
              <w:pStyle w:val="TableText"/>
              <w:jc w:val="left"/>
            </w:pPr>
            <w:r>
              <w:rPr>
                <w:b/>
                <w:bCs/>
              </w:rPr>
              <w:t xml:space="preserve">Protocol commons</w:t>
            </w:r>
          </w:p>
        </w:tc>
        <w:tc>
          <w:tcPr>
            <w:tcW w:w="3120" w:type="dxa"/>
          </w:tcPr>
          <w:p>
            <w:pPr>
              <w:pStyle w:val="TableText"/>
              <w:jc w:val="left"/>
            </w:pPr>
            <w:r>
              <w:t xml:space="preserve">Open standards let many providers and apps interoperate; no single owner of the user</w:t>
            </w:r>
          </w:p>
        </w:tc>
        <w:tc>
          <w:tcPr>
            <w:tcW w:w="1693" w:type="dxa"/>
          </w:tcPr>
          <w:p>
            <w:pPr>
              <w:pStyle w:val="TableText"/>
              <w:jc w:val="left"/>
            </w:pPr>
            <w:r>
              <w:t xml:space="preserve">Beckn/ONDC; Namma Yatri</w:t>
            </w:r>
          </w:p>
        </w:tc>
        <w:tc>
          <w:tcPr>
            <w:tcW w:w="2498" w:type="dxa"/>
          </w:tcPr>
          <w:p>
            <w:pPr>
              <w:pStyle w:val="TableText"/>
              <w:jc w:val="left"/>
            </w:pPr>
            <w:r>
              <w:t xml:space="preserve">Markets where lock-in is the main risk</w:t>
            </w:r>
          </w:p>
        </w:tc>
      </w:tr>
      <w:tr>
        <w:trPr>
          <w:cantSplit/>
        </w:trPr>
        <w:tc>
          <w:tcPr>
            <w:tcW w:w="534" w:type="dxa"/>
          </w:tcPr>
          <w:p>
            <w:pPr>
              <w:pStyle w:val="TableText"/>
              <w:jc w:val="left"/>
            </w:pPr>
            <w:r>
              <w:rPr>
                <w:b/>
                <w:bCs/>
              </w:rPr>
              <w:t xml:space="preserve">A9</w:t>
            </w:r>
          </w:p>
        </w:tc>
        <w:tc>
          <w:tcPr>
            <w:tcW w:w="1515" w:type="dxa"/>
          </w:tcPr>
          <w:p>
            <w:pPr>
              <w:pStyle w:val="TableText"/>
              <w:jc w:val="left"/>
            </w:pPr>
            <w:r>
              <w:rPr>
                <w:b/>
                <w:bCs/>
              </w:rPr>
              <w:t xml:space="preserve">Agent-native exchange</w:t>
            </w:r>
          </w:p>
        </w:tc>
        <w:tc>
          <w:tcPr>
            <w:tcW w:w="3120" w:type="dxa"/>
          </w:tcPr>
          <w:p>
            <w:pPr>
              <w:pStyle w:val="TableText"/>
              <w:jc w:val="left"/>
            </w:pPr>
            <w:r>
              <w:t xml:space="preserve">AI agents representing buyers and sellers negotiate under human-set mandates</w:t>
            </w:r>
          </w:p>
        </w:tc>
        <w:tc>
          <w:tcPr>
            <w:tcW w:w="1693" w:type="dxa"/>
          </w:tcPr>
          <w:p>
            <w:pPr>
              <w:pStyle w:val="TableText"/>
              <w:jc w:val="left"/>
            </w:pPr>
            <w:r>
              <w:t xml:space="preserve">AgentUnion (this volume)</w:t>
            </w:r>
          </w:p>
        </w:tc>
        <w:tc>
          <w:tcPr>
            <w:tcW w:w="2498" w:type="dxa"/>
          </w:tcPr>
          <w:p>
            <w:pPr>
              <w:pStyle w:val="TableText"/>
              <w:jc w:val="left"/>
            </w:pPr>
            <w:r>
              <w:t xml:space="preserve">High-volume, comparable transactions in the agentic era</w:t>
            </w:r>
          </w:p>
        </w:tc>
      </w:tr>
      <w:tr>
        <w:trPr>
          <w:cantSplit/>
        </w:trPr>
        <w:tc>
          <w:tcPr>
            <w:tcW w:w="534" w:type="dxa"/>
          </w:tcPr>
          <w:p>
            <w:pPr>
              <w:pStyle w:val="TableText"/>
              <w:jc w:val="left"/>
            </w:pPr>
            <w:r>
              <w:rPr>
                <w:b/>
                <w:bCs/>
              </w:rPr>
              <w:t xml:space="preserve">A10</w:t>
            </w:r>
          </w:p>
        </w:tc>
        <w:tc>
          <w:tcPr>
            <w:tcW w:w="1515" w:type="dxa"/>
          </w:tcPr>
          <w:p>
            <w:pPr>
              <w:pStyle w:val="TableText"/>
              <w:jc w:val="left"/>
            </w:pPr>
            <w:r>
              <w:rPr>
                <w:b/>
                <w:bCs/>
              </w:rPr>
              <w:t xml:space="preserve">Ownership cooperative</w:t>
            </w:r>
          </w:p>
        </w:tc>
        <w:tc>
          <w:tcPr>
            <w:tcW w:w="3120" w:type="dxa"/>
          </w:tcPr>
          <w:p>
            <w:pPr>
              <w:pStyle w:val="TableText"/>
              <w:jc w:val="left"/>
            </w:pPr>
            <w:r>
              <w:t xml:space="preserve">Members collectively own productive capital (vehicles, robots, machines) and share returns</w:t>
            </w:r>
          </w:p>
        </w:tc>
        <w:tc>
          <w:tcPr>
            <w:tcW w:w="1693" w:type="dxa"/>
          </w:tcPr>
          <w:p>
            <w:pPr>
              <w:pStyle w:val="TableText"/>
              <w:jc w:val="left"/>
            </w:pPr>
            <w:r>
              <w:t xml:space="preserve">CommonFleet (Vol I)</w:t>
            </w:r>
          </w:p>
        </w:tc>
        <w:tc>
          <w:tcPr>
            <w:tcW w:w="2498" w:type="dxa"/>
          </w:tcPr>
          <w:p>
            <w:pPr>
              <w:pStyle w:val="TableText"/>
              <w:jc w:val="left"/>
            </w:pPr>
            <w:r>
              <w:t xml:space="preserve">Capital-intensive assets that automate work</w:t>
            </w:r>
          </w:p>
        </w:tc>
      </w:tr>
    </w:tbl>
    <w:p>
      <w:pPr>
        <w:pStyle w:val="BodyText"/>
        <w:spacing w:before="160"/>
      </w:pPr>
      <w:r>
        <w:rPr>
          <w:b/>
          <w:bCs/>
        </w:rPr>
        <w:t xml:space="preserve">Choosing between them.</w:t>
      </w:r>
      <w:r>
        <w:t xml:space="preserve"> </w:t>
      </w:r>
      <w:r>
        <w:t xml:space="preserve">Volume I’s decision guide (Part VI) covers A1–A5. For A6–A10, add three questions:</w:t>
      </w:r>
    </w:p>
    <w:p>
      <w:pPr>
        <w:pStyle w:val="Compact"/>
        <w:numPr>
          <w:ilvl w:val="0"/>
          <w:numId w:val="1006"/>
        </w:numPr>
      </w:pPr>
      <w:r>
        <w:rPr>
          <w:i/>
          <w:iCs/>
        </w:rPr>
        <w:t xml:space="preserve">Is the main value shared risk or shared readiness?</w:t>
      </w:r>
      <w:r>
        <w:t xml:space="preserve"> </w:t>
      </w:r>
      <w:r>
        <w:t xml:space="preserve">→</w:t>
      </w:r>
      <w:r>
        <w:t xml:space="preserve"> </w:t>
      </w:r>
      <w:r>
        <w:rPr>
          <w:b/>
          <w:bCs/>
        </w:rPr>
        <w:t xml:space="preserve">A6 Mutual</w:t>
      </w:r>
      <w:r>
        <w:t xml:space="preserve">.</w:t>
      </w:r>
    </w:p>
    <w:p>
      <w:pPr>
        <w:pStyle w:val="Compact"/>
        <w:numPr>
          <w:ilvl w:val="0"/>
          <w:numId w:val="1006"/>
        </w:numPr>
      </w:pPr>
      <w:r>
        <w:rPr>
          <w:i/>
          <w:iCs/>
        </w:rPr>
        <w:t xml:space="preserve">Is the main asset data, knowledge or trust that people should control?</w:t>
      </w:r>
      <w:r>
        <w:t xml:space="preserve"> </w:t>
      </w:r>
      <w:r>
        <w:t xml:space="preserve">→</w:t>
      </w:r>
      <w:r>
        <w:t xml:space="preserve"> </w:t>
      </w:r>
      <w:r>
        <w:rPr>
          <w:b/>
          <w:bCs/>
        </w:rPr>
        <w:t xml:space="preserve">A7 Data trust</w:t>
      </w:r>
      <w:r>
        <w:t xml:space="preserve"> </w:t>
      </w:r>
      <w:r>
        <w:t xml:space="preserve">or</w:t>
      </w:r>
      <w:r>
        <w:t xml:space="preserve"> </w:t>
      </w:r>
      <w:r>
        <w:rPr>
          <w:b/>
          <w:bCs/>
        </w:rPr>
        <w:t xml:space="preserve">A8 Protocol commons</w:t>
      </w:r>
      <w:r>
        <w:t xml:space="preserve">.</w:t>
      </w:r>
    </w:p>
    <w:p>
      <w:pPr>
        <w:pStyle w:val="Compact"/>
        <w:numPr>
          <w:ilvl w:val="0"/>
          <w:numId w:val="1006"/>
        </w:numPr>
      </w:pPr>
      <w:r>
        <w:rPr>
          <w:i/>
          <w:iCs/>
        </w:rPr>
        <w:t xml:space="preserve">Will AI agents or robots do most of the transacting or working?</w:t>
      </w:r>
      <w:r>
        <w:t xml:space="preserve"> </w:t>
      </w:r>
      <w:r>
        <w:t xml:space="preserve">→</w:t>
      </w:r>
      <w:r>
        <w:t xml:space="preserve"> </w:t>
      </w:r>
      <w:r>
        <w:rPr>
          <w:b/>
          <w:bCs/>
        </w:rPr>
        <w:t xml:space="preserve">A9 Agent-native exchange</w:t>
      </w:r>
      <w:r>
        <w:t xml:space="preserve"> </w:t>
      </w:r>
      <w:r>
        <w:t xml:space="preserve">(if agents transact) or</w:t>
      </w:r>
      <w:r>
        <w:t xml:space="preserve"> </w:t>
      </w:r>
      <w:r>
        <w:rPr>
          <w:b/>
          <w:bCs/>
        </w:rPr>
        <w:t xml:space="preserve">A10 Ownership cooperative</w:t>
      </w:r>
      <w:r>
        <w:t xml:space="preserve"> </w:t>
      </w:r>
      <w:r>
        <w:t xml:space="preserve">(if robots work).</w:t>
      </w:r>
    </w:p>
    <w:p>
      <w:pPr>
        <w:pStyle w:val="FirstParagraph"/>
      </w:pPr>
      <w:r>
        <w:t xml:space="preserve">Most of the Next Decagon ventures combine two or three archetypes, just as Uber now combines dispatch (rides) with an idle-asset marketplace (AV fleets).</w:t>
      </w:r>
    </w:p>
    <w:bookmarkEnd w:id="34"/>
    <w:bookmarkStart w:id="38" w:name="the-double-decagon"/>
    <w:p>
      <w:pPr>
        <w:pStyle w:val="Heading2"/>
      </w:pPr>
      <w:r>
        <w:t xml:space="preserve">3.4 The Double Decagon</w:t>
      </w:r>
    </w:p>
    <w:bookmarkStart w:id="35" w:name="X83d13ccce5f9cfaec733676d5763671578250bd"/>
    <w:p>
      <w:pPr>
        <w:pStyle w:val="Heading3"/>
      </w:pPr>
      <w:r>
        <w:t xml:space="preserve">The inner ring: Volume I’s ten design obligations</w:t>
      </w:r>
    </w:p>
    <w:tbl>
      <w:tblPr>
        <w:tblStyle w:val="Table"/>
        <w:tblW w:w="9360" w:type="dxa"/>
        <w:jc w:val="left"/>
        <w:tblLayout w:type="fixed"/>
        <w:tblLook w:firstRow="1" w:lastRow="0" w:firstColumn="0" w:lastColumn="0" w:noHBand="0" w:noVBand="0" w:val="0020"/>
      </w:tblPr>
      <w:tblGrid>
        <w:gridCol w:w="660"/>
        <w:gridCol w:w="1761"/>
        <w:gridCol w:w="6939"/>
      </w:tblGrid>
      <w:tr>
        <w:trPr>
          <w:cantSplit/>
          <w:tblHeader w:val="true"/>
        </w:trPr>
        <w:tc>
          <w:tcPr>
            <w:tcW w:w="660" w:type="dxa"/>
          </w:tcPr>
          <w:p>
            <w:pPr>
              <w:pStyle w:val="TableText"/>
              <w:jc w:val="left"/>
            </w:pPr>
            <w:r>
              <w:t xml:space="preserve">#</w:t>
            </w:r>
          </w:p>
        </w:tc>
        <w:tc>
          <w:tcPr>
            <w:tcW w:w="1761" w:type="dxa"/>
          </w:tcPr>
          <w:p>
            <w:pPr>
              <w:pStyle w:val="TableText"/>
              <w:jc w:val="left"/>
            </w:pPr>
            <w:r>
              <w:t xml:space="preserve">Vertex</w:t>
            </w:r>
          </w:p>
        </w:tc>
        <w:tc>
          <w:tcPr>
            <w:tcW w:w="6939" w:type="dxa"/>
          </w:tcPr>
          <w:p>
            <w:pPr>
              <w:pStyle w:val="TableText"/>
              <w:jc w:val="left"/>
            </w:pPr>
            <w:r>
              <w:t xml:space="preserve">Core question</w:t>
            </w:r>
          </w:p>
        </w:tc>
      </w:tr>
      <w:tr>
        <w:trPr>
          <w:cantSplit/>
        </w:trPr>
        <w:tc>
          <w:tcPr>
            <w:tcW w:w="660" w:type="dxa"/>
          </w:tcPr>
          <w:p>
            <w:pPr>
              <w:pStyle w:val="TableText"/>
              <w:jc w:val="left"/>
            </w:pPr>
            <w:r>
              <w:t xml:space="preserve">V1</w:t>
            </w:r>
          </w:p>
        </w:tc>
        <w:tc>
          <w:tcPr>
            <w:tcW w:w="1761" w:type="dxa"/>
          </w:tcPr>
          <w:p>
            <w:pPr>
              <w:pStyle w:val="TableText"/>
              <w:jc w:val="left"/>
            </w:pPr>
            <w:r>
              <w:t xml:space="preserve">Latency</w:t>
            </w:r>
          </w:p>
        </w:tc>
        <w:tc>
          <w:tcPr>
            <w:tcW w:w="6939" w:type="dxa"/>
          </w:tcPr>
          <w:p>
            <w:pPr>
              <w:pStyle w:val="TableText"/>
              <w:jc w:val="left"/>
            </w:pPr>
            <w:r>
              <w:t xml:space="preserve">What capacity is idle, invisible, untrusted or uncoordinated?</w:t>
            </w:r>
          </w:p>
        </w:tc>
      </w:tr>
      <w:tr>
        <w:trPr>
          <w:cantSplit/>
        </w:trPr>
        <w:tc>
          <w:tcPr>
            <w:tcW w:w="660" w:type="dxa"/>
          </w:tcPr>
          <w:p>
            <w:pPr>
              <w:pStyle w:val="TableText"/>
              <w:jc w:val="left"/>
            </w:pPr>
            <w:r>
              <w:t xml:space="preserve">V2</w:t>
            </w:r>
          </w:p>
        </w:tc>
        <w:tc>
          <w:tcPr>
            <w:tcW w:w="1761" w:type="dxa"/>
          </w:tcPr>
          <w:p>
            <w:pPr>
              <w:pStyle w:val="TableText"/>
              <w:jc w:val="left"/>
            </w:pPr>
            <w:r>
              <w:t xml:space="preserve">Friction</w:t>
            </w:r>
          </w:p>
        </w:tc>
        <w:tc>
          <w:tcPr>
            <w:tcW w:w="6939" w:type="dxa"/>
          </w:tcPr>
          <w:p>
            <w:pPr>
              <w:pStyle w:val="TableText"/>
              <w:jc w:val="left"/>
            </w:pPr>
            <w:r>
              <w:t xml:space="preserve">Which transaction costs collapse?</w:t>
            </w:r>
          </w:p>
        </w:tc>
      </w:tr>
      <w:tr>
        <w:trPr>
          <w:cantSplit/>
        </w:trPr>
        <w:tc>
          <w:tcPr>
            <w:tcW w:w="660" w:type="dxa"/>
          </w:tcPr>
          <w:p>
            <w:pPr>
              <w:pStyle w:val="TableText"/>
              <w:jc w:val="left"/>
            </w:pPr>
            <w:r>
              <w:t xml:space="preserve">V3</w:t>
            </w:r>
          </w:p>
        </w:tc>
        <w:tc>
          <w:tcPr>
            <w:tcW w:w="1761" w:type="dxa"/>
          </w:tcPr>
          <w:p>
            <w:pPr>
              <w:pStyle w:val="TableText"/>
              <w:jc w:val="left"/>
            </w:pPr>
            <w:r>
              <w:t xml:space="preserve">Trust</w:t>
            </w:r>
          </w:p>
        </w:tc>
        <w:tc>
          <w:tcPr>
            <w:tcW w:w="6939" w:type="dxa"/>
          </w:tcPr>
          <w:p>
            <w:pPr>
              <w:pStyle w:val="TableText"/>
              <w:jc w:val="left"/>
            </w:pPr>
            <w:r>
              <w:t xml:space="preserve">How do strangers, and agents, trust each other?</w:t>
            </w:r>
          </w:p>
        </w:tc>
      </w:tr>
      <w:tr>
        <w:trPr>
          <w:cantSplit/>
        </w:trPr>
        <w:tc>
          <w:tcPr>
            <w:tcW w:w="660" w:type="dxa"/>
          </w:tcPr>
          <w:p>
            <w:pPr>
              <w:pStyle w:val="TableText"/>
              <w:jc w:val="left"/>
            </w:pPr>
            <w:r>
              <w:t xml:space="preserve">V4</w:t>
            </w:r>
          </w:p>
        </w:tc>
        <w:tc>
          <w:tcPr>
            <w:tcW w:w="1761" w:type="dxa"/>
          </w:tcPr>
          <w:p>
            <w:pPr>
              <w:pStyle w:val="TableText"/>
              <w:jc w:val="left"/>
            </w:pPr>
            <w:r>
              <w:t xml:space="preserve">Liquidity</w:t>
            </w:r>
          </w:p>
        </w:tc>
        <w:tc>
          <w:tcPr>
            <w:tcW w:w="6939" w:type="dxa"/>
          </w:tcPr>
          <w:p>
            <w:pPr>
              <w:pStyle w:val="TableText"/>
              <w:jc w:val="left"/>
            </w:pPr>
            <w:r>
              <w:t xml:space="preserve">What is the atomic network? When do network effects saturate?</w:t>
            </w:r>
          </w:p>
        </w:tc>
      </w:tr>
      <w:tr>
        <w:trPr>
          <w:cantSplit/>
        </w:trPr>
        <w:tc>
          <w:tcPr>
            <w:tcW w:w="660" w:type="dxa"/>
          </w:tcPr>
          <w:p>
            <w:pPr>
              <w:pStyle w:val="TableText"/>
              <w:jc w:val="left"/>
            </w:pPr>
            <w:r>
              <w:t xml:space="preserve">V5</w:t>
            </w:r>
          </w:p>
        </w:tc>
        <w:tc>
          <w:tcPr>
            <w:tcW w:w="1761" w:type="dxa"/>
          </w:tcPr>
          <w:p>
            <w:pPr>
              <w:pStyle w:val="TableText"/>
              <w:jc w:val="left"/>
            </w:pPr>
            <w:r>
              <w:t xml:space="preserve">Intelligence</w:t>
            </w:r>
          </w:p>
        </w:tc>
        <w:tc>
          <w:tcPr>
            <w:tcW w:w="6939" w:type="dxa"/>
          </w:tcPr>
          <w:p>
            <w:pPr>
              <w:pStyle w:val="TableText"/>
              <w:jc w:val="left"/>
            </w:pPr>
            <w:r>
              <w:t xml:space="preserve">Which data and AI loops improve the service? Is it agent-ready?</w:t>
            </w:r>
          </w:p>
        </w:tc>
      </w:tr>
      <w:tr>
        <w:trPr>
          <w:cantSplit/>
        </w:trPr>
        <w:tc>
          <w:tcPr>
            <w:tcW w:w="660" w:type="dxa"/>
          </w:tcPr>
          <w:p>
            <w:pPr>
              <w:pStyle w:val="TableText"/>
              <w:jc w:val="left"/>
            </w:pPr>
            <w:r>
              <w:t xml:space="preserve">V6</w:t>
            </w:r>
          </w:p>
        </w:tc>
        <w:tc>
          <w:tcPr>
            <w:tcW w:w="1761" w:type="dxa"/>
          </w:tcPr>
          <w:p>
            <w:pPr>
              <w:pStyle w:val="TableText"/>
              <w:jc w:val="left"/>
            </w:pPr>
            <w:r>
              <w:t xml:space="preserve">Distribution</w:t>
            </w:r>
          </w:p>
        </w:tc>
        <w:tc>
          <w:tcPr>
            <w:tcW w:w="6939" w:type="dxa"/>
          </w:tcPr>
          <w:p>
            <w:pPr>
              <w:pStyle w:val="TableText"/>
              <w:jc w:val="left"/>
            </w:pPr>
            <w:r>
              <w:t xml:space="preserve">Who captures the surplus? Do providers share in the upside?</w:t>
            </w:r>
          </w:p>
        </w:tc>
      </w:tr>
      <w:tr>
        <w:trPr>
          <w:cantSplit/>
        </w:trPr>
        <w:tc>
          <w:tcPr>
            <w:tcW w:w="660" w:type="dxa"/>
          </w:tcPr>
          <w:p>
            <w:pPr>
              <w:pStyle w:val="TableText"/>
              <w:jc w:val="left"/>
            </w:pPr>
            <w:r>
              <w:t xml:space="preserve">V7</w:t>
            </w:r>
          </w:p>
        </w:tc>
        <w:tc>
          <w:tcPr>
            <w:tcW w:w="1761" w:type="dxa"/>
          </w:tcPr>
          <w:p>
            <w:pPr>
              <w:pStyle w:val="TableText"/>
              <w:jc w:val="left"/>
            </w:pPr>
            <w:r>
              <w:t xml:space="preserve">Legitimacy</w:t>
            </w:r>
          </w:p>
        </w:tc>
        <w:tc>
          <w:tcPr>
            <w:tcW w:w="6939" w:type="dxa"/>
          </w:tcPr>
          <w:p>
            <w:pPr>
              <w:pStyle w:val="TableText"/>
              <w:jc w:val="left"/>
            </w:pPr>
            <w:r>
              <w:t xml:space="preserve">Is there a licence to operate, built through co-regulation?</w:t>
            </w:r>
          </w:p>
        </w:tc>
      </w:tr>
      <w:tr>
        <w:trPr>
          <w:cantSplit/>
        </w:trPr>
        <w:tc>
          <w:tcPr>
            <w:tcW w:w="660" w:type="dxa"/>
          </w:tcPr>
          <w:p>
            <w:pPr>
              <w:pStyle w:val="TableText"/>
              <w:jc w:val="left"/>
            </w:pPr>
            <w:r>
              <w:t xml:space="preserve">V8</w:t>
            </w:r>
          </w:p>
        </w:tc>
        <w:tc>
          <w:tcPr>
            <w:tcW w:w="1761" w:type="dxa"/>
          </w:tcPr>
          <w:p>
            <w:pPr>
              <w:pStyle w:val="TableText"/>
              <w:jc w:val="left"/>
            </w:pPr>
            <w:r>
              <w:t xml:space="preserve">Stewardship</w:t>
            </w:r>
          </w:p>
        </w:tc>
        <w:tc>
          <w:tcPr>
            <w:tcW w:w="6939" w:type="dxa"/>
          </w:tcPr>
          <w:p>
            <w:pPr>
              <w:pStyle w:val="TableText"/>
              <w:jc w:val="left"/>
            </w:pPr>
            <w:r>
              <w:t xml:space="preserve">Are externalities modelled, measured and internalized?</w:t>
            </w:r>
          </w:p>
        </w:tc>
      </w:tr>
      <w:tr>
        <w:trPr>
          <w:cantSplit/>
        </w:trPr>
        <w:tc>
          <w:tcPr>
            <w:tcW w:w="660" w:type="dxa"/>
          </w:tcPr>
          <w:p>
            <w:pPr>
              <w:pStyle w:val="TableText"/>
              <w:jc w:val="left"/>
            </w:pPr>
            <w:r>
              <w:t xml:space="preserve">V9</w:t>
            </w:r>
          </w:p>
        </w:tc>
        <w:tc>
          <w:tcPr>
            <w:tcW w:w="1761" w:type="dxa"/>
          </w:tcPr>
          <w:p>
            <w:pPr>
              <w:pStyle w:val="TableText"/>
              <w:jc w:val="left"/>
            </w:pPr>
            <w:r>
              <w:t xml:space="preserve">Meaning</w:t>
            </w:r>
          </w:p>
        </w:tc>
        <w:tc>
          <w:tcPr>
            <w:tcW w:w="6939" w:type="dxa"/>
          </w:tcPr>
          <w:p>
            <w:pPr>
              <w:pStyle w:val="TableText"/>
              <w:jc w:val="left"/>
            </w:pPr>
            <w:r>
              <w:t xml:space="preserve">Does it enhance dignity, agency and belonging for everyone?</w:t>
            </w:r>
          </w:p>
        </w:tc>
      </w:tr>
      <w:tr>
        <w:trPr>
          <w:cantSplit/>
        </w:trPr>
        <w:tc>
          <w:tcPr>
            <w:tcW w:w="660" w:type="dxa"/>
          </w:tcPr>
          <w:p>
            <w:pPr>
              <w:pStyle w:val="TableText"/>
              <w:jc w:val="left"/>
            </w:pPr>
            <w:r>
              <w:t xml:space="preserve">V10</w:t>
            </w:r>
          </w:p>
        </w:tc>
        <w:tc>
          <w:tcPr>
            <w:tcW w:w="1761" w:type="dxa"/>
          </w:tcPr>
          <w:p>
            <w:pPr>
              <w:pStyle w:val="TableText"/>
              <w:jc w:val="left"/>
            </w:pPr>
            <w:r>
              <w:t xml:space="preserve">Antifragility</w:t>
            </w:r>
          </w:p>
        </w:tc>
        <w:tc>
          <w:tcPr>
            <w:tcW w:w="6939" w:type="dxa"/>
          </w:tcPr>
          <w:p>
            <w:pPr>
              <w:pStyle w:val="TableText"/>
              <w:jc w:val="left"/>
            </w:pPr>
            <w:r>
              <w:t xml:space="preserve">Does it gain from shocks? Has it planned for its own release phase?</w:t>
            </w:r>
          </w:p>
        </w:tc>
      </w:tr>
    </w:tbl>
    <w:bookmarkEnd w:id="35"/>
    <w:bookmarkStart w:id="36" w:name="Xa3f9fd402306854e868fa8caa95dc1cedb5afd0"/>
    <w:p>
      <w:pPr>
        <w:pStyle w:val="Heading3"/>
      </w:pPr>
      <w:r>
        <w:t xml:space="preserve">The outer ring: the Future-Fitness Decagon</w:t>
      </w:r>
    </w:p>
    <w:p>
      <w:pPr>
        <w:pStyle w:val="FirstParagraph"/>
      </w:pPr>
      <w:r>
        <w:t xml:space="preserve">Each test is scored 0–5 using the rubric in Appendix B.</w:t>
      </w:r>
    </w:p>
    <w:tbl>
      <w:tblPr>
        <w:tblStyle w:val="Table"/>
        <w:tblW w:w="9360" w:type="dxa"/>
        <w:jc w:val="left"/>
        <w:tblLayout w:type="fixed"/>
        <w:tblLook w:firstRow="1" w:lastRow="0" w:firstColumn="0" w:lastColumn="0" w:noHBand="0" w:noVBand="0" w:val="0020"/>
      </w:tblPr>
      <w:tblGrid>
        <w:gridCol w:w="539"/>
        <w:gridCol w:w="1800"/>
        <w:gridCol w:w="2880"/>
        <w:gridCol w:w="1890"/>
        <w:gridCol w:w="2251"/>
      </w:tblGrid>
      <w:tr>
        <w:trPr>
          <w:cantSplit/>
          <w:tblHeader w:val="true"/>
        </w:trPr>
        <w:tc>
          <w:tcPr>
            <w:tcW w:w="539" w:type="dxa"/>
          </w:tcPr>
          <w:p>
            <w:pPr>
              <w:pStyle w:val="TableText"/>
              <w:jc w:val="left"/>
            </w:pPr>
            <w:r>
              <w:t xml:space="preserve">#</w:t>
            </w:r>
          </w:p>
        </w:tc>
        <w:tc>
          <w:tcPr>
            <w:tcW w:w="1800" w:type="dxa"/>
          </w:tcPr>
          <w:p>
            <w:pPr>
              <w:pStyle w:val="TableText"/>
              <w:jc w:val="left"/>
            </w:pPr>
            <w:r>
              <w:t xml:space="preserve">Test</w:t>
            </w:r>
          </w:p>
        </w:tc>
        <w:tc>
          <w:tcPr>
            <w:tcW w:w="2880" w:type="dxa"/>
          </w:tcPr>
          <w:p>
            <w:pPr>
              <w:pStyle w:val="TableText"/>
              <w:jc w:val="left"/>
            </w:pPr>
            <w:r>
              <w:t xml:space="preserve">Question</w:t>
            </w:r>
          </w:p>
        </w:tc>
        <w:tc>
          <w:tcPr>
            <w:tcW w:w="1890" w:type="dxa"/>
          </w:tcPr>
          <w:p>
            <w:pPr>
              <w:pStyle w:val="TableText"/>
              <w:jc w:val="left"/>
            </w:pPr>
            <w:r>
              <w:t xml:space="preserve">Why it matters in 2030–2050</w:t>
            </w:r>
          </w:p>
        </w:tc>
        <w:tc>
          <w:tcPr>
            <w:tcW w:w="2251" w:type="dxa"/>
          </w:tcPr>
          <w:p>
            <w:pPr>
              <w:pStyle w:val="TableText"/>
              <w:jc w:val="left"/>
            </w:pPr>
            <w:r>
              <w:t xml:space="preserve">Benchmark lesson</w:t>
            </w:r>
          </w:p>
        </w:tc>
      </w:tr>
      <w:tr>
        <w:trPr>
          <w:cantSplit/>
        </w:trPr>
        <w:tc>
          <w:tcPr>
            <w:tcW w:w="539" w:type="dxa"/>
          </w:tcPr>
          <w:p>
            <w:pPr>
              <w:pStyle w:val="TableText"/>
              <w:jc w:val="left"/>
            </w:pPr>
            <w:r>
              <w:rPr>
                <w:b/>
                <w:bCs/>
              </w:rPr>
              <w:t xml:space="preserve">F1</w:t>
            </w:r>
          </w:p>
        </w:tc>
        <w:tc>
          <w:tcPr>
            <w:tcW w:w="1800" w:type="dxa"/>
          </w:tcPr>
          <w:p>
            <w:pPr>
              <w:pStyle w:val="TableText"/>
              <w:jc w:val="left"/>
            </w:pPr>
            <w:r>
              <w:rPr>
                <w:b/>
                <w:bCs/>
              </w:rPr>
              <w:t xml:space="preserve">Agent test</w:t>
            </w:r>
          </w:p>
        </w:tc>
        <w:tc>
          <w:tcPr>
            <w:tcW w:w="2880" w:type="dxa"/>
          </w:tcPr>
          <w:p>
            <w:pPr>
              <w:pStyle w:val="TableText"/>
              <w:jc w:val="left"/>
            </w:pPr>
            <w:r>
              <w:t xml:space="preserve">Does the venture work, and keep its value, when AI agents are the main buyers and sellers?</w:t>
            </w:r>
          </w:p>
        </w:tc>
        <w:tc>
          <w:tcPr>
            <w:tcW w:w="1890" w:type="dxa"/>
          </w:tcPr>
          <w:p>
            <w:pPr>
              <w:pStyle w:val="TableText"/>
              <w:jc w:val="left"/>
            </w:pPr>
            <w:r>
              <w:t xml:space="preserve">Demand will increasingly arrive through agents (Volume I, Part IV)</w:t>
            </w:r>
          </w:p>
        </w:tc>
        <w:tc>
          <w:tcPr>
            <w:tcW w:w="2251" w:type="dxa"/>
          </w:tcPr>
          <w:p>
            <w:pPr>
              <w:pStyle w:val="TableText"/>
              <w:jc w:val="left"/>
            </w:pPr>
            <w:r>
              <w:t xml:space="preserve">Airbnb’s defence against agentic disintermediation is its trust layer</w:t>
            </w:r>
          </w:p>
        </w:tc>
      </w:tr>
      <w:tr>
        <w:trPr>
          <w:cantSplit/>
        </w:trPr>
        <w:tc>
          <w:tcPr>
            <w:tcW w:w="539" w:type="dxa"/>
          </w:tcPr>
          <w:p>
            <w:pPr>
              <w:pStyle w:val="TableText"/>
              <w:jc w:val="left"/>
            </w:pPr>
            <w:r>
              <w:rPr>
                <w:b/>
                <w:bCs/>
              </w:rPr>
              <w:t xml:space="preserve">F2</w:t>
            </w:r>
          </w:p>
        </w:tc>
        <w:tc>
          <w:tcPr>
            <w:tcW w:w="1800" w:type="dxa"/>
          </w:tcPr>
          <w:p>
            <w:pPr>
              <w:pStyle w:val="TableText"/>
              <w:jc w:val="left"/>
            </w:pPr>
            <w:r>
              <w:rPr>
                <w:b/>
                <w:bCs/>
              </w:rPr>
              <w:t xml:space="preserve">Robot test</w:t>
            </w:r>
          </w:p>
        </w:tc>
        <w:tc>
          <w:tcPr>
            <w:tcW w:w="2880" w:type="dxa"/>
          </w:tcPr>
          <w:p>
            <w:pPr>
              <w:pStyle w:val="TableText"/>
              <w:jc w:val="left"/>
            </w:pPr>
            <w:r>
              <w:t xml:space="preserve">Does it survive, or benefit, when the supply side is automated?</w:t>
            </w:r>
          </w:p>
        </w:tc>
        <w:tc>
          <w:tcPr>
            <w:tcW w:w="1890" w:type="dxa"/>
          </w:tcPr>
          <w:p>
            <w:pPr>
              <w:pStyle w:val="TableText"/>
              <w:jc w:val="left"/>
            </w:pPr>
            <w:r>
              <w:t xml:space="preserve">Autonomy flips the scarce input from labour to capital</w:t>
            </w:r>
          </w:p>
        </w:tc>
        <w:tc>
          <w:tcPr>
            <w:tcW w:w="2251" w:type="dxa"/>
          </w:tcPr>
          <w:p>
            <w:pPr>
              <w:pStyle w:val="TableText"/>
              <w:jc w:val="left"/>
            </w:pPr>
            <w:r>
              <w:t xml:space="preserve">Uber must reinvent itself around AV fleets</w:t>
            </w:r>
          </w:p>
        </w:tc>
      </w:tr>
      <w:tr>
        <w:trPr>
          <w:cantSplit/>
        </w:trPr>
        <w:tc>
          <w:tcPr>
            <w:tcW w:w="539" w:type="dxa"/>
          </w:tcPr>
          <w:p>
            <w:pPr>
              <w:pStyle w:val="TableText"/>
              <w:jc w:val="left"/>
            </w:pPr>
            <w:r>
              <w:rPr>
                <w:b/>
                <w:bCs/>
              </w:rPr>
              <w:t xml:space="preserve">F3</w:t>
            </w:r>
          </w:p>
        </w:tc>
        <w:tc>
          <w:tcPr>
            <w:tcW w:w="1800" w:type="dxa"/>
          </w:tcPr>
          <w:p>
            <w:pPr>
              <w:pStyle w:val="TableText"/>
              <w:jc w:val="left"/>
            </w:pPr>
            <w:r>
              <w:rPr>
                <w:b/>
                <w:bCs/>
              </w:rPr>
              <w:t xml:space="preserve">Climate test</w:t>
            </w:r>
          </w:p>
        </w:tc>
        <w:tc>
          <w:tcPr>
            <w:tcW w:w="2880" w:type="dxa"/>
          </w:tcPr>
          <w:p>
            <w:pPr>
              <w:pStyle w:val="TableText"/>
              <w:jc w:val="left"/>
            </w:pPr>
            <w:r>
              <w:t xml:space="preserve">Is it resilient to heat, flood and drought, and does it reduce climate risk?</w:t>
            </w:r>
          </w:p>
        </w:tc>
        <w:tc>
          <w:tcPr>
            <w:tcW w:w="1890" w:type="dxa"/>
          </w:tcPr>
          <w:p>
            <w:pPr>
              <w:pStyle w:val="TableText"/>
              <w:jc w:val="left"/>
            </w:pPr>
            <w:r>
              <w:t xml:space="preserve">Climate volatility becomes an operating condition</w:t>
            </w:r>
          </w:p>
        </w:tc>
        <w:tc>
          <w:tcPr>
            <w:tcW w:w="2251" w:type="dxa"/>
          </w:tcPr>
          <w:p>
            <w:pPr>
              <w:pStyle w:val="TableText"/>
              <w:jc w:val="left"/>
            </w:pPr>
            <w:r>
              <w:t xml:space="preserve">Both companies saw demand collapse in shocks</w:t>
            </w:r>
          </w:p>
        </w:tc>
      </w:tr>
      <w:tr>
        <w:trPr>
          <w:cantSplit/>
        </w:trPr>
        <w:tc>
          <w:tcPr>
            <w:tcW w:w="539" w:type="dxa"/>
          </w:tcPr>
          <w:p>
            <w:pPr>
              <w:pStyle w:val="TableText"/>
              <w:jc w:val="left"/>
            </w:pPr>
            <w:r>
              <w:rPr>
                <w:b/>
                <w:bCs/>
              </w:rPr>
              <w:t xml:space="preserve">F4</w:t>
            </w:r>
          </w:p>
        </w:tc>
        <w:tc>
          <w:tcPr>
            <w:tcW w:w="1800" w:type="dxa"/>
          </w:tcPr>
          <w:p>
            <w:pPr>
              <w:pStyle w:val="TableText"/>
              <w:jc w:val="left"/>
            </w:pPr>
            <w:r>
              <w:rPr>
                <w:b/>
                <w:bCs/>
              </w:rPr>
              <w:t xml:space="preserve">Pre-embedding test</w:t>
            </w:r>
          </w:p>
        </w:tc>
        <w:tc>
          <w:tcPr>
            <w:tcW w:w="2880" w:type="dxa"/>
          </w:tcPr>
          <w:p>
            <w:pPr>
              <w:pStyle w:val="TableText"/>
              <w:jc w:val="left"/>
            </w:pPr>
            <w:r>
              <w:t xml:space="preserve">Are the protections society would demand already built in (fair pay, housing limits, data rights)?</w:t>
            </w:r>
          </w:p>
        </w:tc>
        <w:tc>
          <w:tcPr>
            <w:tcW w:w="1890" w:type="dxa"/>
          </w:tcPr>
          <w:p>
            <w:pPr>
              <w:pStyle w:val="TableText"/>
              <w:jc w:val="left"/>
            </w:pPr>
            <w:r>
              <w:t xml:space="preserve">The Polanyi double movement arrives either way</w:t>
            </w:r>
          </w:p>
        </w:tc>
        <w:tc>
          <w:tcPr>
            <w:tcW w:w="2251" w:type="dxa"/>
          </w:tcPr>
          <w:p>
            <w:pPr>
              <w:pStyle w:val="TableText"/>
              <w:jc w:val="left"/>
            </w:pPr>
            <w:r>
              <w:t xml:space="preserve">Both companies’ protections were forced on them</w:t>
            </w:r>
          </w:p>
        </w:tc>
      </w:tr>
      <w:tr>
        <w:trPr>
          <w:cantSplit/>
        </w:trPr>
        <w:tc>
          <w:tcPr>
            <w:tcW w:w="539" w:type="dxa"/>
          </w:tcPr>
          <w:p>
            <w:pPr>
              <w:pStyle w:val="TableText"/>
              <w:jc w:val="left"/>
            </w:pPr>
            <w:r>
              <w:rPr>
                <w:b/>
                <w:bCs/>
              </w:rPr>
              <w:t xml:space="preserve">F5</w:t>
            </w:r>
          </w:p>
        </w:tc>
        <w:tc>
          <w:tcPr>
            <w:tcW w:w="1800" w:type="dxa"/>
          </w:tcPr>
          <w:p>
            <w:pPr>
              <w:pStyle w:val="TableText"/>
              <w:jc w:val="left"/>
            </w:pPr>
            <w:r>
              <w:rPr>
                <w:b/>
                <w:bCs/>
              </w:rPr>
              <w:t xml:space="preserve">Exit test</w:t>
            </w:r>
          </w:p>
        </w:tc>
        <w:tc>
          <w:tcPr>
            <w:tcW w:w="2880" w:type="dxa"/>
          </w:tcPr>
          <w:p>
            <w:pPr>
              <w:pStyle w:val="TableText"/>
              <w:jc w:val="left"/>
            </w:pPr>
            <w:r>
              <w:t xml:space="preserve">Can users and providers leave with their data and reputation? Is value shared, so enshittification is resisted?</w:t>
            </w:r>
          </w:p>
        </w:tc>
        <w:tc>
          <w:tcPr>
            <w:tcW w:w="1890" w:type="dxa"/>
          </w:tcPr>
          <w:p>
            <w:pPr>
              <w:pStyle w:val="TableText"/>
              <w:jc w:val="left"/>
            </w:pPr>
            <w:r>
              <w:t xml:space="preserve">Lock-in invites regulation and decay</w:t>
            </w:r>
          </w:p>
        </w:tc>
        <w:tc>
          <w:tcPr>
            <w:tcW w:w="2251" w:type="dxa"/>
          </w:tcPr>
          <w:p>
            <w:pPr>
              <w:pStyle w:val="TableText"/>
              <w:jc w:val="left"/>
            </w:pPr>
            <w:r>
              <w:t xml:space="preserve">Take-rate creep and fee controversies</w:t>
            </w:r>
          </w:p>
        </w:tc>
      </w:tr>
      <w:tr>
        <w:trPr>
          <w:cantSplit/>
        </w:trPr>
        <w:tc>
          <w:tcPr>
            <w:tcW w:w="539" w:type="dxa"/>
          </w:tcPr>
          <w:p>
            <w:pPr>
              <w:pStyle w:val="TableText"/>
              <w:jc w:val="left"/>
            </w:pPr>
            <w:r>
              <w:rPr>
                <w:b/>
                <w:bCs/>
              </w:rPr>
              <w:t xml:space="preserve">F6</w:t>
            </w:r>
          </w:p>
        </w:tc>
        <w:tc>
          <w:tcPr>
            <w:tcW w:w="1800" w:type="dxa"/>
          </w:tcPr>
          <w:p>
            <w:pPr>
              <w:pStyle w:val="TableText"/>
              <w:jc w:val="left"/>
            </w:pPr>
            <w:r>
              <w:rPr>
                <w:b/>
                <w:bCs/>
              </w:rPr>
              <w:t xml:space="preserve">Sovereignty test</w:t>
            </w:r>
          </w:p>
        </w:tc>
        <w:tc>
          <w:tcPr>
            <w:tcW w:w="2880" w:type="dxa"/>
          </w:tcPr>
          <w:p>
            <w:pPr>
              <w:pStyle w:val="TableText"/>
              <w:jc w:val="left"/>
            </w:pPr>
            <w:r>
              <w:t xml:space="preserve">Does it work with local data rules, public digital infrastructure and local ownership?</w:t>
            </w:r>
          </w:p>
        </w:tc>
        <w:tc>
          <w:tcPr>
            <w:tcW w:w="1890" w:type="dxa"/>
          </w:tcPr>
          <w:p>
            <w:pPr>
              <w:pStyle w:val="TableText"/>
              <w:jc w:val="left"/>
            </w:pPr>
            <w:r>
              <w:t xml:space="preserve">The internet fragments into sovereign and regional systems</w:t>
            </w:r>
          </w:p>
        </w:tc>
        <w:tc>
          <w:tcPr>
            <w:tcW w:w="2251" w:type="dxa"/>
          </w:tcPr>
          <w:p>
            <w:pPr>
              <w:pStyle w:val="TableText"/>
              <w:jc w:val="left"/>
            </w:pPr>
            <w:r>
              <w:t xml:space="preserve">Exits from China and Southeast Asia</w:t>
            </w:r>
          </w:p>
        </w:tc>
      </w:tr>
      <w:tr>
        <w:trPr>
          <w:cantSplit/>
        </w:trPr>
        <w:tc>
          <w:tcPr>
            <w:tcW w:w="539" w:type="dxa"/>
          </w:tcPr>
          <w:p>
            <w:pPr>
              <w:pStyle w:val="TableText"/>
              <w:jc w:val="left"/>
            </w:pPr>
            <w:r>
              <w:rPr>
                <w:b/>
                <w:bCs/>
              </w:rPr>
              <w:t xml:space="preserve">F7</w:t>
            </w:r>
          </w:p>
        </w:tc>
        <w:tc>
          <w:tcPr>
            <w:tcW w:w="1800" w:type="dxa"/>
          </w:tcPr>
          <w:p>
            <w:pPr>
              <w:pStyle w:val="TableText"/>
              <w:jc w:val="left"/>
            </w:pPr>
            <w:r>
              <w:rPr>
                <w:b/>
                <w:bCs/>
              </w:rPr>
              <w:t xml:space="preserve">Global South test</w:t>
            </w:r>
          </w:p>
        </w:tc>
        <w:tc>
          <w:tcPr>
            <w:tcW w:w="2880" w:type="dxa"/>
          </w:tcPr>
          <w:p>
            <w:pPr>
              <w:pStyle w:val="TableText"/>
              <w:jc w:val="left"/>
            </w:pPr>
            <w:r>
              <w:t xml:space="preserve">Does it work offline, with mobile money, in informal economies and at low cost?</w:t>
            </w:r>
          </w:p>
        </w:tc>
        <w:tc>
          <w:tcPr>
            <w:tcW w:w="1890" w:type="dxa"/>
          </w:tcPr>
          <w:p>
            <w:pPr>
              <w:pStyle w:val="TableText"/>
              <w:jc w:val="left"/>
            </w:pPr>
            <w:r>
              <w:t xml:space="preserve">Most growth in population and need is in the Global South</w:t>
            </w:r>
          </w:p>
        </w:tc>
        <w:tc>
          <w:tcPr>
            <w:tcW w:w="2251" w:type="dxa"/>
          </w:tcPr>
          <w:p>
            <w:pPr>
              <w:pStyle w:val="TableText"/>
              <w:jc w:val="left"/>
            </w:pPr>
            <w:r>
              <w:t xml:space="preserve">Uber adapted to cash in many markets</w:t>
            </w:r>
          </w:p>
        </w:tc>
      </w:tr>
      <w:tr>
        <w:trPr>
          <w:cantSplit/>
        </w:trPr>
        <w:tc>
          <w:tcPr>
            <w:tcW w:w="539" w:type="dxa"/>
          </w:tcPr>
          <w:p>
            <w:pPr>
              <w:pStyle w:val="TableText"/>
              <w:jc w:val="left"/>
            </w:pPr>
            <w:r>
              <w:rPr>
                <w:b/>
                <w:bCs/>
              </w:rPr>
              <w:t xml:space="preserve">F8</w:t>
            </w:r>
          </w:p>
        </w:tc>
        <w:tc>
          <w:tcPr>
            <w:tcW w:w="1800" w:type="dxa"/>
          </w:tcPr>
          <w:p>
            <w:pPr>
              <w:pStyle w:val="TableText"/>
              <w:jc w:val="left"/>
            </w:pPr>
            <w:r>
              <w:rPr>
                <w:b/>
                <w:bCs/>
              </w:rPr>
              <w:t xml:space="preserve">Self-disruption test</w:t>
            </w:r>
          </w:p>
        </w:tc>
        <w:tc>
          <w:tcPr>
            <w:tcW w:w="2880" w:type="dxa"/>
          </w:tcPr>
          <w:p>
            <w:pPr>
              <w:pStyle w:val="TableText"/>
              <w:jc w:val="left"/>
            </w:pPr>
            <w:r>
              <w:t xml:space="preserve">Has it planned the release phase of its own model, and does it have options to reinvent itself?</w:t>
            </w:r>
          </w:p>
        </w:tc>
        <w:tc>
          <w:tcPr>
            <w:tcW w:w="1890" w:type="dxa"/>
          </w:tcPr>
          <w:p>
            <w:pPr>
              <w:pStyle w:val="TableText"/>
              <w:jc w:val="left"/>
            </w:pPr>
            <w:r>
              <w:t xml:space="preserve">Every founding structure is eventually released</w:t>
            </w:r>
          </w:p>
        </w:tc>
        <w:tc>
          <w:tcPr>
            <w:tcW w:w="2251" w:type="dxa"/>
          </w:tcPr>
          <w:p>
            <w:pPr>
              <w:pStyle w:val="TableText"/>
              <w:jc w:val="left"/>
            </w:pPr>
            <w:r>
              <w:t xml:space="preserve">Uber’s driver model; Airbnb’s search model</w:t>
            </w:r>
          </w:p>
        </w:tc>
      </w:tr>
      <w:tr>
        <w:trPr>
          <w:cantSplit/>
        </w:trPr>
        <w:tc>
          <w:tcPr>
            <w:tcW w:w="539" w:type="dxa"/>
          </w:tcPr>
          <w:p>
            <w:pPr>
              <w:pStyle w:val="TableText"/>
              <w:jc w:val="left"/>
            </w:pPr>
            <w:r>
              <w:rPr>
                <w:b/>
                <w:bCs/>
              </w:rPr>
              <w:t xml:space="preserve">F9</w:t>
            </w:r>
          </w:p>
        </w:tc>
        <w:tc>
          <w:tcPr>
            <w:tcW w:w="1800" w:type="dxa"/>
          </w:tcPr>
          <w:p>
            <w:pPr>
              <w:pStyle w:val="TableText"/>
              <w:jc w:val="left"/>
            </w:pPr>
            <w:r>
              <w:rPr>
                <w:b/>
                <w:bCs/>
              </w:rPr>
              <w:t xml:space="preserve">Good-ancestor test</w:t>
            </w:r>
          </w:p>
        </w:tc>
        <w:tc>
          <w:tcPr>
            <w:tcW w:w="2880" w:type="dxa"/>
          </w:tcPr>
          <w:p>
            <w:pPr>
              <w:pStyle w:val="TableText"/>
              <w:jc w:val="left"/>
            </w:pPr>
            <w:r>
              <w:t xml:space="preserve">Will people in 2050 be glad it was built? Does it pass Raworth’s doughnut: above the social foundation, below the ecological ceiling?</w:t>
            </w:r>
          </w:p>
        </w:tc>
        <w:tc>
          <w:tcPr>
            <w:tcW w:w="1890" w:type="dxa"/>
          </w:tcPr>
          <w:p>
            <w:pPr>
              <w:pStyle w:val="TableText"/>
              <w:jc w:val="left"/>
            </w:pPr>
            <w:r>
              <w:t xml:space="preserve">Long-term costs (housing, climate, data) compound</w:t>
            </w:r>
          </w:p>
        </w:tc>
        <w:tc>
          <w:tcPr>
            <w:tcW w:w="2251" w:type="dxa"/>
          </w:tcPr>
          <w:p>
            <w:pPr>
              <w:pStyle w:val="TableText"/>
              <w:jc w:val="left"/>
            </w:pPr>
            <w:r>
              <w:t xml:space="preserve">Housing externalities of short-term rentals</w:t>
            </w:r>
          </w:p>
        </w:tc>
      </w:tr>
      <w:tr>
        <w:trPr>
          <w:cantSplit/>
        </w:trPr>
        <w:tc>
          <w:tcPr>
            <w:tcW w:w="539" w:type="dxa"/>
          </w:tcPr>
          <w:p>
            <w:pPr>
              <w:pStyle w:val="TableText"/>
              <w:jc w:val="left"/>
            </w:pPr>
            <w:r>
              <w:rPr>
                <w:b/>
                <w:bCs/>
              </w:rPr>
              <w:t xml:space="preserve">F10</w:t>
            </w:r>
          </w:p>
        </w:tc>
        <w:tc>
          <w:tcPr>
            <w:tcW w:w="1800" w:type="dxa"/>
          </w:tcPr>
          <w:p>
            <w:pPr>
              <w:pStyle w:val="TableText"/>
              <w:jc w:val="left"/>
            </w:pPr>
            <w:r>
              <w:rPr>
                <w:b/>
                <w:bCs/>
              </w:rPr>
              <w:t xml:space="preserve">Synthetic-reality test</w:t>
            </w:r>
          </w:p>
        </w:tc>
        <w:tc>
          <w:tcPr>
            <w:tcW w:w="2880" w:type="dxa"/>
          </w:tcPr>
          <w:p>
            <w:pPr>
              <w:pStyle w:val="TableText"/>
              <w:jc w:val="left"/>
            </w:pPr>
            <w:r>
              <w:t xml:space="preserve">Is it robust to deepfakes, synthetic identities and AI-generated fraud?</w:t>
            </w:r>
          </w:p>
        </w:tc>
        <w:tc>
          <w:tcPr>
            <w:tcW w:w="1890" w:type="dxa"/>
          </w:tcPr>
          <w:p>
            <w:pPr>
              <w:pStyle w:val="TableText"/>
              <w:jc w:val="left"/>
            </w:pPr>
            <w:r>
              <w:t xml:space="preserve">Synthetic fraud is growing fast</w:t>
            </w:r>
          </w:p>
        </w:tc>
        <w:tc>
          <w:tcPr>
            <w:tcW w:w="2251" w:type="dxa"/>
          </w:tcPr>
          <w:p>
            <w:pPr>
              <w:pStyle w:val="TableText"/>
              <w:jc w:val="left"/>
            </w:pPr>
            <w:r>
              <w:t xml:space="preserve">Review fraud and fake listings</w:t>
            </w:r>
          </w:p>
        </w:tc>
      </w:tr>
    </w:tbl>
    <w:bookmarkEnd w:id="36"/>
    <w:bookmarkStart w:id="37" w:name="the-double-decagon-index"/>
    <w:p>
      <w:pPr>
        <w:pStyle w:val="Heading3"/>
      </w:pPr>
      <w:r>
        <w:t xml:space="preserve">The Double Decagon Index</w:t>
      </w:r>
    </w:p>
    <w:p>
      <w:pPr>
        <w:pStyle w:val="FirstParagraph"/>
      </w:pPr>
      <w:r>
        <w:rPr>
          <w:b/>
          <w:bCs/>
        </w:rPr>
        <w:t xml:space="preserve">Index = Inner Decagon (0–50) + Future-Fitness Decagon (0–50) = 0–100.</w:t>
      </w:r>
    </w:p>
    <w:tbl>
      <w:tblPr>
        <w:tblStyle w:val="Table"/>
        <w:tblW w:w="9360" w:type="dxa"/>
        <w:jc w:val="left"/>
        <w:tblLayout w:type="fixed"/>
        <w:tblLook w:firstRow="1" w:lastRow="0" w:firstColumn="0" w:lastColumn="0" w:noHBand="0" w:noVBand="0" w:val="0020"/>
      </w:tblPr>
      <w:tblGrid>
        <w:gridCol w:w="1936"/>
        <w:gridCol w:w="968"/>
        <w:gridCol w:w="6456"/>
      </w:tblGrid>
      <w:tr>
        <w:trPr>
          <w:cantSplit/>
          <w:tblHeader w:val="true"/>
        </w:trPr>
        <w:tc>
          <w:tcPr>
            <w:tcW w:w="1936" w:type="dxa"/>
          </w:tcPr>
          <w:p>
            <w:pPr>
              <w:pStyle w:val="TableText"/>
              <w:jc w:val="left"/>
            </w:pPr>
            <w:r>
              <w:t xml:space="preserve">Band</w:t>
            </w:r>
          </w:p>
        </w:tc>
        <w:tc>
          <w:tcPr>
            <w:tcW w:w="968" w:type="dxa"/>
          </w:tcPr>
          <w:p>
            <w:pPr>
              <w:pStyle w:val="TableText"/>
              <w:jc w:val="left"/>
            </w:pPr>
            <w:r>
              <w:t xml:space="preserve">Score</w:t>
            </w:r>
          </w:p>
        </w:tc>
        <w:tc>
          <w:tcPr>
            <w:tcW w:w="6456" w:type="dxa"/>
          </w:tcPr>
          <w:p>
            <w:pPr>
              <w:pStyle w:val="TableText"/>
              <w:jc w:val="left"/>
            </w:pPr>
            <w:r>
              <w:t xml:space="preserve">Meaning</w:t>
            </w:r>
          </w:p>
        </w:tc>
      </w:tr>
      <w:tr>
        <w:trPr>
          <w:cantSplit/>
        </w:trPr>
        <w:tc>
          <w:tcPr>
            <w:tcW w:w="1936" w:type="dxa"/>
          </w:tcPr>
          <w:p>
            <w:pPr>
              <w:pStyle w:val="TableText"/>
              <w:jc w:val="left"/>
            </w:pPr>
            <w:r>
              <w:rPr>
                <w:b/>
                <w:bCs/>
              </w:rPr>
              <w:t xml:space="preserve">Future-defining</w:t>
            </w:r>
          </w:p>
        </w:tc>
        <w:tc>
          <w:tcPr>
            <w:tcW w:w="968" w:type="dxa"/>
          </w:tcPr>
          <w:p>
            <w:pPr>
              <w:pStyle w:val="TableText"/>
              <w:jc w:val="left"/>
            </w:pPr>
            <w:r>
              <w:t xml:space="preserve">85–100</w:t>
            </w:r>
          </w:p>
        </w:tc>
        <w:tc>
          <w:tcPr>
            <w:tcW w:w="6456" w:type="dxa"/>
          </w:tcPr>
          <w:p>
            <w:pPr>
              <w:pStyle w:val="TableText"/>
              <w:jc w:val="left"/>
            </w:pPr>
            <w:r>
              <w:t xml:space="preserve">Well designed and robust to every major 2030–2050 force</w:t>
            </w:r>
          </w:p>
        </w:tc>
      </w:tr>
      <w:tr>
        <w:trPr>
          <w:cantSplit/>
        </w:trPr>
        <w:tc>
          <w:tcPr>
            <w:tcW w:w="1936" w:type="dxa"/>
          </w:tcPr>
          <w:p>
            <w:pPr>
              <w:pStyle w:val="TableText"/>
              <w:jc w:val="left"/>
            </w:pPr>
            <w:r>
              <w:rPr>
                <w:b/>
                <w:bCs/>
              </w:rPr>
              <w:t xml:space="preserve">Future-fit</w:t>
            </w:r>
          </w:p>
        </w:tc>
        <w:tc>
          <w:tcPr>
            <w:tcW w:w="968" w:type="dxa"/>
          </w:tcPr>
          <w:p>
            <w:pPr>
              <w:pStyle w:val="TableText"/>
              <w:jc w:val="left"/>
            </w:pPr>
            <w:r>
              <w:t xml:space="preserve">70–84</w:t>
            </w:r>
          </w:p>
        </w:tc>
        <w:tc>
          <w:tcPr>
            <w:tcW w:w="6456" w:type="dxa"/>
          </w:tcPr>
          <w:p>
            <w:pPr>
              <w:pStyle w:val="TableText"/>
              <w:jc w:val="left"/>
            </w:pPr>
            <w:r>
              <w:t xml:space="preserve">Strong, with identifiable weaknesses to manage</w:t>
            </w:r>
          </w:p>
        </w:tc>
      </w:tr>
      <w:tr>
        <w:trPr>
          <w:cantSplit/>
        </w:trPr>
        <w:tc>
          <w:tcPr>
            <w:tcW w:w="1936" w:type="dxa"/>
          </w:tcPr>
          <w:p>
            <w:pPr>
              <w:pStyle w:val="TableText"/>
              <w:jc w:val="left"/>
            </w:pPr>
            <w:r>
              <w:rPr>
                <w:b/>
                <w:bCs/>
              </w:rPr>
              <w:t xml:space="preserve">Adaptable</w:t>
            </w:r>
          </w:p>
        </w:tc>
        <w:tc>
          <w:tcPr>
            <w:tcW w:w="968" w:type="dxa"/>
          </w:tcPr>
          <w:p>
            <w:pPr>
              <w:pStyle w:val="TableText"/>
              <w:jc w:val="left"/>
            </w:pPr>
            <w:r>
              <w:t xml:space="preserve">50–69</w:t>
            </w:r>
          </w:p>
        </w:tc>
        <w:tc>
          <w:tcPr>
            <w:tcW w:w="6456" w:type="dxa"/>
          </w:tcPr>
          <w:p>
            <w:pPr>
              <w:pStyle w:val="TableText"/>
              <w:jc w:val="left"/>
            </w:pPr>
            <w:r>
              <w:t xml:space="preserve">Viable today but must change significantly to thrive in 2030–2050</w:t>
            </w:r>
          </w:p>
        </w:tc>
      </w:tr>
      <w:tr>
        <w:trPr>
          <w:cantSplit/>
        </w:trPr>
        <w:tc>
          <w:tcPr>
            <w:tcW w:w="1936" w:type="dxa"/>
          </w:tcPr>
          <w:p>
            <w:pPr>
              <w:pStyle w:val="TableText"/>
              <w:jc w:val="left"/>
            </w:pPr>
            <w:r>
              <w:rPr>
                <w:b/>
                <w:bCs/>
              </w:rPr>
              <w:t xml:space="preserve">Fragile</w:t>
            </w:r>
          </w:p>
        </w:tc>
        <w:tc>
          <w:tcPr>
            <w:tcW w:w="968" w:type="dxa"/>
          </w:tcPr>
          <w:p>
            <w:pPr>
              <w:pStyle w:val="TableText"/>
              <w:jc w:val="left"/>
            </w:pPr>
            <w:r>
              <w:t xml:space="preserve">below 50</w:t>
            </w:r>
          </w:p>
        </w:tc>
        <w:tc>
          <w:tcPr>
            <w:tcW w:w="6456" w:type="dxa"/>
          </w:tcPr>
          <w:p>
            <w:pPr>
              <w:pStyle w:val="TableText"/>
              <w:jc w:val="left"/>
            </w:pPr>
            <w:r>
              <w:t xml:space="preserve">Likely to be disrupted or regulated into decline</w:t>
            </w:r>
          </w:p>
        </w:tc>
      </w:tr>
    </w:tbl>
    <w:bookmarkEnd w:id="37"/>
    <w:bookmarkEnd w:id="38"/>
    <w:bookmarkStart w:id="39" w:name="Xf1da95b9b3424ee1a553c36124b5c2ad719e265"/>
    <w:p>
      <w:pPr>
        <w:pStyle w:val="Heading2"/>
      </w:pPr>
      <w:r>
        <w:t xml:space="preserve">3.5 Calibrating the index against the benchmarks</w:t>
      </w:r>
    </w:p>
    <w:p>
      <w:pPr>
        <w:pStyle w:val="FirstParagraph"/>
      </w:pPr>
      <w:r>
        <w:t xml:space="preserve">Scoring the benchmarks on the outer ring shows how the platform leaders would fare in the next era.</w:t>
      </w:r>
    </w:p>
    <w:tbl>
      <w:tblPr>
        <w:tblStyle w:val="Table"/>
        <w:tblW w:w="9360" w:type="dxa"/>
        <w:jc w:val="left"/>
        <w:tblLayout w:type="fixed"/>
        <w:tblLook w:firstRow="1" w:lastRow="0" w:firstColumn="0" w:lastColumn="0" w:noHBand="0" w:noVBand="0" w:val="0020"/>
      </w:tblPr>
      <w:tblGrid>
        <w:gridCol w:w="3325"/>
        <w:gridCol w:w="1231"/>
        <w:gridCol w:w="861"/>
        <w:gridCol w:w="1231"/>
        <w:gridCol w:w="1231"/>
        <w:gridCol w:w="1481"/>
      </w:tblGrid>
      <w:tr>
        <w:trPr>
          <w:cantSplit/>
          <w:tblHeader w:val="true"/>
        </w:trPr>
        <w:tc>
          <w:tcPr>
            <w:tcW w:w="3325" w:type="dxa"/>
          </w:tcPr>
          <w:p>
            <w:pPr>
              <w:pStyle w:val="TableText"/>
              <w:jc w:val="left"/>
            </w:pPr>
            <w:r>
              <w:t xml:space="preserve">Test</w:t>
            </w:r>
          </w:p>
        </w:tc>
        <w:tc>
          <w:tcPr>
            <w:tcW w:w="1231" w:type="dxa"/>
          </w:tcPr>
          <w:p>
            <w:pPr>
              <w:pStyle w:val="TableText"/>
              <w:jc w:val="left"/>
            </w:pPr>
            <w:r>
              <w:t xml:space="preserve">Uber c.2012</w:t>
            </w:r>
          </w:p>
        </w:tc>
        <w:tc>
          <w:tcPr>
            <w:tcW w:w="861" w:type="dxa"/>
          </w:tcPr>
          <w:p>
            <w:pPr>
              <w:pStyle w:val="TableText"/>
              <w:jc w:val="left"/>
            </w:pPr>
            <w:r>
              <w:t xml:space="preserve">Uber 2026</w:t>
            </w:r>
          </w:p>
        </w:tc>
        <w:tc>
          <w:tcPr>
            <w:tcW w:w="1231" w:type="dxa"/>
          </w:tcPr>
          <w:p>
            <w:pPr>
              <w:pStyle w:val="TableText"/>
              <w:jc w:val="left"/>
            </w:pPr>
            <w:r>
              <w:t xml:space="preserve">Airbnb c.2012</w:t>
            </w:r>
          </w:p>
        </w:tc>
        <w:tc>
          <w:tcPr>
            <w:tcW w:w="1231" w:type="dxa"/>
          </w:tcPr>
          <w:p>
            <w:pPr>
              <w:pStyle w:val="TableText"/>
              <w:jc w:val="left"/>
            </w:pPr>
            <w:r>
              <w:t xml:space="preserve">Airbnb 2026</w:t>
            </w:r>
          </w:p>
        </w:tc>
        <w:tc>
          <w:tcPr>
            <w:tcW w:w="1481" w:type="dxa"/>
          </w:tcPr>
          <w:p>
            <w:pPr>
              <w:pStyle w:val="TableText"/>
              <w:jc w:val="left"/>
            </w:pPr>
            <w:r>
              <w:t xml:space="preserve">First ten ventures (approx. average)</w:t>
            </w:r>
          </w:p>
        </w:tc>
      </w:tr>
      <w:tr>
        <w:trPr>
          <w:cantSplit/>
        </w:trPr>
        <w:tc>
          <w:tcPr>
            <w:tcW w:w="3325" w:type="dxa"/>
          </w:tcPr>
          <w:p>
            <w:pPr>
              <w:pStyle w:val="TableText"/>
              <w:jc w:val="left"/>
            </w:pPr>
            <w:r>
              <w:t xml:space="preserve">F1 Agent</w:t>
            </w:r>
          </w:p>
        </w:tc>
        <w:tc>
          <w:tcPr>
            <w:tcW w:w="1231" w:type="dxa"/>
          </w:tcPr>
          <w:p>
            <w:pPr>
              <w:pStyle w:val="TableText"/>
              <w:jc w:val="left"/>
            </w:pPr>
            <w:r>
              <w:t xml:space="preserve">1</w:t>
            </w:r>
          </w:p>
        </w:tc>
        <w:tc>
          <w:tcPr>
            <w:tcW w:w="861" w:type="dxa"/>
          </w:tcPr>
          <w:p>
            <w:pPr>
              <w:pStyle w:val="TableText"/>
              <w:jc w:val="left"/>
            </w:pPr>
            <w:r>
              <w:t xml:space="preserve">3</w:t>
            </w:r>
          </w:p>
        </w:tc>
        <w:tc>
          <w:tcPr>
            <w:tcW w:w="1231" w:type="dxa"/>
          </w:tcPr>
          <w:p>
            <w:pPr>
              <w:pStyle w:val="TableText"/>
              <w:jc w:val="left"/>
            </w:pPr>
            <w:r>
              <w:t xml:space="preserve">1</w:t>
            </w:r>
          </w:p>
        </w:tc>
        <w:tc>
          <w:tcPr>
            <w:tcW w:w="1231" w:type="dxa"/>
          </w:tcPr>
          <w:p>
            <w:pPr>
              <w:pStyle w:val="TableText"/>
              <w:jc w:val="left"/>
            </w:pPr>
            <w:r>
              <w:t xml:space="preserve">2</w:t>
            </w:r>
          </w:p>
        </w:tc>
        <w:tc>
          <w:tcPr>
            <w:tcW w:w="1481" w:type="dxa"/>
          </w:tcPr>
          <w:p>
            <w:pPr>
              <w:pStyle w:val="TableText"/>
              <w:jc w:val="left"/>
            </w:pPr>
            <w:r>
              <w:t xml:space="preserve">3.6</w:t>
            </w:r>
          </w:p>
        </w:tc>
      </w:tr>
      <w:tr>
        <w:trPr>
          <w:cantSplit/>
        </w:trPr>
        <w:tc>
          <w:tcPr>
            <w:tcW w:w="3325" w:type="dxa"/>
          </w:tcPr>
          <w:p>
            <w:pPr>
              <w:pStyle w:val="TableText"/>
              <w:jc w:val="left"/>
            </w:pPr>
            <w:r>
              <w:t xml:space="preserve">F2 Robot</w:t>
            </w:r>
          </w:p>
        </w:tc>
        <w:tc>
          <w:tcPr>
            <w:tcW w:w="1231" w:type="dxa"/>
          </w:tcPr>
          <w:p>
            <w:pPr>
              <w:pStyle w:val="TableText"/>
              <w:jc w:val="left"/>
            </w:pPr>
            <w:r>
              <w:t xml:space="preserve">1</w:t>
            </w:r>
          </w:p>
        </w:tc>
        <w:tc>
          <w:tcPr>
            <w:tcW w:w="861" w:type="dxa"/>
          </w:tcPr>
          <w:p>
            <w:pPr>
              <w:pStyle w:val="TableText"/>
              <w:jc w:val="left"/>
            </w:pPr>
            <w:r>
              <w:t xml:space="preserve">3</w:t>
            </w:r>
          </w:p>
        </w:tc>
        <w:tc>
          <w:tcPr>
            <w:tcW w:w="1231" w:type="dxa"/>
          </w:tcPr>
          <w:p>
            <w:pPr>
              <w:pStyle w:val="TableText"/>
              <w:jc w:val="left"/>
            </w:pPr>
            <w:r>
              <w:t xml:space="preserve">3</w:t>
            </w:r>
          </w:p>
        </w:tc>
        <w:tc>
          <w:tcPr>
            <w:tcW w:w="1231" w:type="dxa"/>
          </w:tcPr>
          <w:p>
            <w:pPr>
              <w:pStyle w:val="TableText"/>
              <w:jc w:val="left"/>
            </w:pPr>
            <w:r>
              <w:t xml:space="preserve">4</w:t>
            </w:r>
          </w:p>
        </w:tc>
        <w:tc>
          <w:tcPr>
            <w:tcW w:w="1481" w:type="dxa"/>
          </w:tcPr>
          <w:p>
            <w:pPr>
              <w:pStyle w:val="TableText"/>
              <w:jc w:val="left"/>
            </w:pPr>
            <w:r>
              <w:t xml:space="preserve">3.4</w:t>
            </w:r>
          </w:p>
        </w:tc>
      </w:tr>
      <w:tr>
        <w:trPr>
          <w:cantSplit/>
        </w:trPr>
        <w:tc>
          <w:tcPr>
            <w:tcW w:w="3325" w:type="dxa"/>
          </w:tcPr>
          <w:p>
            <w:pPr>
              <w:pStyle w:val="TableText"/>
              <w:jc w:val="left"/>
            </w:pPr>
            <w:r>
              <w:t xml:space="preserve">F3 Climate</w:t>
            </w:r>
          </w:p>
        </w:tc>
        <w:tc>
          <w:tcPr>
            <w:tcW w:w="1231" w:type="dxa"/>
          </w:tcPr>
          <w:p>
            <w:pPr>
              <w:pStyle w:val="TableText"/>
              <w:jc w:val="left"/>
            </w:pPr>
            <w:r>
              <w:t xml:space="preserve">1</w:t>
            </w:r>
          </w:p>
        </w:tc>
        <w:tc>
          <w:tcPr>
            <w:tcW w:w="861" w:type="dxa"/>
          </w:tcPr>
          <w:p>
            <w:pPr>
              <w:pStyle w:val="TableText"/>
              <w:jc w:val="left"/>
            </w:pPr>
            <w:r>
              <w:t xml:space="preserve">2</w:t>
            </w:r>
          </w:p>
        </w:tc>
        <w:tc>
          <w:tcPr>
            <w:tcW w:w="1231" w:type="dxa"/>
          </w:tcPr>
          <w:p>
            <w:pPr>
              <w:pStyle w:val="TableText"/>
              <w:jc w:val="left"/>
            </w:pPr>
            <w:r>
              <w:t xml:space="preserve">1</w:t>
            </w:r>
          </w:p>
        </w:tc>
        <w:tc>
          <w:tcPr>
            <w:tcW w:w="1231" w:type="dxa"/>
          </w:tcPr>
          <w:p>
            <w:pPr>
              <w:pStyle w:val="TableText"/>
              <w:jc w:val="left"/>
            </w:pPr>
            <w:r>
              <w:t xml:space="preserve">2</w:t>
            </w:r>
          </w:p>
        </w:tc>
        <w:tc>
          <w:tcPr>
            <w:tcW w:w="1481" w:type="dxa"/>
          </w:tcPr>
          <w:p>
            <w:pPr>
              <w:pStyle w:val="TableText"/>
              <w:jc w:val="left"/>
            </w:pPr>
            <w:r>
              <w:t xml:space="preserve">4.0</w:t>
            </w:r>
          </w:p>
        </w:tc>
      </w:tr>
      <w:tr>
        <w:trPr>
          <w:cantSplit/>
        </w:trPr>
        <w:tc>
          <w:tcPr>
            <w:tcW w:w="3325" w:type="dxa"/>
          </w:tcPr>
          <w:p>
            <w:pPr>
              <w:pStyle w:val="TableText"/>
              <w:jc w:val="left"/>
            </w:pPr>
            <w:r>
              <w:t xml:space="preserve">F4 Pre-embedding</w:t>
            </w:r>
          </w:p>
        </w:tc>
        <w:tc>
          <w:tcPr>
            <w:tcW w:w="1231" w:type="dxa"/>
          </w:tcPr>
          <w:p>
            <w:pPr>
              <w:pStyle w:val="TableText"/>
              <w:jc w:val="left"/>
            </w:pPr>
            <w:r>
              <w:t xml:space="preserve">0</w:t>
            </w:r>
          </w:p>
        </w:tc>
        <w:tc>
          <w:tcPr>
            <w:tcW w:w="861" w:type="dxa"/>
          </w:tcPr>
          <w:p>
            <w:pPr>
              <w:pStyle w:val="TableText"/>
              <w:jc w:val="left"/>
            </w:pPr>
            <w:r>
              <w:t xml:space="preserve">1</w:t>
            </w:r>
          </w:p>
        </w:tc>
        <w:tc>
          <w:tcPr>
            <w:tcW w:w="1231" w:type="dxa"/>
          </w:tcPr>
          <w:p>
            <w:pPr>
              <w:pStyle w:val="TableText"/>
              <w:jc w:val="left"/>
            </w:pPr>
            <w:r>
              <w:t xml:space="preserve">0</w:t>
            </w:r>
          </w:p>
        </w:tc>
        <w:tc>
          <w:tcPr>
            <w:tcW w:w="1231" w:type="dxa"/>
          </w:tcPr>
          <w:p>
            <w:pPr>
              <w:pStyle w:val="TableText"/>
              <w:jc w:val="left"/>
            </w:pPr>
            <w:r>
              <w:t xml:space="preserve">1</w:t>
            </w:r>
          </w:p>
        </w:tc>
        <w:tc>
          <w:tcPr>
            <w:tcW w:w="1481" w:type="dxa"/>
          </w:tcPr>
          <w:p>
            <w:pPr>
              <w:pStyle w:val="TableText"/>
              <w:jc w:val="left"/>
            </w:pPr>
            <w:r>
              <w:t xml:space="preserve">4.2</w:t>
            </w:r>
          </w:p>
        </w:tc>
      </w:tr>
      <w:tr>
        <w:trPr>
          <w:cantSplit/>
        </w:trPr>
        <w:tc>
          <w:tcPr>
            <w:tcW w:w="3325" w:type="dxa"/>
          </w:tcPr>
          <w:p>
            <w:pPr>
              <w:pStyle w:val="TableText"/>
              <w:jc w:val="left"/>
            </w:pPr>
            <w:r>
              <w:t xml:space="preserve">F5 Exit</w:t>
            </w:r>
          </w:p>
        </w:tc>
        <w:tc>
          <w:tcPr>
            <w:tcW w:w="1231" w:type="dxa"/>
          </w:tcPr>
          <w:p>
            <w:pPr>
              <w:pStyle w:val="TableText"/>
              <w:jc w:val="left"/>
            </w:pPr>
            <w:r>
              <w:t xml:space="preserve">1</w:t>
            </w:r>
          </w:p>
        </w:tc>
        <w:tc>
          <w:tcPr>
            <w:tcW w:w="861" w:type="dxa"/>
          </w:tcPr>
          <w:p>
            <w:pPr>
              <w:pStyle w:val="TableText"/>
              <w:jc w:val="left"/>
            </w:pPr>
            <w:r>
              <w:t xml:space="preserve">2</w:t>
            </w:r>
          </w:p>
        </w:tc>
        <w:tc>
          <w:tcPr>
            <w:tcW w:w="1231" w:type="dxa"/>
          </w:tcPr>
          <w:p>
            <w:pPr>
              <w:pStyle w:val="TableText"/>
              <w:jc w:val="left"/>
            </w:pPr>
            <w:r>
              <w:t xml:space="preserve">1</w:t>
            </w:r>
          </w:p>
        </w:tc>
        <w:tc>
          <w:tcPr>
            <w:tcW w:w="1231" w:type="dxa"/>
          </w:tcPr>
          <w:p>
            <w:pPr>
              <w:pStyle w:val="TableText"/>
              <w:jc w:val="left"/>
            </w:pPr>
            <w:r>
              <w:t xml:space="preserve">2</w:t>
            </w:r>
          </w:p>
        </w:tc>
        <w:tc>
          <w:tcPr>
            <w:tcW w:w="1481" w:type="dxa"/>
          </w:tcPr>
          <w:p>
            <w:pPr>
              <w:pStyle w:val="TableText"/>
              <w:jc w:val="left"/>
            </w:pPr>
            <w:r>
              <w:t xml:space="preserve">4.2</w:t>
            </w:r>
          </w:p>
        </w:tc>
      </w:tr>
      <w:tr>
        <w:trPr>
          <w:cantSplit/>
        </w:trPr>
        <w:tc>
          <w:tcPr>
            <w:tcW w:w="3325" w:type="dxa"/>
          </w:tcPr>
          <w:p>
            <w:pPr>
              <w:pStyle w:val="TableText"/>
              <w:jc w:val="left"/>
            </w:pPr>
            <w:r>
              <w:t xml:space="preserve">F6 Sovereignty</w:t>
            </w:r>
          </w:p>
        </w:tc>
        <w:tc>
          <w:tcPr>
            <w:tcW w:w="1231" w:type="dxa"/>
          </w:tcPr>
          <w:p>
            <w:pPr>
              <w:pStyle w:val="TableText"/>
              <w:jc w:val="left"/>
            </w:pPr>
            <w:r>
              <w:t xml:space="preserve">1</w:t>
            </w:r>
          </w:p>
        </w:tc>
        <w:tc>
          <w:tcPr>
            <w:tcW w:w="861" w:type="dxa"/>
          </w:tcPr>
          <w:p>
            <w:pPr>
              <w:pStyle w:val="TableText"/>
              <w:jc w:val="left"/>
            </w:pPr>
            <w:r>
              <w:t xml:space="preserve">2</w:t>
            </w:r>
          </w:p>
        </w:tc>
        <w:tc>
          <w:tcPr>
            <w:tcW w:w="1231" w:type="dxa"/>
          </w:tcPr>
          <w:p>
            <w:pPr>
              <w:pStyle w:val="TableText"/>
              <w:jc w:val="left"/>
            </w:pPr>
            <w:r>
              <w:t xml:space="preserve">1</w:t>
            </w:r>
          </w:p>
        </w:tc>
        <w:tc>
          <w:tcPr>
            <w:tcW w:w="1231" w:type="dxa"/>
          </w:tcPr>
          <w:p>
            <w:pPr>
              <w:pStyle w:val="TableText"/>
              <w:jc w:val="left"/>
            </w:pPr>
            <w:r>
              <w:t xml:space="preserve">2</w:t>
            </w:r>
          </w:p>
        </w:tc>
        <w:tc>
          <w:tcPr>
            <w:tcW w:w="1481" w:type="dxa"/>
          </w:tcPr>
          <w:p>
            <w:pPr>
              <w:pStyle w:val="TableText"/>
              <w:jc w:val="left"/>
            </w:pPr>
            <w:r>
              <w:t xml:space="preserve">3.8</w:t>
            </w:r>
          </w:p>
        </w:tc>
      </w:tr>
      <w:tr>
        <w:trPr>
          <w:cantSplit/>
        </w:trPr>
        <w:tc>
          <w:tcPr>
            <w:tcW w:w="3325" w:type="dxa"/>
          </w:tcPr>
          <w:p>
            <w:pPr>
              <w:pStyle w:val="TableText"/>
              <w:jc w:val="left"/>
            </w:pPr>
            <w:r>
              <w:t xml:space="preserve">F7 Global South</w:t>
            </w:r>
          </w:p>
        </w:tc>
        <w:tc>
          <w:tcPr>
            <w:tcW w:w="1231" w:type="dxa"/>
          </w:tcPr>
          <w:p>
            <w:pPr>
              <w:pStyle w:val="TableText"/>
              <w:jc w:val="left"/>
            </w:pPr>
            <w:r>
              <w:t xml:space="preserve">1</w:t>
            </w:r>
          </w:p>
        </w:tc>
        <w:tc>
          <w:tcPr>
            <w:tcW w:w="861" w:type="dxa"/>
          </w:tcPr>
          <w:p>
            <w:pPr>
              <w:pStyle w:val="TableText"/>
              <w:jc w:val="left"/>
            </w:pPr>
            <w:r>
              <w:t xml:space="preserve">3</w:t>
            </w:r>
          </w:p>
        </w:tc>
        <w:tc>
          <w:tcPr>
            <w:tcW w:w="1231" w:type="dxa"/>
          </w:tcPr>
          <w:p>
            <w:pPr>
              <w:pStyle w:val="TableText"/>
              <w:jc w:val="left"/>
            </w:pPr>
            <w:r>
              <w:t xml:space="preserve">1</w:t>
            </w:r>
          </w:p>
        </w:tc>
        <w:tc>
          <w:tcPr>
            <w:tcW w:w="1231" w:type="dxa"/>
          </w:tcPr>
          <w:p>
            <w:pPr>
              <w:pStyle w:val="TableText"/>
              <w:jc w:val="left"/>
            </w:pPr>
            <w:r>
              <w:t xml:space="preserve">2</w:t>
            </w:r>
          </w:p>
        </w:tc>
        <w:tc>
          <w:tcPr>
            <w:tcW w:w="1481" w:type="dxa"/>
          </w:tcPr>
          <w:p>
            <w:pPr>
              <w:pStyle w:val="TableText"/>
              <w:jc w:val="left"/>
            </w:pPr>
            <w:r>
              <w:t xml:space="preserve">3.8</w:t>
            </w:r>
          </w:p>
        </w:tc>
      </w:tr>
      <w:tr>
        <w:trPr>
          <w:cantSplit/>
        </w:trPr>
        <w:tc>
          <w:tcPr>
            <w:tcW w:w="3325" w:type="dxa"/>
          </w:tcPr>
          <w:p>
            <w:pPr>
              <w:pStyle w:val="TableText"/>
              <w:jc w:val="left"/>
            </w:pPr>
            <w:r>
              <w:t xml:space="preserve">F8 Self-disruption</w:t>
            </w:r>
          </w:p>
        </w:tc>
        <w:tc>
          <w:tcPr>
            <w:tcW w:w="1231" w:type="dxa"/>
          </w:tcPr>
          <w:p>
            <w:pPr>
              <w:pStyle w:val="TableText"/>
              <w:jc w:val="left"/>
            </w:pPr>
            <w:r>
              <w:t xml:space="preserve">1</w:t>
            </w:r>
          </w:p>
        </w:tc>
        <w:tc>
          <w:tcPr>
            <w:tcW w:w="861" w:type="dxa"/>
          </w:tcPr>
          <w:p>
            <w:pPr>
              <w:pStyle w:val="TableText"/>
              <w:jc w:val="left"/>
            </w:pPr>
            <w:r>
              <w:t xml:space="preserve">3</w:t>
            </w:r>
          </w:p>
        </w:tc>
        <w:tc>
          <w:tcPr>
            <w:tcW w:w="1231" w:type="dxa"/>
          </w:tcPr>
          <w:p>
            <w:pPr>
              <w:pStyle w:val="TableText"/>
              <w:jc w:val="left"/>
            </w:pPr>
            <w:r>
              <w:t xml:space="preserve">1</w:t>
            </w:r>
          </w:p>
        </w:tc>
        <w:tc>
          <w:tcPr>
            <w:tcW w:w="1231" w:type="dxa"/>
          </w:tcPr>
          <w:p>
            <w:pPr>
              <w:pStyle w:val="TableText"/>
              <w:jc w:val="left"/>
            </w:pPr>
            <w:r>
              <w:t xml:space="preserve">3</w:t>
            </w:r>
          </w:p>
        </w:tc>
        <w:tc>
          <w:tcPr>
            <w:tcW w:w="1481" w:type="dxa"/>
          </w:tcPr>
          <w:p>
            <w:pPr>
              <w:pStyle w:val="TableText"/>
              <w:jc w:val="left"/>
            </w:pPr>
            <w:r>
              <w:t xml:space="preserve">3.2</w:t>
            </w:r>
          </w:p>
        </w:tc>
      </w:tr>
      <w:tr>
        <w:trPr>
          <w:cantSplit/>
        </w:trPr>
        <w:tc>
          <w:tcPr>
            <w:tcW w:w="3325" w:type="dxa"/>
          </w:tcPr>
          <w:p>
            <w:pPr>
              <w:pStyle w:val="TableText"/>
              <w:jc w:val="left"/>
            </w:pPr>
            <w:r>
              <w:t xml:space="preserve">F9 Good ancestor</w:t>
            </w:r>
          </w:p>
        </w:tc>
        <w:tc>
          <w:tcPr>
            <w:tcW w:w="1231" w:type="dxa"/>
          </w:tcPr>
          <w:p>
            <w:pPr>
              <w:pStyle w:val="TableText"/>
              <w:jc w:val="left"/>
            </w:pPr>
            <w:r>
              <w:t xml:space="preserve">1</w:t>
            </w:r>
          </w:p>
        </w:tc>
        <w:tc>
          <w:tcPr>
            <w:tcW w:w="861" w:type="dxa"/>
          </w:tcPr>
          <w:p>
            <w:pPr>
              <w:pStyle w:val="TableText"/>
              <w:jc w:val="left"/>
            </w:pPr>
            <w:r>
              <w:t xml:space="preserve">1</w:t>
            </w:r>
          </w:p>
        </w:tc>
        <w:tc>
          <w:tcPr>
            <w:tcW w:w="1231" w:type="dxa"/>
          </w:tcPr>
          <w:p>
            <w:pPr>
              <w:pStyle w:val="TableText"/>
              <w:jc w:val="left"/>
            </w:pPr>
            <w:r>
              <w:t xml:space="preserve">1</w:t>
            </w:r>
          </w:p>
        </w:tc>
        <w:tc>
          <w:tcPr>
            <w:tcW w:w="1231" w:type="dxa"/>
          </w:tcPr>
          <w:p>
            <w:pPr>
              <w:pStyle w:val="TableText"/>
              <w:jc w:val="left"/>
            </w:pPr>
            <w:r>
              <w:t xml:space="preserve">2</w:t>
            </w:r>
          </w:p>
        </w:tc>
        <w:tc>
          <w:tcPr>
            <w:tcW w:w="1481" w:type="dxa"/>
          </w:tcPr>
          <w:p>
            <w:pPr>
              <w:pStyle w:val="TableText"/>
              <w:jc w:val="left"/>
            </w:pPr>
            <w:r>
              <w:t xml:space="preserve">4.3</w:t>
            </w:r>
          </w:p>
        </w:tc>
      </w:tr>
      <w:tr>
        <w:trPr>
          <w:cantSplit/>
        </w:trPr>
        <w:tc>
          <w:tcPr>
            <w:tcW w:w="3325" w:type="dxa"/>
          </w:tcPr>
          <w:p>
            <w:pPr>
              <w:pStyle w:val="TableText"/>
              <w:jc w:val="left"/>
            </w:pPr>
            <w:r>
              <w:t xml:space="preserve">F10 Synthetic reality</w:t>
            </w:r>
          </w:p>
        </w:tc>
        <w:tc>
          <w:tcPr>
            <w:tcW w:w="1231" w:type="dxa"/>
          </w:tcPr>
          <w:p>
            <w:pPr>
              <w:pStyle w:val="TableText"/>
              <w:jc w:val="left"/>
            </w:pPr>
            <w:r>
              <w:t xml:space="preserve">2</w:t>
            </w:r>
          </w:p>
        </w:tc>
        <w:tc>
          <w:tcPr>
            <w:tcW w:w="861" w:type="dxa"/>
          </w:tcPr>
          <w:p>
            <w:pPr>
              <w:pStyle w:val="TableText"/>
              <w:jc w:val="left"/>
            </w:pPr>
            <w:r>
              <w:t xml:space="preserve">3</w:t>
            </w:r>
          </w:p>
        </w:tc>
        <w:tc>
          <w:tcPr>
            <w:tcW w:w="1231" w:type="dxa"/>
          </w:tcPr>
          <w:p>
            <w:pPr>
              <w:pStyle w:val="TableText"/>
              <w:jc w:val="left"/>
            </w:pPr>
            <w:r>
              <w:t xml:space="preserve">2</w:t>
            </w:r>
          </w:p>
        </w:tc>
        <w:tc>
          <w:tcPr>
            <w:tcW w:w="1231" w:type="dxa"/>
          </w:tcPr>
          <w:p>
            <w:pPr>
              <w:pStyle w:val="TableText"/>
              <w:jc w:val="left"/>
            </w:pPr>
            <w:r>
              <w:t xml:space="preserve">3</w:t>
            </w:r>
          </w:p>
        </w:tc>
        <w:tc>
          <w:tcPr>
            <w:tcW w:w="1481" w:type="dxa"/>
          </w:tcPr>
          <w:p>
            <w:pPr>
              <w:pStyle w:val="TableText"/>
              <w:jc w:val="left"/>
            </w:pPr>
            <w:r>
              <w:t xml:space="preserve">3.7</w:t>
            </w:r>
          </w:p>
        </w:tc>
      </w:tr>
      <w:tr>
        <w:trPr>
          <w:cantSplit/>
        </w:trPr>
        <w:tc>
          <w:tcPr>
            <w:tcW w:w="3325" w:type="dxa"/>
          </w:tcPr>
          <w:p>
            <w:pPr>
              <w:pStyle w:val="TableText"/>
              <w:jc w:val="left"/>
            </w:pPr>
            <w:r>
              <w:rPr>
                <w:b/>
                <w:bCs/>
              </w:rPr>
              <w:t xml:space="preserve">Future-Fitness (/50)</w:t>
            </w:r>
          </w:p>
        </w:tc>
        <w:tc>
          <w:tcPr>
            <w:tcW w:w="1231" w:type="dxa"/>
          </w:tcPr>
          <w:p>
            <w:pPr>
              <w:pStyle w:val="TableText"/>
              <w:jc w:val="left"/>
            </w:pPr>
            <w:r>
              <w:rPr>
                <w:b/>
                <w:bCs/>
              </w:rPr>
              <w:t xml:space="preserve">10</w:t>
            </w:r>
          </w:p>
        </w:tc>
        <w:tc>
          <w:tcPr>
            <w:tcW w:w="861" w:type="dxa"/>
          </w:tcPr>
          <w:p>
            <w:pPr>
              <w:pStyle w:val="TableText"/>
              <w:jc w:val="left"/>
            </w:pPr>
            <w:r>
              <w:rPr>
                <w:b/>
                <w:bCs/>
              </w:rPr>
              <w:t xml:space="preserve">23</w:t>
            </w:r>
          </w:p>
        </w:tc>
        <w:tc>
          <w:tcPr>
            <w:tcW w:w="1231" w:type="dxa"/>
          </w:tcPr>
          <w:p>
            <w:pPr>
              <w:pStyle w:val="TableText"/>
              <w:jc w:val="left"/>
            </w:pPr>
            <w:r>
              <w:rPr>
                <w:b/>
                <w:bCs/>
              </w:rPr>
              <w:t xml:space="preserve">12</w:t>
            </w:r>
          </w:p>
        </w:tc>
        <w:tc>
          <w:tcPr>
            <w:tcW w:w="1231" w:type="dxa"/>
          </w:tcPr>
          <w:p>
            <w:pPr>
              <w:pStyle w:val="TableText"/>
              <w:jc w:val="left"/>
            </w:pPr>
            <w:r>
              <w:rPr>
                <w:b/>
                <w:bCs/>
              </w:rPr>
              <w:t xml:space="preserve">23</w:t>
            </w:r>
          </w:p>
        </w:tc>
        <w:tc>
          <w:tcPr>
            <w:tcW w:w="1481" w:type="dxa"/>
          </w:tcPr>
          <w:p>
            <w:pPr>
              <w:pStyle w:val="TableText"/>
              <w:jc w:val="left"/>
            </w:pPr>
            <w:r>
              <w:rPr>
                <w:b/>
                <w:bCs/>
              </w:rPr>
              <w:t xml:space="preserve">~38</w:t>
            </w:r>
          </w:p>
        </w:tc>
      </w:tr>
      <w:tr>
        <w:trPr>
          <w:cantSplit/>
        </w:trPr>
        <w:tc>
          <w:tcPr>
            <w:tcW w:w="3325" w:type="dxa"/>
          </w:tcPr>
          <w:p>
            <w:pPr>
              <w:pStyle w:val="TableText"/>
              <w:jc w:val="left"/>
            </w:pPr>
            <w:r>
              <w:t xml:space="preserve">Inner Decagon (/50, from Volume I)</w:t>
            </w:r>
          </w:p>
        </w:tc>
        <w:tc>
          <w:tcPr>
            <w:tcW w:w="1231" w:type="dxa"/>
          </w:tcPr>
          <w:p>
            <w:pPr>
              <w:pStyle w:val="TableText"/>
              <w:jc w:val="left"/>
            </w:pPr>
            <w:r>
              <w:t xml:space="preserve">30</w:t>
            </w:r>
          </w:p>
        </w:tc>
        <w:tc>
          <w:tcPr>
            <w:tcW w:w="861" w:type="dxa"/>
          </w:tcPr>
          <w:p>
            <w:pPr>
              <w:pStyle w:val="TableText"/>
              <w:jc w:val="left"/>
            </w:pPr>
            <w:r>
              <w:t xml:space="preserve">38</w:t>
            </w:r>
          </w:p>
        </w:tc>
        <w:tc>
          <w:tcPr>
            <w:tcW w:w="1231" w:type="dxa"/>
          </w:tcPr>
          <w:p>
            <w:pPr>
              <w:pStyle w:val="TableText"/>
              <w:jc w:val="left"/>
            </w:pPr>
            <w:r>
              <w:t xml:space="preserve">31</w:t>
            </w:r>
          </w:p>
        </w:tc>
        <w:tc>
          <w:tcPr>
            <w:tcW w:w="1231" w:type="dxa"/>
          </w:tcPr>
          <w:p>
            <w:pPr>
              <w:pStyle w:val="TableText"/>
              <w:jc w:val="left"/>
            </w:pPr>
            <w:r>
              <w:t xml:space="preserve">37</w:t>
            </w:r>
          </w:p>
        </w:tc>
        <w:tc>
          <w:tcPr>
            <w:tcW w:w="1481" w:type="dxa"/>
          </w:tcPr>
          <w:p>
            <w:pPr>
              <w:pStyle w:val="TableText"/>
              <w:jc w:val="left"/>
            </w:pPr>
            <w:r>
              <w:t xml:space="preserve">42.3</w:t>
            </w:r>
          </w:p>
        </w:tc>
      </w:tr>
      <w:tr>
        <w:trPr>
          <w:cantSplit/>
        </w:trPr>
        <w:tc>
          <w:tcPr>
            <w:tcW w:w="3325" w:type="dxa"/>
          </w:tcPr>
          <w:p>
            <w:pPr>
              <w:pStyle w:val="TableText"/>
              <w:jc w:val="left"/>
            </w:pPr>
            <w:r>
              <w:rPr>
                <w:b/>
                <w:bCs/>
              </w:rPr>
              <w:t xml:space="preserve">Double Decagon Index (/100)</w:t>
            </w:r>
          </w:p>
        </w:tc>
        <w:tc>
          <w:tcPr>
            <w:tcW w:w="1231" w:type="dxa"/>
          </w:tcPr>
          <w:p>
            <w:pPr>
              <w:pStyle w:val="TableText"/>
              <w:jc w:val="left"/>
            </w:pPr>
            <w:r>
              <w:rPr>
                <w:b/>
                <w:bCs/>
              </w:rPr>
              <w:t xml:space="preserve">40</w:t>
            </w:r>
          </w:p>
        </w:tc>
        <w:tc>
          <w:tcPr>
            <w:tcW w:w="861" w:type="dxa"/>
          </w:tcPr>
          <w:p>
            <w:pPr>
              <w:pStyle w:val="TableText"/>
              <w:jc w:val="left"/>
            </w:pPr>
            <w:r>
              <w:rPr>
                <w:b/>
                <w:bCs/>
              </w:rPr>
              <w:t xml:space="preserve">61</w:t>
            </w:r>
          </w:p>
        </w:tc>
        <w:tc>
          <w:tcPr>
            <w:tcW w:w="1231" w:type="dxa"/>
          </w:tcPr>
          <w:p>
            <w:pPr>
              <w:pStyle w:val="TableText"/>
              <w:jc w:val="left"/>
            </w:pPr>
            <w:r>
              <w:rPr>
                <w:b/>
                <w:bCs/>
              </w:rPr>
              <w:t xml:space="preserve">43</w:t>
            </w:r>
          </w:p>
        </w:tc>
        <w:tc>
          <w:tcPr>
            <w:tcW w:w="1231" w:type="dxa"/>
          </w:tcPr>
          <w:p>
            <w:pPr>
              <w:pStyle w:val="TableText"/>
              <w:jc w:val="left"/>
            </w:pPr>
            <w:r>
              <w:rPr>
                <w:b/>
                <w:bCs/>
              </w:rPr>
              <w:t xml:space="preserve">60</w:t>
            </w:r>
          </w:p>
        </w:tc>
        <w:tc>
          <w:tcPr>
            <w:tcW w:w="1481" w:type="dxa"/>
          </w:tcPr>
          <w:p>
            <w:pPr>
              <w:pStyle w:val="TableText"/>
              <w:jc w:val="left"/>
            </w:pPr>
            <w:r>
              <w:rPr>
                <w:b/>
                <w:bCs/>
              </w:rPr>
              <w:t xml:space="preserve">~80</w:t>
            </w:r>
          </w:p>
        </w:tc>
      </w:tr>
    </w:tbl>
    <w:p>
      <w:pPr>
        <w:pStyle w:val="BodyText"/>
        <w:spacing w:before="160"/>
      </w:pPr>
      <w:r>
        <w:rPr>
          <w:b/>
          <w:bCs/>
        </w:rPr>
        <w:t xml:space="preserve">What calibration shows.</w:t>
      </w:r>
    </w:p>
    <w:p>
      <w:pPr>
        <w:pStyle w:val="Compact"/>
        <w:numPr>
          <w:ilvl w:val="0"/>
          <w:numId w:val="1007"/>
        </w:numPr>
      </w:pPr>
      <w:r>
        <w:rPr>
          <w:b/>
          <w:bCs/>
        </w:rPr>
        <w:t xml:space="preserve">Both platform leaders were</w:t>
      </w:r>
      <w:r>
        <w:rPr>
          <w:b/>
          <w:bCs/>
        </w:rPr>
        <w:t xml:space="preserve"> </w:t>
      </w:r>
      <w:r>
        <w:rPr>
          <w:b/>
          <w:bCs/>
        </w:rPr>
        <w:t xml:space="preserve">“</w:t>
      </w:r>
      <w:r>
        <w:rPr>
          <w:b/>
          <w:bCs/>
        </w:rPr>
        <w:t xml:space="preserve">fragile</w:t>
      </w:r>
      <w:r>
        <w:rPr>
          <w:b/>
          <w:bCs/>
        </w:rPr>
        <w:t xml:space="preserve">”</w:t>
      </w:r>
      <w:r>
        <w:rPr>
          <w:b/>
          <w:bCs/>
        </w:rPr>
        <w:t xml:space="preserve"> </w:t>
      </w:r>
      <w:r>
        <w:rPr>
          <w:b/>
          <w:bCs/>
        </w:rPr>
        <w:t xml:space="preserve">at launch and are</w:t>
      </w:r>
      <w:r>
        <w:rPr>
          <w:b/>
          <w:bCs/>
        </w:rPr>
        <w:t xml:space="preserve"> </w:t>
      </w:r>
      <w:r>
        <w:rPr>
          <w:b/>
          <w:bCs/>
        </w:rPr>
        <w:t xml:space="preserve">“</w:t>
      </w:r>
      <w:r>
        <w:rPr>
          <w:b/>
          <w:bCs/>
        </w:rPr>
        <w:t xml:space="preserve">adaptable</w:t>
      </w:r>
      <w:r>
        <w:rPr>
          <w:b/>
          <w:bCs/>
        </w:rPr>
        <w:t xml:space="preserve">”</w:t>
      </w:r>
      <w:r>
        <w:rPr>
          <w:b/>
          <w:bCs/>
        </w:rPr>
        <w:t xml:space="preserve"> </w:t>
      </w:r>
      <w:r>
        <w:rPr>
          <w:b/>
          <w:bCs/>
        </w:rPr>
        <w:t xml:space="preserve">today.</w:t>
      </w:r>
      <w:r>
        <w:t xml:space="preserve"> </w:t>
      </w:r>
      <w:r>
        <w:t xml:space="preserve">Their improvement came mostly from pressure: regulation, lawsuits and crises.</w:t>
      </w:r>
    </w:p>
    <w:p>
      <w:pPr>
        <w:pStyle w:val="Compact"/>
        <w:numPr>
          <w:ilvl w:val="0"/>
          <w:numId w:val="1007"/>
        </w:numPr>
      </w:pPr>
      <w:r>
        <w:rPr>
          <w:b/>
          <w:bCs/>
        </w:rPr>
        <w:t xml:space="preserve">Airbnb scores higher than Uber on the robot test</w:t>
      </w:r>
      <w:r>
        <w:t xml:space="preserve"> </w:t>
      </w:r>
      <w:r>
        <w:t xml:space="preserve">because homes cannot be automated away, but lower on the Global South test.</w:t>
      </w:r>
    </w:p>
    <w:p>
      <w:pPr>
        <w:pStyle w:val="Compact"/>
        <w:numPr>
          <w:ilvl w:val="0"/>
          <w:numId w:val="1007"/>
        </w:numPr>
      </w:pPr>
      <w:r>
        <w:rPr>
          <w:b/>
          <w:bCs/>
        </w:rPr>
        <w:t xml:space="preserve">The weakest tests for both are F4 (pre-embedding) and F9 (good ancestor).</w:t>
      </w:r>
      <w:r>
        <w:t xml:space="preserve"> </w:t>
      </w:r>
      <w:r>
        <w:t xml:space="preserve">These are precisely the tests where the double movement and long-term externalities bite.</w:t>
      </w:r>
    </w:p>
    <w:p>
      <w:pPr>
        <w:pStyle w:val="Compact"/>
        <w:numPr>
          <w:ilvl w:val="0"/>
          <w:numId w:val="1007"/>
        </w:numPr>
      </w:pPr>
      <w:r>
        <w:rPr>
          <w:b/>
          <w:bCs/>
        </w:rPr>
        <w:t xml:space="preserve">The first ten ventures are</w:t>
      </w:r>
      <w:r>
        <w:rPr>
          <w:b/>
          <w:bCs/>
        </w:rPr>
        <w:t xml:space="preserve"> </w:t>
      </w:r>
      <w:r>
        <w:rPr>
          <w:b/>
          <w:bCs/>
        </w:rPr>
        <w:t xml:space="preserve">“</w:t>
      </w:r>
      <w:r>
        <w:rPr>
          <w:b/>
          <w:bCs/>
        </w:rPr>
        <w:t xml:space="preserve">future-fit</w:t>
      </w:r>
      <w:r>
        <w:rPr>
          <w:b/>
          <w:bCs/>
        </w:rPr>
        <w:t xml:space="preserve">”</w:t>
      </w:r>
      <w:r>
        <w:rPr>
          <w:b/>
          <w:bCs/>
        </w:rPr>
        <w:t xml:space="preserve"> </w:t>
      </w:r>
      <w:r>
        <w:rPr>
          <w:b/>
          <w:bCs/>
        </w:rPr>
        <w:t xml:space="preserve">by design</w:t>
      </w:r>
      <w:r>
        <w:t xml:space="preserve"> </w:t>
      </w:r>
      <w:r>
        <w:t xml:space="preserve">but weakest on self-disruption (F8) and robots (F2). Those are lessons the Next Decagon tries to apply.</w:t>
      </w:r>
    </w:p>
    <w:p>
      <w:pPr>
        <w:pStyle w:val="FirstParagraph"/>
      </w:pPr>
      <w:r>
        <w:rPr>
          <w:i/>
          <w:iCs/>
        </w:rPr>
        <w:t xml:space="preserve">All scores are the author’s judgement. Venture scores reflect design intent and should be discounted for execution risk.</w:t>
      </w:r>
    </w:p>
    <w:bookmarkEnd w:id="39"/>
    <w:bookmarkStart w:id="43" w:name="the-foresight-to-venture-pipeline"/>
    <w:p>
      <w:pPr>
        <w:pStyle w:val="Heading2"/>
      </w:pPr>
      <w:r>
        <w:t xml:space="preserve">3.6 The Foresight-to-Venture Pipeline</w:t>
      </w:r>
    </w:p>
    <w:p>
      <w:pPr>
        <w:pStyle w:val="FirstParagraph"/>
      </w:pPr>
      <w:r>
        <w:t xml:space="preserve">The process has ten steps, from scanning the future to stewarding a live venture. It extends Volume I’s Systemic Design Spiral with a foresight front-end and a future-fitness back-end.</w:t>
      </w:r>
    </w:p>
    <w:p>
      <w:pPr>
        <w:pStyle w:val="CaptionedFigure"/>
      </w:pPr>
      <w:r>
        <w:drawing>
          <wp:inline>
            <wp:extent cx="5334000" cy="1753028"/>
            <wp:effectExtent b="0" l="0" r="0" t="0"/>
            <wp:docPr descr="Figure 3. The Foresight-to-Venture Pipeline: ten steps from scanning the future to stewarding a live venture, repeated every cycle." title="" id="41" name="Picture"/>
            <a:graphic>
              <a:graphicData uri="http://schemas.openxmlformats.org/drawingml/2006/picture">
                <pic:pic>
                  <pic:nvPicPr>
                    <pic:cNvPr descr="/tmp/claude-0/-home-user-Adekunle-Adeniji/db1110ee-95e2-549a-bb3a-dcca8fdc5e35/scratchpad/docx_build/img2_tb/diagram_0.png" id="42" name="Picture"/>
                    <pic:cNvPicPr>
                      <a:picLocks noChangeArrowheads="1" noChangeAspect="1"/>
                    </pic:cNvPicPr>
                  </pic:nvPicPr>
                  <pic:blipFill>
                    <a:blip r:embed="rId40"/>
                    <a:stretch>
                      <a:fillRect/>
                    </a:stretch>
                  </pic:blipFill>
                  <pic:spPr bwMode="auto">
                    <a:xfrm>
                      <a:off x="0" y="0"/>
                      <a:ext cx="5334000" cy="1753028"/>
                    </a:xfrm>
                    <a:prstGeom prst="rect">
                      <a:avLst/>
                    </a:prstGeom>
                    <a:noFill/>
                    <a:ln w="9525">
                      <a:noFill/>
                      <a:headEnd/>
                      <a:tailEnd/>
                    </a:ln>
                  </pic:spPr>
                </pic:pic>
              </a:graphicData>
            </a:graphic>
          </wp:inline>
        </w:drawing>
      </w:r>
    </w:p>
    <w:p>
      <w:pPr>
        <w:pStyle w:val="ImageCaption"/>
      </w:pPr>
      <w:r>
        <w:t xml:space="preserve">Figure 3. The Foresight-to-Venture Pipeline: ten steps from scanning the future to stewarding a live venture, repeated every cycle.</w:t>
      </w:r>
    </w:p>
    <w:tbl>
      <w:tblPr>
        <w:tblStyle w:val="Table"/>
        <w:tblW w:w="9360" w:type="dxa"/>
        <w:jc w:val="left"/>
        <w:tblLayout w:type="fixed"/>
        <w:tblLook w:firstRow="1" w:lastRow="0" w:firstColumn="0" w:lastColumn="0" w:noHBand="0" w:noVBand="0" w:val="0020"/>
      </w:tblPr>
      <w:tblGrid>
        <w:gridCol w:w="1312"/>
        <w:gridCol w:w="2886"/>
        <w:gridCol w:w="3411"/>
        <w:gridCol w:w="1751"/>
      </w:tblGrid>
      <w:tr>
        <w:trPr>
          <w:cantSplit/>
          <w:tblHeader w:val="true"/>
        </w:trPr>
        <w:tc>
          <w:tcPr>
            <w:tcW w:w="1312" w:type="dxa"/>
          </w:tcPr>
          <w:p>
            <w:pPr>
              <w:pStyle w:val="TableText"/>
              <w:jc w:val="left"/>
            </w:pPr>
            <w:r>
              <w:t xml:space="preserve">Step</w:t>
            </w:r>
          </w:p>
        </w:tc>
        <w:tc>
          <w:tcPr>
            <w:tcW w:w="2886" w:type="dxa"/>
          </w:tcPr>
          <w:p>
            <w:pPr>
              <w:pStyle w:val="TableText"/>
              <w:jc w:val="left"/>
            </w:pPr>
            <w:r>
              <w:t xml:space="preserve">Activity</w:t>
            </w:r>
          </w:p>
        </w:tc>
        <w:tc>
          <w:tcPr>
            <w:tcW w:w="3411" w:type="dxa"/>
          </w:tcPr>
          <w:p>
            <w:pPr>
              <w:pStyle w:val="TableText"/>
              <w:jc w:val="left"/>
            </w:pPr>
            <w:r>
              <w:t xml:space="preserve">Tools</w:t>
            </w:r>
          </w:p>
        </w:tc>
        <w:tc>
          <w:tcPr>
            <w:tcW w:w="1751" w:type="dxa"/>
          </w:tcPr>
          <w:p>
            <w:pPr>
              <w:pStyle w:val="TableText"/>
              <w:jc w:val="left"/>
            </w:pPr>
            <w:r>
              <w:t xml:space="preserve">Output</w:t>
            </w:r>
          </w:p>
        </w:tc>
      </w:tr>
      <w:tr>
        <w:trPr>
          <w:cantSplit/>
        </w:trPr>
        <w:tc>
          <w:tcPr>
            <w:tcW w:w="1312" w:type="dxa"/>
          </w:tcPr>
          <w:p>
            <w:pPr>
              <w:pStyle w:val="TableText"/>
              <w:jc w:val="left"/>
            </w:pPr>
            <w:r>
              <w:rPr>
                <w:b/>
                <w:bCs/>
              </w:rPr>
              <w:t xml:space="preserve">1. Scan</w:t>
            </w:r>
          </w:p>
        </w:tc>
        <w:tc>
          <w:tcPr>
            <w:tcW w:w="2886" w:type="dxa"/>
          </w:tcPr>
          <w:p>
            <w:pPr>
              <w:pStyle w:val="TableText"/>
              <w:jc w:val="left"/>
            </w:pPr>
            <w:r>
              <w:t xml:space="preserve">Track signals across technology, demography, climate, regulation and culture</w:t>
            </w:r>
          </w:p>
        </w:tc>
        <w:tc>
          <w:tcPr>
            <w:tcW w:w="3411" w:type="dxa"/>
          </w:tcPr>
          <w:p>
            <w:pPr>
              <w:pStyle w:val="TableText"/>
              <w:jc w:val="left"/>
            </w:pPr>
            <w:r>
              <w:t xml:space="preserve">STEEP scanning; weak signals; the ten shifts (Section 2.1)</w:t>
            </w:r>
          </w:p>
        </w:tc>
        <w:tc>
          <w:tcPr>
            <w:tcW w:w="1751" w:type="dxa"/>
          </w:tcPr>
          <w:p>
            <w:pPr>
              <w:pStyle w:val="TableText"/>
              <w:jc w:val="left"/>
            </w:pPr>
            <w:r>
              <w:t xml:space="preserve">A signals log</w:t>
            </w:r>
          </w:p>
        </w:tc>
      </w:tr>
      <w:tr>
        <w:trPr>
          <w:cantSplit/>
        </w:trPr>
        <w:tc>
          <w:tcPr>
            <w:tcW w:w="1312" w:type="dxa"/>
          </w:tcPr>
          <w:p>
            <w:pPr>
              <w:pStyle w:val="TableText"/>
              <w:jc w:val="left"/>
            </w:pPr>
            <w:r>
              <w:rPr>
                <w:b/>
                <w:bCs/>
              </w:rPr>
              <w:t xml:space="preserve">2. Frame</w:t>
            </w:r>
          </w:p>
        </w:tc>
        <w:tc>
          <w:tcPr>
            <w:tcW w:w="2886" w:type="dxa"/>
          </w:tcPr>
          <w:p>
            <w:pPr>
              <w:pStyle w:val="TableText"/>
              <w:jc w:val="left"/>
            </w:pPr>
            <w:r>
              <w:t xml:space="preserve">Choose and deepen a problem</w:t>
            </w:r>
          </w:p>
        </w:tc>
        <w:tc>
          <w:tcPr>
            <w:tcW w:w="3411" w:type="dxa"/>
          </w:tcPr>
          <w:p>
            <w:pPr>
              <w:pStyle w:val="TableText"/>
              <w:jc w:val="left"/>
            </w:pPr>
            <w:r>
              <w:t xml:space="preserve">Future Problem Atlas; Causal Layered Analysis (litany → systems → worldview → metaphor)</w:t>
            </w:r>
          </w:p>
        </w:tc>
        <w:tc>
          <w:tcPr>
            <w:tcW w:w="1751" w:type="dxa"/>
          </w:tcPr>
          <w:p>
            <w:pPr>
              <w:pStyle w:val="TableText"/>
              <w:jc w:val="left"/>
            </w:pPr>
            <w:r>
              <w:t xml:space="preserve">A problem frame at four depths</w:t>
            </w:r>
          </w:p>
        </w:tc>
      </w:tr>
      <w:tr>
        <w:trPr>
          <w:cantSplit/>
        </w:trPr>
        <w:tc>
          <w:tcPr>
            <w:tcW w:w="1312" w:type="dxa"/>
          </w:tcPr>
          <w:p>
            <w:pPr>
              <w:pStyle w:val="TableText"/>
              <w:jc w:val="left"/>
            </w:pPr>
            <w:r>
              <w:rPr>
                <w:b/>
                <w:bCs/>
              </w:rPr>
              <w:t xml:space="preserve">3. Map</w:t>
            </w:r>
          </w:p>
        </w:tc>
        <w:tc>
          <w:tcPr>
            <w:tcW w:w="2886" w:type="dxa"/>
          </w:tcPr>
          <w:p>
            <w:pPr>
              <w:pStyle w:val="TableText"/>
              <w:jc w:val="left"/>
            </w:pPr>
            <w:r>
              <w:t xml:space="preserve">Understand the system</w:t>
            </w:r>
          </w:p>
        </w:tc>
        <w:tc>
          <w:tcPr>
            <w:tcW w:w="3411" w:type="dxa"/>
          </w:tcPr>
          <w:p>
            <w:pPr>
              <w:pStyle w:val="TableText"/>
              <w:jc w:val="left"/>
            </w:pPr>
            <w:r>
              <w:t xml:space="preserve">Causal loop diagrams; stock-and-flow models; Meadows’ leverage points</w:t>
            </w:r>
          </w:p>
        </w:tc>
        <w:tc>
          <w:tcPr>
            <w:tcW w:w="1751" w:type="dxa"/>
          </w:tcPr>
          <w:p>
            <w:pPr>
              <w:pStyle w:val="TableText"/>
              <w:jc w:val="left"/>
            </w:pPr>
            <w:r>
              <w:t xml:space="preserve">A system map with loops and leverage points</w:t>
            </w:r>
          </w:p>
        </w:tc>
      </w:tr>
      <w:tr>
        <w:trPr>
          <w:cantSplit/>
        </w:trPr>
        <w:tc>
          <w:tcPr>
            <w:tcW w:w="1312" w:type="dxa"/>
          </w:tcPr>
          <w:p>
            <w:pPr>
              <w:pStyle w:val="TableText"/>
              <w:jc w:val="left"/>
            </w:pPr>
            <w:r>
              <w:rPr>
                <w:b/>
                <w:bCs/>
              </w:rPr>
              <w:t xml:space="preserve">4. Find latency</w:t>
            </w:r>
          </w:p>
        </w:tc>
        <w:tc>
          <w:tcPr>
            <w:tcW w:w="2886" w:type="dxa"/>
          </w:tcPr>
          <w:p>
            <w:pPr>
              <w:pStyle w:val="TableText"/>
              <w:jc w:val="left"/>
            </w:pPr>
            <w:r>
              <w:t xml:space="preserve">Identify idle or untrusted capacity</w:t>
            </w:r>
          </w:p>
        </w:tc>
        <w:tc>
          <w:tcPr>
            <w:tcW w:w="3411" w:type="dxa"/>
          </w:tcPr>
          <w:p>
            <w:pPr>
              <w:pStyle w:val="TableText"/>
              <w:jc w:val="left"/>
            </w:pPr>
            <w:r>
              <w:t xml:space="preserve">The thirteen latency classes (G2); the Latency Audit from Volume I</w:t>
            </w:r>
          </w:p>
        </w:tc>
        <w:tc>
          <w:tcPr>
            <w:tcW w:w="1751" w:type="dxa"/>
          </w:tcPr>
          <w:p>
            <w:pPr>
              <w:pStyle w:val="TableText"/>
              <w:jc w:val="left"/>
            </w:pPr>
            <w:r>
              <w:t xml:space="preserve">A latency inventory</w:t>
            </w:r>
          </w:p>
        </w:tc>
      </w:tr>
      <w:tr>
        <w:trPr>
          <w:cantSplit/>
        </w:trPr>
        <w:tc>
          <w:tcPr>
            <w:tcW w:w="1312" w:type="dxa"/>
          </w:tcPr>
          <w:p>
            <w:pPr>
              <w:pStyle w:val="TableText"/>
              <w:jc w:val="left"/>
            </w:pPr>
            <w:r>
              <w:rPr>
                <w:b/>
                <w:bCs/>
              </w:rPr>
              <w:t xml:space="preserve">5. Generate</w:t>
            </w:r>
          </w:p>
        </w:tc>
        <w:tc>
          <w:tcPr>
            <w:tcW w:w="2886" w:type="dxa"/>
          </w:tcPr>
          <w:p>
            <w:pPr>
              <w:pStyle w:val="TableText"/>
              <w:jc w:val="left"/>
            </w:pPr>
            <w:r>
              <w:t xml:space="preserve">Combine genes into candidate ventures</w:t>
            </w:r>
          </w:p>
        </w:tc>
        <w:tc>
          <w:tcPr>
            <w:tcW w:w="3411" w:type="dxa"/>
          </w:tcPr>
          <w:p>
            <w:pPr>
              <w:pStyle w:val="TableText"/>
              <w:jc w:val="left"/>
            </w:pPr>
            <w:r>
              <w:t xml:space="preserve">The Disruption Genome matrix</w:t>
            </w:r>
          </w:p>
        </w:tc>
        <w:tc>
          <w:tcPr>
            <w:tcW w:w="1751" w:type="dxa"/>
          </w:tcPr>
          <w:p>
            <w:pPr>
              <w:pStyle w:val="TableText"/>
              <w:jc w:val="left"/>
            </w:pPr>
            <w:r>
              <w:t xml:space="preserve">10–30 candidate concepts</w:t>
            </w:r>
          </w:p>
        </w:tc>
      </w:tr>
      <w:tr>
        <w:trPr>
          <w:cantSplit/>
        </w:trPr>
        <w:tc>
          <w:tcPr>
            <w:tcW w:w="1312" w:type="dxa"/>
          </w:tcPr>
          <w:p>
            <w:pPr>
              <w:pStyle w:val="TableText"/>
              <w:jc w:val="left"/>
            </w:pPr>
            <w:r>
              <w:rPr>
                <w:b/>
                <w:bCs/>
              </w:rPr>
              <w:t xml:space="preserve">6. Fit</w:t>
            </w:r>
          </w:p>
        </w:tc>
        <w:tc>
          <w:tcPr>
            <w:tcW w:w="2886" w:type="dxa"/>
          </w:tcPr>
          <w:p>
            <w:pPr>
              <w:pStyle w:val="TableText"/>
              <w:jc w:val="left"/>
            </w:pPr>
            <w:r>
              <w:t xml:space="preserve">Filter candidates</w:t>
            </w:r>
          </w:p>
        </w:tc>
        <w:tc>
          <w:tcPr>
            <w:tcW w:w="3411" w:type="dxa"/>
          </w:tcPr>
          <w:p>
            <w:pPr>
              <w:pStyle w:val="TableText"/>
              <w:jc w:val="left"/>
            </w:pPr>
            <w:r>
              <w:t xml:space="preserve">The ten-question fit test (Volume I, Part VI); the leakage law</w:t>
            </w:r>
          </w:p>
        </w:tc>
        <w:tc>
          <w:tcPr>
            <w:tcW w:w="1751" w:type="dxa"/>
          </w:tcPr>
          <w:p>
            <w:pPr>
              <w:pStyle w:val="TableText"/>
              <w:jc w:val="left"/>
            </w:pPr>
            <w:r>
              <w:t xml:space="preserve">A shortlist</w:t>
            </w:r>
          </w:p>
        </w:tc>
      </w:tr>
      <w:tr>
        <w:trPr>
          <w:cantSplit/>
        </w:trPr>
        <w:tc>
          <w:tcPr>
            <w:tcW w:w="1312" w:type="dxa"/>
          </w:tcPr>
          <w:p>
            <w:pPr>
              <w:pStyle w:val="TableText"/>
              <w:jc w:val="left"/>
            </w:pPr>
            <w:r>
              <w:rPr>
                <w:b/>
                <w:bCs/>
              </w:rPr>
              <w:t xml:space="preserve">7. Design</w:t>
            </w:r>
          </w:p>
        </w:tc>
        <w:tc>
          <w:tcPr>
            <w:tcW w:w="2886" w:type="dxa"/>
          </w:tcPr>
          <w:p>
            <w:pPr>
              <w:pStyle w:val="TableText"/>
              <w:jc w:val="left"/>
            </w:pPr>
            <w:r>
              <w:t xml:space="preserve">Design for people, trust and governance</w:t>
            </w:r>
          </w:p>
        </w:tc>
        <w:tc>
          <w:tcPr>
            <w:tcW w:w="3411" w:type="dxa"/>
          </w:tcPr>
          <w:p>
            <w:pPr>
              <w:pStyle w:val="TableText"/>
              <w:jc w:val="left"/>
            </w:pPr>
            <w:r>
              <w:t xml:space="preserve">Ethnography, personas,</w:t>
            </w:r>
            <w:r>
              <w:t xml:space="preserve"> </w:t>
            </w:r>
            <w:r>
              <w:t xml:space="preserve">“</w:t>
            </w:r>
            <w:r>
              <w:t xml:space="preserve">How might we</w:t>
            </w:r>
            <w:r>
              <w:t xml:space="preserve">”</w:t>
            </w:r>
            <w:r>
              <w:t xml:space="preserve">; trust stack; Ostrom’s principles; veil-of-ignorance test</w:t>
            </w:r>
          </w:p>
        </w:tc>
        <w:tc>
          <w:tcPr>
            <w:tcW w:w="1751" w:type="dxa"/>
          </w:tcPr>
          <w:p>
            <w:pPr>
              <w:pStyle w:val="TableText"/>
              <w:jc w:val="left"/>
            </w:pPr>
            <w:r>
              <w:t xml:space="preserve">Service blueprint; governance design</w:t>
            </w:r>
          </w:p>
        </w:tc>
      </w:tr>
      <w:tr>
        <w:trPr>
          <w:cantSplit/>
        </w:trPr>
        <w:tc>
          <w:tcPr>
            <w:tcW w:w="1312" w:type="dxa"/>
          </w:tcPr>
          <w:p>
            <w:pPr>
              <w:pStyle w:val="TableText"/>
              <w:jc w:val="left"/>
            </w:pPr>
            <w:r>
              <w:rPr>
                <w:b/>
                <w:bCs/>
              </w:rPr>
              <w:t xml:space="preserve">8. Score</w:t>
            </w:r>
          </w:p>
        </w:tc>
        <w:tc>
          <w:tcPr>
            <w:tcW w:w="2886" w:type="dxa"/>
          </w:tcPr>
          <w:p>
            <w:pPr>
              <w:pStyle w:val="TableText"/>
              <w:jc w:val="left"/>
            </w:pPr>
            <w:r>
              <w:t xml:space="preserve">Score both rings</w:t>
            </w:r>
          </w:p>
        </w:tc>
        <w:tc>
          <w:tcPr>
            <w:tcW w:w="3411" w:type="dxa"/>
          </w:tcPr>
          <w:p>
            <w:pPr>
              <w:pStyle w:val="TableText"/>
              <w:jc w:val="left"/>
            </w:pPr>
            <w:r>
              <w:t xml:space="preserve">The Double Decagon Index</w:t>
            </w:r>
          </w:p>
        </w:tc>
        <w:tc>
          <w:tcPr>
            <w:tcW w:w="1751" w:type="dxa"/>
          </w:tcPr>
          <w:p>
            <w:pPr>
              <w:pStyle w:val="TableText"/>
              <w:jc w:val="left"/>
            </w:pPr>
            <w:r>
              <w:t xml:space="preserve">Scores and weaknesses</w:t>
            </w:r>
          </w:p>
        </w:tc>
      </w:tr>
      <w:tr>
        <w:trPr>
          <w:cantSplit/>
        </w:trPr>
        <w:tc>
          <w:tcPr>
            <w:tcW w:w="1312" w:type="dxa"/>
          </w:tcPr>
          <w:p>
            <w:pPr>
              <w:pStyle w:val="TableText"/>
              <w:jc w:val="left"/>
            </w:pPr>
            <w:r>
              <w:rPr>
                <w:b/>
                <w:bCs/>
              </w:rPr>
              <w:t xml:space="preserve">9. Stress-test</w:t>
            </w:r>
          </w:p>
        </w:tc>
        <w:tc>
          <w:tcPr>
            <w:tcW w:w="2886" w:type="dxa"/>
          </w:tcPr>
          <w:p>
            <w:pPr>
              <w:pStyle w:val="TableText"/>
              <w:jc w:val="left"/>
            </w:pPr>
            <w:r>
              <w:t xml:space="preserve">Test against futures</w:t>
            </w:r>
          </w:p>
        </w:tc>
        <w:tc>
          <w:tcPr>
            <w:tcW w:w="3411" w:type="dxa"/>
          </w:tcPr>
          <w:p>
            <w:pPr>
              <w:pStyle w:val="TableText"/>
              <w:jc w:val="left"/>
            </w:pPr>
            <w:r>
              <w:t xml:space="preserve">Dator’s four futures; wildcards; release-phase planning; pre-mortem</w:t>
            </w:r>
          </w:p>
        </w:tc>
        <w:tc>
          <w:tcPr>
            <w:tcW w:w="1751" w:type="dxa"/>
          </w:tcPr>
          <w:p>
            <w:pPr>
              <w:pStyle w:val="TableText"/>
              <w:jc w:val="left"/>
            </w:pPr>
            <w:r>
              <w:t xml:space="preserve">A resilience plan</w:t>
            </w:r>
          </w:p>
        </w:tc>
      </w:tr>
      <w:tr>
        <w:trPr>
          <w:cantSplit/>
        </w:trPr>
        <w:tc>
          <w:tcPr>
            <w:tcW w:w="1312" w:type="dxa"/>
          </w:tcPr>
          <w:p>
            <w:pPr>
              <w:pStyle w:val="TableText"/>
              <w:jc w:val="left"/>
            </w:pPr>
            <w:r>
              <w:rPr>
                <w:b/>
                <w:bCs/>
              </w:rPr>
              <w:t xml:space="preserve">10. Pilot and steward</w:t>
            </w:r>
          </w:p>
        </w:tc>
        <w:tc>
          <w:tcPr>
            <w:tcW w:w="2886" w:type="dxa"/>
          </w:tcPr>
          <w:p>
            <w:pPr>
              <w:pStyle w:val="TableText"/>
              <w:jc w:val="left"/>
            </w:pPr>
            <w:r>
              <w:t xml:space="preserve">Launch the smallest atomic network by hand; measure; govern; then return to step 1 and re-score</w:t>
            </w:r>
          </w:p>
        </w:tc>
        <w:tc>
          <w:tcPr>
            <w:tcW w:w="3411" w:type="dxa"/>
          </w:tcPr>
          <w:p>
            <w:pPr>
              <w:pStyle w:val="TableText"/>
              <w:jc w:val="left"/>
            </w:pPr>
            <w:r>
              <w:t xml:space="preserve">Concierge MVP; externality ledger; re-scoring</w:t>
            </w:r>
          </w:p>
        </w:tc>
        <w:tc>
          <w:tcPr>
            <w:tcW w:w="1751" w:type="dxa"/>
          </w:tcPr>
          <w:p>
            <w:pPr>
              <w:pStyle w:val="TableText"/>
              <w:jc w:val="left"/>
            </w:pPr>
            <w:r>
              <w:t xml:space="preserve">Evidence; the next cycle</w:t>
            </w:r>
          </w:p>
        </w:tc>
      </w:tr>
    </w:tbl>
    <w:bookmarkEnd w:id="43"/>
    <w:bookmarkStart w:id="44" w:name="the-theory-of-future-disruption"/>
    <w:p>
      <w:pPr>
        <w:pStyle w:val="Heading2"/>
      </w:pPr>
      <w:r>
        <w:t xml:space="preserve">3.7 The theory of future disruption</w:t>
      </w:r>
    </w:p>
    <w:p>
      <w:pPr>
        <w:pStyle w:val="FirstParagraph"/>
      </w:pPr>
      <w:r>
        <w:t xml:space="preserve">Volume I drew on Coase, Hayek, Christensen, Polanyi, Meadows, Ashby, Beer, Ostrom and others. Volume II adds five ideas that matter specifically for 2030–2050.</w:t>
      </w:r>
    </w:p>
    <w:p>
      <w:pPr>
        <w:pStyle w:val="BodyText"/>
      </w:pPr>
      <w:r>
        <w:rPr>
          <w:b/>
          <w:bCs/>
        </w:rPr>
        <w:t xml:space="preserve">1. The disruption of disruption.</w:t>
      </w:r>
      <w:r>
        <w:t xml:space="preserve"> </w:t>
      </w:r>
      <w:r>
        <w:t xml:space="preserve">AI is collapsing the cost of building software. A competent copy of most apps can now be built quickly and cheaply, so</w:t>
      </w:r>
      <w:r>
        <w:t xml:space="preserve"> </w:t>
      </w:r>
      <w:r>
        <w:rPr>
          <w:i/>
          <w:iCs/>
        </w:rPr>
        <w:t xml:space="preserve">software alone</w:t>
      </w:r>
      <w:r>
        <w:t xml:space="preserve"> </w:t>
      </w:r>
      <w:r>
        <w:t xml:space="preserve">is no longer a moat. In the next era, durable advantage moves to what AI cannot copy:</w:t>
      </w:r>
      <w:r>
        <w:t xml:space="preserve"> </w:t>
      </w:r>
      <w:r>
        <w:rPr>
          <w:b/>
          <w:bCs/>
        </w:rPr>
        <w:t xml:space="preserve">verified trust, ownership structures that align participants, legitimacy with regulators and communities, physical networks, and accumulated relationships</w:t>
      </w:r>
      <w:r>
        <w:t xml:space="preserve">. This is why the Next Decagon ventures are built around trust layers, cooperatives, mutuals and physical capacity rather than clever apps.</w:t>
      </w:r>
    </w:p>
    <w:p>
      <w:pPr>
        <w:pStyle w:val="BodyText"/>
      </w:pPr>
      <w:r>
        <w:rPr>
          <w:b/>
          <w:bCs/>
        </w:rPr>
        <w:t xml:space="preserve">2. Doughnut economics.</w:t>
      </w:r>
      <w:r>
        <w:t xml:space="preserve"> </w:t>
      </w:r>
      <w:r>
        <w:t xml:space="preserve">Kate Raworth’s</w:t>
      </w:r>
      <w:r>
        <w:t xml:space="preserve"> </w:t>
      </w:r>
      <w:r>
        <w:rPr>
          <w:i/>
          <w:iCs/>
        </w:rPr>
        <w:t xml:space="preserve">Doughnut Economics</w:t>
      </w:r>
      <w:r>
        <w:t xml:space="preserve"> </w:t>
      </w:r>
      <w:r>
        <w:t xml:space="preserve">(2017) defines a safe and just space between a</w:t>
      </w:r>
      <w:r>
        <w:t xml:space="preserve"> </w:t>
      </w:r>
      <w:r>
        <w:rPr>
          <w:b/>
          <w:bCs/>
        </w:rPr>
        <w:t xml:space="preserve">social foundation</w:t>
      </w:r>
      <w:r>
        <w:t xml:space="preserve"> </w:t>
      </w:r>
      <w:r>
        <w:t xml:space="preserve">(no one falls short on life’s essentials) and an</w:t>
      </w:r>
      <w:r>
        <w:t xml:space="preserve"> </w:t>
      </w:r>
      <w:r>
        <w:rPr>
          <w:b/>
          <w:bCs/>
        </w:rPr>
        <w:t xml:space="preserve">ecological ceiling</w:t>
      </w:r>
      <w:r>
        <w:t xml:space="preserve"> </w:t>
      </w:r>
      <w:r>
        <w:t xml:space="preserve">(planetary boundaries). Ventures should be</w:t>
      </w:r>
      <w:r>
        <w:t xml:space="preserve"> </w:t>
      </w:r>
      <w:r>
        <w:t xml:space="preserve">“</w:t>
      </w:r>
      <w:r>
        <w:t xml:space="preserve">regenerative and distributive by design</w:t>
      </w:r>
      <w:r>
        <w:t xml:space="preserve">”</w:t>
      </w:r>
      <w:r>
        <w:t xml:space="preserve">. The good-ancestor test (F9) operationalizes this: a venture that lifts people above the foundation while pushing the economy through the ceiling fails.</w:t>
      </w:r>
    </w:p>
    <w:p>
      <w:pPr>
        <w:pStyle w:val="BodyText"/>
      </w:pPr>
      <w:r>
        <w:rPr>
          <w:b/>
          <w:bCs/>
        </w:rPr>
        <w:t xml:space="preserve">3. Mission-oriented innovation.</w:t>
      </w:r>
      <w:r>
        <w:t xml:space="preserve"> </w:t>
      </w:r>
      <w:r>
        <w:t xml:space="preserve">Mariana Mazzucato argues that the biggest innovations come from bold public</w:t>
      </w:r>
      <w:r>
        <w:t xml:space="preserve"> </w:t>
      </w:r>
      <w:r>
        <w:rPr>
          <w:b/>
          <w:bCs/>
        </w:rPr>
        <w:t xml:space="preserve">missions</w:t>
      </w:r>
      <w:r>
        <w:t xml:space="preserve"> </w:t>
      </w:r>
      <w:r>
        <w:t xml:space="preserve">(like the Moon landing) that direct public and private investment toward a societal goal. The Next Decagon is organized into four missions (Part 5), so governments, development banks and philanthropies can co-invest alongside founders.</w:t>
      </w:r>
    </w:p>
    <w:p>
      <w:pPr>
        <w:pStyle w:val="BodyText"/>
      </w:pPr>
      <w:r>
        <w:rPr>
          <w:b/>
          <w:bCs/>
        </w:rPr>
        <w:t xml:space="preserve">4. Polycentric governance.</w:t>
      </w:r>
      <w:r>
        <w:t xml:space="preserve"> </w:t>
      </w:r>
      <w:r>
        <w:t xml:space="preserve">Elinor Ostrom showed that complex resources are best governed by many overlapping centres of decision-making, not by a single owner or a single state. Protocol commons (A8), mutuals (A6) and cooperatives (A10) are polycentric by design. In a fragmented, sovereign world, polycentric platforms travel better than centralized ones (the sovereignty test, F6).</w:t>
      </w:r>
    </w:p>
    <w:p>
      <w:pPr>
        <w:pStyle w:val="BodyText"/>
      </w:pPr>
      <w:r>
        <w:rPr>
          <w:b/>
          <w:bCs/>
        </w:rPr>
        <w:t xml:space="preserve">5. Antifragility.</w:t>
      </w:r>
      <w:r>
        <w:t xml:space="preserve"> </w:t>
      </w:r>
      <w:r>
        <w:t xml:space="preserve">Nassim Taleb distinguishes the fragile (harmed by shocks), the robust (unaffected) and the antifragile (strengthened by shocks). Several Next Decagon ventures are deliberately antifragile: their demand</w:t>
      </w:r>
      <w:r>
        <w:t xml:space="preserve"> </w:t>
      </w:r>
      <w:r>
        <w:rPr>
          <w:i/>
          <w:iCs/>
        </w:rPr>
        <w:t xml:space="preserve">rises</w:t>
      </w:r>
      <w:r>
        <w:t xml:space="preserve"> </w:t>
      </w:r>
      <w:r>
        <w:t xml:space="preserve">in crises (CoolHaven in heatwaves, SurgeNet in outbreaks, GroundTruth during disinformation surges). Their challenge is the opposite of most startups: staying funded and ready during calm periods.</w:t>
      </w:r>
    </w:p>
    <w:p>
      <w:pPr>
        <w:pStyle w:val="BodyText"/>
      </w:pPr>
      <w:r>
        <w:rPr>
          <w:b/>
          <w:bCs/>
        </w:rPr>
        <w:t xml:space="preserve">A philosophical note: from breaking to mending.</w:t>
      </w:r>
      <w:r>
        <w:t xml:space="preserve"> </w:t>
      </w:r>
      <w:r>
        <w:t xml:space="preserve">The first platform era’s motto was</w:t>
      </w:r>
      <w:r>
        <w:t xml:space="preserve"> </w:t>
      </w:r>
      <w:r>
        <w:t xml:space="preserve">“</w:t>
      </w:r>
      <w:r>
        <w:t xml:space="preserve">move fast and break things.</w:t>
      </w:r>
      <w:r>
        <w:t xml:space="preserve">”</w:t>
      </w:r>
      <w:r>
        <w:t xml:space="preserve"> </w:t>
      </w:r>
      <w:r>
        <w:t xml:space="preserve">Some of what it broke deserved breaking: taxi cartels and opaque pricing. Some did not: neighbourhood housing, labour protections and shared truth. The ethics of care (Joan Tronto) describes four phases of care:</w:t>
      </w:r>
      <w:r>
        <w:t xml:space="preserve"> </w:t>
      </w:r>
      <w:r>
        <w:rPr>
          <w:i/>
          <w:iCs/>
        </w:rPr>
        <w:t xml:space="preserve">caring about</w:t>
      </w:r>
      <w:r>
        <w:t xml:space="preserve"> </w:t>
      </w:r>
      <w:r>
        <w:t xml:space="preserve">(noticing a need),</w:t>
      </w:r>
      <w:r>
        <w:t xml:space="preserve"> </w:t>
      </w:r>
      <w:r>
        <w:rPr>
          <w:i/>
          <w:iCs/>
        </w:rPr>
        <w:t xml:space="preserve">taking care of</w:t>
      </w:r>
      <w:r>
        <w:t xml:space="preserve"> </w:t>
      </w:r>
      <w:r>
        <w:t xml:space="preserve">(accepting responsibility),</w:t>
      </w:r>
      <w:r>
        <w:t xml:space="preserve"> </w:t>
      </w:r>
      <w:r>
        <w:rPr>
          <w:i/>
          <w:iCs/>
        </w:rPr>
        <w:t xml:space="preserve">care-giving</w:t>
      </w:r>
      <w:r>
        <w:t xml:space="preserve"> </w:t>
      </w:r>
      <w:r>
        <w:t xml:space="preserve">(doing the work) and</w:t>
      </w:r>
      <w:r>
        <w:t xml:space="preserve"> </w:t>
      </w:r>
      <w:r>
        <w:rPr>
          <w:i/>
          <w:iCs/>
        </w:rPr>
        <w:t xml:space="preserve">care-receiving</w:t>
      </w:r>
      <w:r>
        <w:t xml:space="preserve"> </w:t>
      </w:r>
      <w:r>
        <w:t xml:space="preserve">(checking that care landed). Those phases map naturally onto the Foresight-to-Venture Pipeline: scan and frame, design, pilot, re-score. The proposal of this volume is a new motto:</w:t>
      </w:r>
      <w:r>
        <w:t xml:space="preserve"> </w:t>
      </w:r>
      <w:r>
        <w:rPr>
          <w:b/>
          <w:bCs/>
        </w:rPr>
        <w:t xml:space="preserve">move wisely and mend things.</w:t>
      </w:r>
    </w:p>
    <w:bookmarkEnd w:id="44"/>
    <w:bookmarkEnd w:id="45"/>
    <w:bookmarkStart w:id="65" w:name="X27d6eefe66a678514b9cb5e11cd3064ff3b49d1"/>
    <w:p>
      <w:pPr>
        <w:pStyle w:val="Heading1"/>
      </w:pPr>
      <w:r>
        <w:t xml:space="preserve">Part 4: The Next Decagon: Ten Ventures for 2030–2050</w:t>
      </w:r>
    </w:p>
    <w:p>
      <w:pPr>
        <w:pStyle w:val="FirstParagraph"/>
      </w:pPr>
      <w:r>
        <w:t xml:space="preserve">Each venture was generated with the Disruption Genome, filtered with the fit test, and scored on the Double Decagon. Each follows the same template:</w:t>
      </w:r>
    </w:p>
    <w:p>
      <w:pPr>
        <w:pStyle w:val="Compact"/>
        <w:numPr>
          <w:ilvl w:val="0"/>
          <w:numId w:val="1008"/>
        </w:numPr>
      </w:pPr>
      <w:r>
        <w:rPr>
          <w:b/>
          <w:bCs/>
        </w:rPr>
        <w:t xml:space="preserve">Genome code</w:t>
      </w:r>
    </w:p>
    <w:p>
      <w:pPr>
        <w:pStyle w:val="Compact"/>
        <w:numPr>
          <w:ilvl w:val="0"/>
          <w:numId w:val="1008"/>
        </w:numPr>
      </w:pPr>
      <w:r>
        <w:rPr>
          <w:b/>
          <w:bCs/>
        </w:rPr>
        <w:t xml:space="preserve">The new problem</w:t>
      </w:r>
    </w:p>
    <w:p>
      <w:pPr>
        <w:pStyle w:val="Compact"/>
        <w:numPr>
          <w:ilvl w:val="0"/>
          <w:numId w:val="1008"/>
        </w:numPr>
      </w:pPr>
      <w:r>
        <w:rPr>
          <w:b/>
          <w:bCs/>
        </w:rPr>
        <w:t xml:space="preserve">Benchmarks</w:t>
      </w:r>
      <w:r>
        <w:t xml:space="preserve">: what it borrows from Uber, Airbnb, the sixteen-sector map and Volume I, and what it inverts</w:t>
      </w:r>
    </w:p>
    <w:p>
      <w:pPr>
        <w:pStyle w:val="Compact"/>
        <w:numPr>
          <w:ilvl w:val="0"/>
          <w:numId w:val="1008"/>
        </w:numPr>
      </w:pPr>
      <w:r>
        <w:rPr>
          <w:b/>
          <w:bCs/>
        </w:rPr>
        <w:t xml:space="preserve">How it works</w:t>
      </w:r>
    </w:p>
    <w:p>
      <w:pPr>
        <w:pStyle w:val="Compact"/>
        <w:numPr>
          <w:ilvl w:val="0"/>
          <w:numId w:val="1008"/>
        </w:numPr>
      </w:pPr>
      <w:r>
        <w:rPr>
          <w:b/>
          <w:bCs/>
        </w:rPr>
        <w:t xml:space="preserve">System dynamics</w:t>
      </w:r>
    </w:p>
    <w:p>
      <w:pPr>
        <w:pStyle w:val="Compact"/>
        <w:numPr>
          <w:ilvl w:val="0"/>
          <w:numId w:val="1008"/>
        </w:numPr>
      </w:pPr>
      <w:r>
        <w:rPr>
          <w:b/>
          <w:bCs/>
        </w:rPr>
        <w:t xml:space="preserve">Design thinking</w:t>
      </w:r>
    </w:p>
    <w:p>
      <w:pPr>
        <w:pStyle w:val="Compact"/>
        <w:numPr>
          <w:ilvl w:val="0"/>
          <w:numId w:val="1008"/>
        </w:numPr>
      </w:pPr>
      <w:r>
        <w:rPr>
          <w:b/>
          <w:bCs/>
        </w:rPr>
        <w:t xml:space="preserve">Business and ownership model</w:t>
      </w:r>
    </w:p>
    <w:p>
      <w:pPr>
        <w:pStyle w:val="Compact"/>
        <w:numPr>
          <w:ilvl w:val="0"/>
          <w:numId w:val="1008"/>
        </w:numPr>
      </w:pPr>
      <w:r>
        <w:rPr>
          <w:b/>
          <w:bCs/>
        </w:rPr>
        <w:t xml:space="preserve">Future potential</w:t>
      </w:r>
    </w:p>
    <w:p>
      <w:pPr>
        <w:pStyle w:val="Compact"/>
        <w:numPr>
          <w:ilvl w:val="0"/>
          <w:numId w:val="1008"/>
        </w:numPr>
      </w:pPr>
      <w:r>
        <w:rPr>
          <w:b/>
          <w:bCs/>
        </w:rPr>
        <w:t xml:space="preserve">Risks and safeguards</w:t>
      </w:r>
    </w:p>
    <w:p>
      <w:pPr>
        <w:pStyle w:val="Compact"/>
        <w:numPr>
          <w:ilvl w:val="0"/>
          <w:numId w:val="1008"/>
        </w:numPr>
      </w:pPr>
      <w:r>
        <w:rPr>
          <w:b/>
          <w:bCs/>
        </w:rPr>
        <w:t xml:space="preserve">First 100 days</w:t>
      </w:r>
    </w:p>
    <w:p>
      <w:pPr>
        <w:pStyle w:val="Compact"/>
        <w:numPr>
          <w:ilvl w:val="0"/>
          <w:numId w:val="1008"/>
        </w:numPr>
      </w:pPr>
      <w:r>
        <w:rPr>
          <w:b/>
          <w:bCs/>
        </w:rPr>
        <w:t xml:space="preserve">Double Decagon score</w:t>
      </w:r>
    </w:p>
    <w:bookmarkStart w:id="49" w:name="Xdd73a64904b495f8a4e758eb47b32e0e305338d"/>
    <w:p>
      <w:pPr>
        <w:pStyle w:val="Heading2"/>
      </w:pPr>
      <w:r>
        <w:t xml:space="preserve">Venture 1: REMOTEHANDS, the human layer of global automation</w:t>
      </w:r>
    </w:p>
    <w:p>
      <w:pPr>
        <w:pStyle w:val="BlockText"/>
      </w:pPr>
      <w:r>
        <w:rPr>
          <w:b/>
          <w:bCs/>
        </w:rPr>
        <w:t xml:space="preserve">Thesis.</w:t>
      </w:r>
      <w:r>
        <w:t xml:space="preserve"> </w:t>
      </w:r>
      <w:r>
        <w:t xml:space="preserve">Robots and autonomous vehicles are spreading faster than they become fully autonomous. The gap is filled by people who supervise, assist and teach them remotely, often invisibly and on poor terms. RemoteHands is an Uber-style dispatch network for remote robot assistance, built first in the regions with the most young people. It turns Africa’s youth bulge into the trusted human layer of global automation, with fair pay, safety standards and worker ownership.</w:t>
      </w:r>
    </w:p>
    <w:tbl>
      <w:tblPr>
        <w:tblStyle w:val="Table"/>
        <w:tblW w:w="9360" w:type="dxa"/>
        <w:jc w:val="left"/>
        <w:tblLayout w:type="fixed"/>
        <w:tblLook w:firstRow="1" w:lastRow="0" w:firstColumn="0" w:lastColumn="0" w:noHBand="0" w:noVBand="0" w:val="0020"/>
      </w:tblPr>
      <w:tblGrid>
        <w:gridCol w:w="1179"/>
        <w:gridCol w:w="8181"/>
      </w:tblGrid>
      <w:tr>
        <w:trPr>
          <w:cantSplit/>
          <w:tblHeader w:val="true"/>
        </w:trPr>
        <w:tc>
          <w:tcPr>
            <w:tcW w:w="1179" w:type="dxa"/>
          </w:tcPr>
          <w:p>
            <w:pPr>
              <w:pStyle w:val="TableText"/>
              <w:jc w:val="left"/>
            </w:pPr>
            <w:r>
              <w:t xml:space="preserve">Gene</w:t>
            </w:r>
          </w:p>
        </w:tc>
        <w:tc>
          <w:tcPr>
            <w:tcW w:w="8181" w:type="dxa"/>
          </w:tcPr>
          <w:p>
            <w:pPr>
              <w:pStyle w:val="TableText"/>
              <w:jc w:val="left"/>
            </w:pPr>
            <w:r>
              <w:t xml:space="preserve">Value</w:t>
            </w:r>
          </w:p>
        </w:tc>
      </w:tr>
      <w:tr>
        <w:trPr>
          <w:cantSplit/>
        </w:trPr>
        <w:tc>
          <w:tcPr>
            <w:tcW w:w="1179" w:type="dxa"/>
          </w:tcPr>
          <w:p>
            <w:pPr>
              <w:pStyle w:val="TableText"/>
              <w:jc w:val="left"/>
            </w:pPr>
            <w:r>
              <w:t xml:space="preserve">Problem domain</w:t>
            </w:r>
          </w:p>
        </w:tc>
        <w:tc>
          <w:tcPr>
            <w:tcW w:w="8181" w:type="dxa"/>
          </w:tcPr>
          <w:p>
            <w:pPr>
              <w:pStyle w:val="TableText"/>
              <w:jc w:val="left"/>
            </w:pPr>
            <w:r>
              <w:t xml:space="preserve">D2 Work and livelihoods; D1 Intelligence and agency</w:t>
            </w:r>
          </w:p>
        </w:tc>
      </w:tr>
      <w:tr>
        <w:trPr>
          <w:cantSplit/>
        </w:trPr>
        <w:tc>
          <w:tcPr>
            <w:tcW w:w="1179" w:type="dxa"/>
          </w:tcPr>
          <w:p>
            <w:pPr>
              <w:pStyle w:val="TableText"/>
              <w:jc w:val="left"/>
            </w:pPr>
            <w:r>
              <w:t xml:space="preserve">Latent capacity</w:t>
            </w:r>
          </w:p>
        </w:tc>
        <w:tc>
          <w:tcPr>
            <w:tcW w:w="8181" w:type="dxa"/>
          </w:tcPr>
          <w:p>
            <w:pPr>
              <w:pStyle w:val="TableText"/>
              <w:jc w:val="left"/>
            </w:pPr>
            <w:r>
              <w:t xml:space="preserve">L2 idle skills (young, educated, under-employed people); L11 idle presence (connected workers in every time zone)</w:t>
            </w:r>
          </w:p>
        </w:tc>
      </w:tr>
      <w:tr>
        <w:trPr>
          <w:cantSplit/>
        </w:trPr>
        <w:tc>
          <w:tcPr>
            <w:tcW w:w="1179" w:type="dxa"/>
          </w:tcPr>
          <w:p>
            <w:pPr>
              <w:pStyle w:val="TableText"/>
              <w:jc w:val="left"/>
            </w:pPr>
            <w:r>
              <w:t xml:space="preserve">Archetype</w:t>
            </w:r>
          </w:p>
        </w:tc>
        <w:tc>
          <w:tcPr>
            <w:tcW w:w="8181" w:type="dxa"/>
          </w:tcPr>
          <w:p>
            <w:pPr>
              <w:pStyle w:val="TableText"/>
              <w:jc w:val="left"/>
            </w:pPr>
            <w:r>
              <w:t xml:space="preserve">A1 on-demand dispatch + A10 ownership cooperative</w:t>
            </w:r>
          </w:p>
        </w:tc>
      </w:tr>
      <w:tr>
        <w:trPr>
          <w:cantSplit/>
        </w:trPr>
        <w:tc>
          <w:tcPr>
            <w:tcW w:w="1179" w:type="dxa"/>
          </w:tcPr>
          <w:p>
            <w:pPr>
              <w:pStyle w:val="TableText"/>
              <w:jc w:val="left"/>
            </w:pPr>
            <w:r>
              <w:t xml:space="preserve">Technology waves</w:t>
            </w:r>
          </w:p>
        </w:tc>
        <w:tc>
          <w:tcPr>
            <w:tcW w:w="8181" w:type="dxa"/>
          </w:tcPr>
          <w:p>
            <w:pPr>
              <w:pStyle w:val="TableText"/>
              <w:jc w:val="left"/>
            </w:pPr>
            <w:r>
              <w:t xml:space="preserve">T-b robotics and autonomy; T-j spatial computing (VR teleoperation); T-h advanced connectivity</w:t>
            </w:r>
          </w:p>
        </w:tc>
      </w:tr>
      <w:tr>
        <w:trPr>
          <w:cantSplit/>
        </w:trPr>
        <w:tc>
          <w:tcPr>
            <w:tcW w:w="1179" w:type="dxa"/>
          </w:tcPr>
          <w:p>
            <w:pPr>
              <w:pStyle w:val="TableText"/>
              <w:jc w:val="left"/>
            </w:pPr>
            <w:r>
              <w:t xml:space="preserve">Governance</w:t>
            </w:r>
          </w:p>
        </w:tc>
        <w:tc>
          <w:tcPr>
            <w:tcW w:w="8181" w:type="dxa"/>
          </w:tcPr>
          <w:p>
            <w:pPr>
              <w:pStyle w:val="TableText"/>
              <w:jc w:val="left"/>
            </w:pPr>
            <w:r>
              <w:t xml:space="preserve">Worker cooperative with a steward-owned operating company</w:t>
            </w:r>
          </w:p>
        </w:tc>
      </w:tr>
      <w:tr>
        <w:trPr>
          <w:cantSplit/>
        </w:trPr>
        <w:tc>
          <w:tcPr>
            <w:tcW w:w="1179" w:type="dxa"/>
          </w:tcPr>
          <w:p>
            <w:pPr>
              <w:pStyle w:val="TableText"/>
              <w:jc w:val="left"/>
            </w:pPr>
            <w:r>
              <w:t xml:space="preserve">Foothold</w:t>
            </w:r>
          </w:p>
        </w:tc>
        <w:tc>
          <w:tcPr>
            <w:tcW w:w="8181" w:type="dxa"/>
          </w:tcPr>
          <w:p>
            <w:pPr>
              <w:pStyle w:val="TableText"/>
              <w:jc w:val="left"/>
            </w:pPr>
            <w:r>
              <w:t xml:space="preserve">Global South leapfrog; new-market (robot makers with no reliable remote-assist workforce)</w:t>
            </w:r>
          </w:p>
        </w:tc>
      </w:tr>
    </w:tbl>
    <w:p>
      <w:pPr>
        <w:pStyle w:val="BodyText"/>
        <w:spacing w:before="160"/>
      </w:pPr>
      <w:r>
        <w:rPr>
          <w:b/>
          <w:bCs/>
        </w:rPr>
        <w:t xml:space="preserve">The new problem</w:t>
      </w:r>
    </w:p>
    <w:p>
      <w:pPr>
        <w:pStyle w:val="Compact"/>
        <w:numPr>
          <w:ilvl w:val="0"/>
          <w:numId w:val="1009"/>
        </w:numPr>
      </w:pPr>
      <w:r>
        <w:t xml:space="preserve">Robots are multiplying: about 4.66 million industrial robots were operating worldwide in 2024, after 542,000 new installations (IFR).</w:t>
      </w:r>
    </w:p>
    <w:p>
      <w:pPr>
        <w:pStyle w:val="Compact"/>
        <w:numPr>
          <w:ilvl w:val="0"/>
          <w:numId w:val="1009"/>
        </w:numPr>
      </w:pPr>
      <w:r>
        <w:t xml:space="preserve">Robots need help at the edges. Autonomous-vehicle operators use remote assistance when vehicles get stuck. The first home humanoid robots (e.g., 1X’s Neo, offered for 2026) rely on remote human operators using VR headsets for tasks the robot cannot yet do alone.</w:t>
      </w:r>
    </w:p>
    <w:p>
      <w:pPr>
        <w:pStyle w:val="Compact"/>
        <w:numPr>
          <w:ilvl w:val="0"/>
          <w:numId w:val="1009"/>
        </w:numPr>
      </w:pPr>
      <w:r>
        <w:t xml:space="preserve">This work is often hidden</w:t>
      </w:r>
      <w:r>
        <w:t xml:space="preserve"> </w:t>
      </w:r>
      <w:r>
        <w:t xml:space="preserve">“</w:t>
      </w:r>
      <w:r>
        <w:t xml:space="preserve">ghost work</w:t>
      </w:r>
      <w:r>
        <w:t xml:space="preserve">”</w:t>
      </w:r>
      <w:r>
        <w:t xml:space="preserve"> </w:t>
      </w:r>
      <w:r>
        <w:t xml:space="preserve">(Gray and Suri, 2019): low-paid, unprotected, and undisclosed to the people whose homes the robots enter.</w:t>
      </w:r>
    </w:p>
    <w:p>
      <w:pPr>
        <w:pStyle w:val="Compact"/>
        <w:numPr>
          <w:ilvl w:val="0"/>
          <w:numId w:val="1009"/>
        </w:numPr>
      </w:pPr>
      <w:r>
        <w:t xml:space="preserve">Ageing societies need robotic help; young societies need jobs. Nobody is connecting the two on fair terms.</w:t>
      </w:r>
    </w:p>
    <w:p>
      <w:pPr>
        <w:pStyle w:val="FirstParagraph"/>
      </w:pPr>
      <w:r>
        <w:rPr>
          <w:b/>
          <w:bCs/>
        </w:rPr>
        <w:t xml:space="preserve">Benchmarks: borrowed and inverted</w:t>
      </w:r>
    </w:p>
    <w:p>
      <w:pPr>
        <w:pStyle w:val="Compact"/>
        <w:numPr>
          <w:ilvl w:val="0"/>
          <w:numId w:val="1010"/>
        </w:numPr>
      </w:pPr>
      <w:r>
        <w:rPr>
          <w:b/>
          <w:bCs/>
        </w:rPr>
        <w:t xml:space="preserve">From Uber:</w:t>
      </w:r>
      <w:r>
        <w:t xml:space="preserve"> </w:t>
      </w:r>
      <w:r>
        <w:t xml:space="preserve">real-time dispatch.</w:t>
      </w:r>
      <w:r>
        <w:t xml:space="preserve"> </w:t>
      </w:r>
      <w:r>
        <w:t xml:space="preserve">“</w:t>
      </w:r>
      <w:r>
        <w:t xml:space="preserve">Nearest available</w:t>
      </w:r>
      <w:r>
        <w:t xml:space="preserve">”</w:t>
      </w:r>
      <w:r>
        <w:t xml:space="preserve"> </w:t>
      </w:r>
      <w:r>
        <w:t xml:space="preserve">becomes</w:t>
      </w:r>
      <w:r>
        <w:t xml:space="preserve"> </w:t>
      </w:r>
      <w:r>
        <w:rPr>
          <w:i/>
          <w:iCs/>
        </w:rPr>
        <w:t xml:space="preserve">lowest-latency, right-skill, right-language</w:t>
      </w:r>
      <w:r>
        <w:t xml:space="preserve"> </w:t>
      </w:r>
      <w:r>
        <w:t xml:space="preserve">operator.</w:t>
      </w:r>
    </w:p>
    <w:p>
      <w:pPr>
        <w:pStyle w:val="Compact"/>
        <w:numPr>
          <w:ilvl w:val="0"/>
          <w:numId w:val="1010"/>
        </w:numPr>
      </w:pPr>
      <w:r>
        <w:rPr>
          <w:b/>
          <w:bCs/>
        </w:rPr>
        <w:t xml:space="preserve">From Uber AI Solutions</w:t>
      </w:r>
      <w:r>
        <w:t xml:space="preserve"> </w:t>
      </w:r>
      <w:r>
        <w:t xml:space="preserve">(Volume I): a flexible workforce doing AI-related tasks.</w:t>
      </w:r>
    </w:p>
    <w:p>
      <w:pPr>
        <w:pStyle w:val="Compact"/>
        <w:numPr>
          <w:ilvl w:val="0"/>
          <w:numId w:val="1010"/>
        </w:numPr>
      </w:pPr>
      <w:r>
        <w:rPr>
          <w:b/>
          <w:bCs/>
        </w:rPr>
        <w:t xml:space="preserve">From Airbnb:</w:t>
      </w:r>
      <w:r>
        <w:t xml:space="preserve"> </w:t>
      </w:r>
      <w:r>
        <w:t xml:space="preserve">verified profiles, reviews and guarantees, here for operators.</w:t>
      </w:r>
    </w:p>
    <w:p>
      <w:pPr>
        <w:pStyle w:val="Compact"/>
        <w:numPr>
          <w:ilvl w:val="0"/>
          <w:numId w:val="1010"/>
        </w:numPr>
      </w:pPr>
      <w:r>
        <w:rPr>
          <w:b/>
          <w:bCs/>
        </w:rPr>
        <w:t xml:space="preserve">Extends</w:t>
      </w:r>
      <w:r>
        <w:t xml:space="preserve"> </w:t>
      </w:r>
      <w:r>
        <w:t xml:space="preserve">the sixteen-sector map’s</w:t>
      </w:r>
      <w:r>
        <w:t xml:space="preserve"> </w:t>
      </w:r>
      <w:r>
        <w:t xml:space="preserve">“</w:t>
      </w:r>
      <w:r>
        <w:t xml:space="preserve">work and talent</w:t>
      </w:r>
      <w:r>
        <w:t xml:space="preserve">”</w:t>
      </w:r>
      <w:r>
        <w:t xml:space="preserve"> </w:t>
      </w:r>
      <w:r>
        <w:t xml:space="preserve">sector (Volume I, Part VI) and</w:t>
      </w:r>
      <w:r>
        <w:t xml:space="preserve"> </w:t>
      </w:r>
      <w:r>
        <w:rPr>
          <w:b/>
          <w:bCs/>
        </w:rPr>
        <w:t xml:space="preserve">links</w:t>
      </w:r>
      <w:r>
        <w:t xml:space="preserve"> </w:t>
      </w:r>
      <w:r>
        <w:t xml:space="preserve">to Guildhall (training) and CommonFleet (remote operations for AV fleets).</w:t>
      </w:r>
    </w:p>
    <w:p>
      <w:pPr>
        <w:pStyle w:val="Compact"/>
        <w:numPr>
          <w:ilvl w:val="0"/>
          <w:numId w:val="1010"/>
        </w:numPr>
      </w:pPr>
      <w:r>
        <w:rPr>
          <w:b/>
          <w:bCs/>
        </w:rPr>
        <w:t xml:space="preserve">Inverts:</w:t>
      </w:r>
      <w:r>
        <w:t xml:space="preserve"> </w:t>
      </w:r>
      <w:r>
        <w:t xml:space="preserve">invisible ghost work becomes a</w:t>
      </w:r>
      <w:r>
        <w:t xml:space="preserve"> </w:t>
      </w:r>
      <w:r>
        <w:rPr>
          <w:i/>
          <w:iCs/>
        </w:rPr>
        <w:t xml:space="preserve">visible, certified, worker-owned profession</w:t>
      </w:r>
      <w:r>
        <w:t xml:space="preserve">.</w:t>
      </w:r>
    </w:p>
    <w:p>
      <w:pPr>
        <w:pStyle w:val="FirstParagraph"/>
      </w:pPr>
      <w:r>
        <w:rPr>
          <w:b/>
          <w:bCs/>
        </w:rPr>
        <w:t xml:space="preserve">How it works</w:t>
      </w:r>
    </w:p>
    <w:p>
      <w:pPr>
        <w:pStyle w:val="Compact"/>
        <w:numPr>
          <w:ilvl w:val="0"/>
          <w:numId w:val="1011"/>
        </w:numPr>
      </w:pPr>
      <w:r>
        <w:rPr>
          <w:b/>
          <w:bCs/>
        </w:rPr>
        <w:t xml:space="preserve">Academy.</w:t>
      </w:r>
      <w:r>
        <w:t xml:space="preserve"> </w:t>
      </w:r>
      <w:r>
        <w:t xml:space="preserve">Operators train and certify in VR simulators by robot type and task: warehouse picking, home assistance, AV remote guidance and inspection drones.</w:t>
      </w:r>
    </w:p>
    <w:p>
      <w:pPr>
        <w:pStyle w:val="Compact"/>
        <w:numPr>
          <w:ilvl w:val="0"/>
          <w:numId w:val="1011"/>
        </w:numPr>
      </w:pPr>
      <w:r>
        <w:rPr>
          <w:b/>
          <w:bCs/>
        </w:rPr>
        <w:t xml:space="preserve">Integration.</w:t>
      </w:r>
      <w:r>
        <w:t xml:space="preserve"> </w:t>
      </w:r>
      <w:r>
        <w:t xml:space="preserve">Robot makers and fleet operators connect via an API. When a robot’s confidence falls below a threshold, it requests help.</w:t>
      </w:r>
    </w:p>
    <w:p>
      <w:pPr>
        <w:pStyle w:val="Compact"/>
        <w:numPr>
          <w:ilvl w:val="0"/>
          <w:numId w:val="1011"/>
        </w:numPr>
      </w:pPr>
      <w:r>
        <w:rPr>
          <w:b/>
          <w:bCs/>
        </w:rPr>
        <w:t xml:space="preserve">Dispatch.</w:t>
      </w:r>
      <w:r>
        <w:t xml:space="preserve"> </w:t>
      </w:r>
      <w:r>
        <w:t xml:space="preserve">The request goes to the best available certified operator, matched on skill, latency, language, time zone and the customer’s privacy settings.</w:t>
      </w:r>
    </w:p>
    <w:p>
      <w:pPr>
        <w:pStyle w:val="Compact"/>
        <w:numPr>
          <w:ilvl w:val="0"/>
          <w:numId w:val="1011"/>
        </w:numPr>
      </w:pPr>
      <w:r>
        <w:rPr>
          <w:b/>
          <w:bCs/>
        </w:rPr>
        <w:t xml:space="preserve">Assist.</w:t>
      </w:r>
      <w:r>
        <w:t xml:space="preserve"> </w:t>
      </w:r>
      <w:r>
        <w:t xml:space="preserve">The operator guides or teleoperates the robot. Every intervention is logged and can become training data under fair data terms, with royalties to the operator (as in Volume I’s DataGuild).</w:t>
      </w:r>
    </w:p>
    <w:p>
      <w:pPr>
        <w:pStyle w:val="Compact"/>
        <w:numPr>
          <w:ilvl w:val="0"/>
          <w:numId w:val="1011"/>
        </w:numPr>
      </w:pPr>
      <w:r>
        <w:rPr>
          <w:b/>
          <w:bCs/>
        </w:rPr>
        <w:t xml:space="preserve">Privacy and safety.</w:t>
      </w:r>
      <w:r>
        <w:t xml:space="preserve"> </w:t>
      </w:r>
      <w:r>
        <w:t xml:space="preserve">Video is blurred by default, operators work only in consented time windows and geofenced areas, actions are audited, and safety-critical tasks require dual control.</w:t>
      </w:r>
    </w:p>
    <w:p>
      <w:pPr>
        <w:pStyle w:val="Compact"/>
        <w:numPr>
          <w:ilvl w:val="0"/>
          <w:numId w:val="1011"/>
        </w:numPr>
      </w:pPr>
      <w:r>
        <w:rPr>
          <w:b/>
          <w:bCs/>
        </w:rPr>
        <w:t xml:space="preserve">Career ladder.</w:t>
      </w:r>
      <w:r>
        <w:t xml:space="preserve"> </w:t>
      </w:r>
      <w:r>
        <w:t xml:space="preserve">Operator → senior operator → trainer → fleet supervisor → robot-behaviour designer.</w:t>
      </w:r>
    </w:p>
    <w:p>
      <w:pPr>
        <w:pStyle w:val="Compact"/>
        <w:numPr>
          <w:ilvl w:val="0"/>
          <w:numId w:val="1011"/>
        </w:numPr>
      </w:pPr>
      <w:r>
        <w:rPr>
          <w:b/>
          <w:bCs/>
        </w:rPr>
        <w:t xml:space="preserve">Hubs.</w:t>
      </w:r>
      <w:r>
        <w:t xml:space="preserve"> </w:t>
      </w:r>
      <w:r>
        <w:t xml:space="preserve">Power-secure, connectivity-secure work hubs in African cities, using solar and storage (FluxCommons, SecondCell).</w:t>
      </w:r>
    </w:p>
    <w:p>
      <w:pPr>
        <w:pStyle w:val="Compact"/>
        <w:numPr>
          <w:ilvl w:val="0"/>
          <w:numId w:val="1011"/>
        </w:numPr>
      </w:pPr>
      <w:r>
        <w:rPr>
          <w:b/>
          <w:bCs/>
        </w:rPr>
        <w:t xml:space="preserve">Ownership.</w:t>
      </w:r>
      <w:r>
        <w:t xml:space="preserve"> </w:t>
      </w:r>
      <w:r>
        <w:t xml:space="preserve">Operators earn cooperative shares and receive dividends and data royalties.</w:t>
      </w:r>
    </w:p>
    <w:p>
      <w:pPr>
        <w:pStyle w:val="CaptionedFigure"/>
      </w:pPr>
      <w:r>
        <w:drawing>
          <wp:inline>
            <wp:extent cx="3840480" cy="3840480"/>
            <wp:effectExtent b="0" l="0" r="0" t="0"/>
            <wp:docPr descr="Figure 4. RemoteHands: the reliability and deployment loops, and the automation-success balancing loop." title="" id="47" name="Picture"/>
            <a:graphic>
              <a:graphicData uri="http://schemas.openxmlformats.org/drawingml/2006/picture">
                <pic:pic>
                  <pic:nvPicPr>
                    <pic:cNvPr descr="/tmp/claude-0/-home-user-Adekunle-Adeniji/db1110ee-95e2-549a-bb3a-dcca8fdc5e35/scratchpad/docx_build/img2_tb/diagram_1.png" id="48" name="Picture"/>
                    <pic:cNvPicPr>
                      <a:picLocks noChangeArrowheads="1" noChangeAspect="1"/>
                    </pic:cNvPicPr>
                  </pic:nvPicPr>
                  <pic:blipFill>
                    <a:blip r:embed="rId46"/>
                    <a:stretch>
                      <a:fillRect/>
                    </a:stretch>
                  </pic:blipFill>
                  <pic:spPr bwMode="auto">
                    <a:xfrm>
                      <a:off x="0" y="0"/>
                      <a:ext cx="3840480" cy="3840480"/>
                    </a:xfrm>
                    <a:prstGeom prst="rect">
                      <a:avLst/>
                    </a:prstGeom>
                    <a:noFill/>
                    <a:ln w="9525">
                      <a:noFill/>
                      <a:headEnd/>
                      <a:tailEnd/>
                    </a:ln>
                  </pic:spPr>
                </pic:pic>
              </a:graphicData>
            </a:graphic>
          </wp:inline>
        </w:drawing>
      </w:r>
    </w:p>
    <w:p>
      <w:pPr>
        <w:pStyle w:val="ImageCaption"/>
      </w:pPr>
      <w:r>
        <w:t xml:space="preserve">Figure 4. RemoteHands: the reliability and deployment loops, and the automation-success balancing loop.</w:t>
      </w:r>
    </w:p>
    <w:p>
      <w:pPr>
        <w:pStyle w:val="BodyText"/>
      </w:pPr>
      <w:r>
        <w:rPr>
          <w:b/>
          <w:bCs/>
        </w:rPr>
        <w:t xml:space="preserve">System dynamics</w:t>
      </w:r>
    </w:p>
    <w:p>
      <w:pPr>
        <w:pStyle w:val="Compact"/>
        <w:numPr>
          <w:ilvl w:val="0"/>
          <w:numId w:val="1012"/>
        </w:numPr>
      </w:pPr>
      <w:r>
        <w:rPr>
          <w:b/>
          <w:bCs/>
        </w:rPr>
        <w:t xml:space="preserve">R1, the reliability loop:</w:t>
      </w:r>
      <w:r>
        <w:t xml:space="preserve"> </w:t>
      </w:r>
      <w:r>
        <w:t xml:space="preserve">more robots → more edge cases → more tasks → more certified operators → faster, better help → robot makers trust the model → more robots deployed.</w:t>
      </w:r>
    </w:p>
    <w:p>
      <w:pPr>
        <w:pStyle w:val="Compact"/>
        <w:numPr>
          <w:ilvl w:val="0"/>
          <w:numId w:val="1012"/>
        </w:numPr>
      </w:pPr>
      <w:r>
        <w:rPr>
          <w:b/>
          <w:bCs/>
        </w:rPr>
        <w:t xml:space="preserve">R2, the deployment loop:</w:t>
      </w:r>
      <w:r>
        <w:t xml:space="preserve"> </w:t>
      </w:r>
      <w:r>
        <w:t xml:space="preserve">interventions → training data → more capable robots → more robots deployed in new settings → new kinds of edge case.</w:t>
      </w:r>
    </w:p>
    <w:p>
      <w:pPr>
        <w:pStyle w:val="Compact"/>
        <w:numPr>
          <w:ilvl w:val="0"/>
          <w:numId w:val="1012"/>
        </w:numPr>
      </w:pPr>
      <w:r>
        <w:rPr>
          <w:b/>
          <w:bCs/>
        </w:rPr>
        <w:t xml:space="preserve">B1, automation success:</w:t>
      </w:r>
      <w:r>
        <w:t xml:space="preserve"> </w:t>
      </w:r>
      <w:r>
        <w:t xml:space="preserve">better autonomy → fewer edge cases per robot. Demand per robot falls, so RemoteHands must keep moving operators up the skill ladder (supervision, training, new robot types). Its</w:t>
      </w:r>
      <w:r>
        <w:t xml:space="preserve"> </w:t>
      </w:r>
      <w:r>
        <w:rPr>
          <w:i/>
          <w:iCs/>
        </w:rPr>
        <w:t xml:space="preserve">self-disruption plan</w:t>
      </w:r>
      <w:r>
        <w:t xml:space="preserve"> </w:t>
      </w:r>
      <w:r>
        <w:t xml:space="preserve">is built in (future-fitness test F8).</w:t>
      </w:r>
    </w:p>
    <w:p>
      <w:pPr>
        <w:pStyle w:val="Compact"/>
        <w:numPr>
          <w:ilvl w:val="0"/>
          <w:numId w:val="1012"/>
        </w:numPr>
      </w:pPr>
      <w:r>
        <w:rPr>
          <w:b/>
          <w:bCs/>
        </w:rPr>
        <w:t xml:space="preserve">B2, connectivity limits:</w:t>
      </w:r>
      <w:r>
        <w:t xml:space="preserve"> </w:t>
      </w:r>
      <w:r>
        <w:t xml:space="preserve">latency and outages cap which tasks can be done remotely; hubs and task-tiering contain this.</w:t>
      </w:r>
    </w:p>
    <w:p>
      <w:pPr>
        <w:pStyle w:val="Compact"/>
        <w:numPr>
          <w:ilvl w:val="0"/>
          <w:numId w:val="1012"/>
        </w:numPr>
      </w:pPr>
      <w:r>
        <w:rPr>
          <w:b/>
          <w:bCs/>
        </w:rPr>
        <w:t xml:space="preserve">Leverage point:</w:t>
      </w:r>
      <w:r>
        <w:t xml:space="preserve"> </w:t>
      </w:r>
      <w:r>
        <w:t xml:space="preserve">information flows (making hidden work visible) and rules (labour standards for remote robot work, in the spirit of the Fairwork principles).</w:t>
      </w:r>
    </w:p>
    <w:p>
      <w:pPr>
        <w:pStyle w:val="FirstParagraph"/>
      </w:pPr>
      <w:r>
        <w:rPr>
          <w:b/>
          <w:bCs/>
        </w:rPr>
        <w:t xml:space="preserve">Design thinking</w:t>
      </w:r>
    </w:p>
    <w:p>
      <w:pPr>
        <w:pStyle w:val="Compact"/>
        <w:numPr>
          <w:ilvl w:val="0"/>
          <w:numId w:val="1013"/>
        </w:numPr>
      </w:pPr>
      <w:r>
        <w:rPr>
          <w:i/>
          <w:iCs/>
        </w:rPr>
        <w:t xml:space="preserve">Personas:</w:t>
      </w:r>
      <w:r>
        <w:t xml:space="preserve"> </w:t>
      </w:r>
      <w:r>
        <w:rPr>
          <w:b/>
          <w:bCs/>
        </w:rPr>
        <w:t xml:space="preserve">Zainab</w:t>
      </w:r>
      <w:r>
        <w:t xml:space="preserve">, 24, a computer-science graduate in Kano with no job after two years of applications.</w:t>
      </w:r>
      <w:r>
        <w:t xml:space="preserve"> </w:t>
      </w:r>
      <w:r>
        <w:rPr>
          <w:b/>
          <w:bCs/>
        </w:rPr>
        <w:t xml:space="preserve">Henrik</w:t>
      </w:r>
      <w:r>
        <w:t xml:space="preserve">, operations lead at a European warehouse-robotics firm whose robots stall on unusual parcels.</w:t>
      </w:r>
      <w:r>
        <w:t xml:space="preserve"> </w:t>
      </w:r>
      <w:r>
        <w:rPr>
          <w:b/>
          <w:bCs/>
        </w:rPr>
        <w:t xml:space="preserve">Doris</w:t>
      </w:r>
      <w:r>
        <w:t xml:space="preserve">, 81, in Manchester, whose home robot sometimes freezes mid-task.</w:t>
      </w:r>
    </w:p>
    <w:p>
      <w:pPr>
        <w:pStyle w:val="Compact"/>
        <w:numPr>
          <w:ilvl w:val="0"/>
          <w:numId w:val="1013"/>
        </w:numPr>
      </w:pPr>
      <w:r>
        <w:rPr>
          <w:i/>
          <w:iCs/>
        </w:rPr>
        <w:t xml:space="preserve">How might</w:t>
      </w:r>
      <w:r>
        <w:t xml:space="preserve"> </w:t>
      </w:r>
      <w:r>
        <w:t xml:space="preserve">the world’s youngest workforce become the trusted hands of the world’s robots?</w:t>
      </w:r>
    </w:p>
    <w:p>
      <w:pPr>
        <w:pStyle w:val="Compact"/>
        <w:numPr>
          <w:ilvl w:val="0"/>
          <w:numId w:val="1013"/>
        </w:numPr>
      </w:pPr>
      <w:r>
        <w:rPr>
          <w:i/>
          <w:iCs/>
        </w:rPr>
        <w:t xml:space="preserve">Moment of truth:</w:t>
      </w:r>
      <w:r>
        <w:t xml:space="preserve"> </w:t>
      </w:r>
      <w:r>
        <w:t xml:space="preserve">Zainab guides a robot in Manchester through making tea safely, is paid within the hour, and the robot learns the task.</w:t>
      </w:r>
    </w:p>
    <w:p>
      <w:pPr>
        <w:pStyle w:val="FirstParagraph"/>
      </w:pPr>
      <w:r>
        <w:rPr>
          <w:b/>
          <w:bCs/>
        </w:rPr>
        <w:t xml:space="preserve">Business and ownership model.</w:t>
      </w:r>
      <w:r>
        <w:t xml:space="preserve"> </w:t>
      </w:r>
      <w:r>
        <w:t xml:space="preserve">Per-minute assistance fees and response-time subscriptions (paid by robot makers and fleets); training-data royalties; certification fees (paid by employers and governments); a platform take of at most 20%, with the remainder to operators; cooperative dividends.</w:t>
      </w:r>
    </w:p>
    <w:p>
      <w:pPr>
        <w:pStyle w:val="BodyText"/>
      </w:pPr>
      <w:r>
        <w:rPr>
          <w:b/>
          <w:bCs/>
        </w:rPr>
        <w:t xml:space="preserve">Future potential</w:t>
      </w:r>
    </w:p>
    <w:tbl>
      <w:tblPr>
        <w:tblStyle w:val="Table"/>
        <w:tblW w:w="9360" w:type="dxa"/>
        <w:jc w:val="left"/>
        <w:tblLayout w:type="fixed"/>
        <w:tblLook w:firstRow="1" w:lastRow="0" w:firstColumn="0" w:lastColumn="0" w:noHBand="0" w:noVBand="0" w:val="0020"/>
      </w:tblPr>
      <w:tblGrid>
        <w:gridCol w:w="1011"/>
        <w:gridCol w:w="8349"/>
      </w:tblGrid>
      <w:tr>
        <w:trPr>
          <w:cantSplit/>
          <w:tblHeader w:val="true"/>
        </w:trPr>
        <w:tc>
          <w:tcPr>
            <w:tcW w:w="1011" w:type="dxa"/>
          </w:tcPr>
          <w:p>
            <w:pPr>
              <w:pStyle w:val="TableText"/>
              <w:jc w:val="left"/>
            </w:pPr>
            <w:r>
              <w:t xml:space="preserve">Horizon</w:t>
            </w:r>
          </w:p>
        </w:tc>
        <w:tc>
          <w:tcPr>
            <w:tcW w:w="8349" w:type="dxa"/>
          </w:tcPr>
          <w:p>
            <w:pPr>
              <w:pStyle w:val="TableText"/>
              <w:jc w:val="left"/>
            </w:pPr>
            <w:r>
              <w:t xml:space="preserve">What it becomes</w:t>
            </w:r>
          </w:p>
        </w:tc>
      </w:tr>
      <w:tr>
        <w:trPr>
          <w:cantSplit/>
        </w:trPr>
        <w:tc>
          <w:tcPr>
            <w:tcW w:w="1011" w:type="dxa"/>
          </w:tcPr>
          <w:p>
            <w:pPr>
              <w:pStyle w:val="TableText"/>
              <w:jc w:val="left"/>
            </w:pPr>
            <w:r>
              <w:t xml:space="preserve">2030</w:t>
            </w:r>
          </w:p>
        </w:tc>
        <w:tc>
          <w:tcPr>
            <w:tcW w:w="8349" w:type="dxa"/>
          </w:tcPr>
          <w:p>
            <w:pPr>
              <w:pStyle w:val="TableText"/>
              <w:jc w:val="left"/>
            </w:pPr>
            <w:r>
              <w:t xml:space="preserve">10,000 certified operators in three African cities, serving warehouse, AV and home-robot clients</w:t>
            </w:r>
          </w:p>
        </w:tc>
      </w:tr>
      <w:tr>
        <w:trPr>
          <w:cantSplit/>
        </w:trPr>
        <w:tc>
          <w:tcPr>
            <w:tcW w:w="1011" w:type="dxa"/>
          </w:tcPr>
          <w:p>
            <w:pPr>
              <w:pStyle w:val="TableText"/>
              <w:jc w:val="left"/>
            </w:pPr>
            <w:r>
              <w:t xml:space="preserve">2035</w:t>
            </w:r>
          </w:p>
        </w:tc>
        <w:tc>
          <w:tcPr>
            <w:tcW w:w="8349" w:type="dxa"/>
          </w:tcPr>
          <w:p>
            <w:pPr>
              <w:pStyle w:val="TableText"/>
              <w:jc w:val="left"/>
            </w:pPr>
            <w:r>
              <w:t xml:space="preserve">The global standard for certified remote robot work, with portable credentials and labour standards</w:t>
            </w:r>
          </w:p>
        </w:tc>
      </w:tr>
      <w:tr>
        <w:trPr>
          <w:cantSplit/>
        </w:trPr>
        <w:tc>
          <w:tcPr>
            <w:tcW w:w="1011" w:type="dxa"/>
          </w:tcPr>
          <w:p>
            <w:pPr>
              <w:pStyle w:val="TableText"/>
              <w:jc w:val="left"/>
            </w:pPr>
            <w:r>
              <w:t xml:space="preserve">2040–2050</w:t>
            </w:r>
          </w:p>
        </w:tc>
        <w:tc>
          <w:tcPr>
            <w:tcW w:w="8349" w:type="dxa"/>
          </w:tcPr>
          <w:p>
            <w:pPr>
              <w:pStyle w:val="TableText"/>
              <w:jc w:val="left"/>
            </w:pPr>
            <w:r>
              <w:t xml:space="preserve">“</w:t>
            </w:r>
            <w:r>
              <w:t xml:space="preserve">Robot shepherd</w:t>
            </w:r>
            <w:r>
              <w:t xml:space="preserve">”</w:t>
            </w:r>
            <w:r>
              <w:t xml:space="preserve"> </w:t>
            </w:r>
            <w:r>
              <w:t xml:space="preserve">as a mainstream profession; a durable bridge between ageing and youthful societies</w:t>
            </w:r>
          </w:p>
        </w:tc>
      </w:tr>
    </w:tbl>
    <w:p/>
    <w:tbl>
      <w:tblPr>
        <w:tblStyle w:val="Table"/>
        <w:tblW w:w="9360" w:type="dxa"/>
        <w:jc w:val="left"/>
        <w:tblLayout w:type="fixed"/>
        <w:tblLook w:firstRow="1" w:lastRow="0" w:firstColumn="0" w:lastColumn="0" w:noHBand="0" w:noVBand="0" w:val="0020"/>
      </w:tblPr>
      <w:tblGrid>
        <w:gridCol w:w="2698"/>
        <w:gridCol w:w="6662"/>
      </w:tblGrid>
      <w:tr>
        <w:trPr>
          <w:cantSplit/>
          <w:tblHeader w:val="true"/>
        </w:trPr>
        <w:tc>
          <w:tcPr>
            <w:tcW w:w="2698" w:type="dxa"/>
          </w:tcPr>
          <w:p>
            <w:pPr>
              <w:pStyle w:val="TableText"/>
              <w:jc w:val="left"/>
            </w:pPr>
            <w:r>
              <w:t xml:space="preserve">Risk</w:t>
            </w:r>
          </w:p>
        </w:tc>
        <w:tc>
          <w:tcPr>
            <w:tcW w:w="6662" w:type="dxa"/>
          </w:tcPr>
          <w:p>
            <w:pPr>
              <w:pStyle w:val="TableText"/>
              <w:jc w:val="left"/>
            </w:pPr>
            <w:r>
              <w:t xml:space="preserve">Safeguard</w:t>
            </w:r>
          </w:p>
        </w:tc>
      </w:tr>
      <w:tr>
        <w:trPr>
          <w:cantSplit/>
        </w:trPr>
        <w:tc>
          <w:tcPr>
            <w:tcW w:w="2698" w:type="dxa"/>
          </w:tcPr>
          <w:p>
            <w:pPr>
              <w:pStyle w:val="TableText"/>
              <w:jc w:val="left"/>
            </w:pPr>
            <w:r>
              <w:t xml:space="preserve">Privacy inside homes</w:t>
            </w:r>
          </w:p>
        </w:tc>
        <w:tc>
          <w:tcPr>
            <w:tcW w:w="6662" w:type="dxa"/>
          </w:tcPr>
          <w:p>
            <w:pPr>
              <w:pStyle w:val="TableText"/>
              <w:jc w:val="left"/>
            </w:pPr>
            <w:r>
              <w:t xml:space="preserve">Consent windows, blurring, geofencing, audit logs, customer-visible operator identity</w:t>
            </w:r>
          </w:p>
        </w:tc>
      </w:tr>
      <w:tr>
        <w:trPr>
          <w:cantSplit/>
        </w:trPr>
        <w:tc>
          <w:tcPr>
            <w:tcW w:w="2698" w:type="dxa"/>
          </w:tcPr>
          <w:p>
            <w:pPr>
              <w:pStyle w:val="TableText"/>
              <w:jc w:val="left"/>
            </w:pPr>
            <w:r>
              <w:t xml:space="preserve">A race to the bottom on pay</w:t>
            </w:r>
          </w:p>
        </w:tc>
        <w:tc>
          <w:tcPr>
            <w:tcW w:w="6662" w:type="dxa"/>
          </w:tcPr>
          <w:p>
            <w:pPr>
              <w:pStyle w:val="TableText"/>
              <w:jc w:val="left"/>
            </w:pPr>
            <w:r>
              <w:t xml:space="preserve">Wage floors, Fairwork-style standards, cooperative ownership</w:t>
            </w:r>
          </w:p>
        </w:tc>
      </w:tr>
      <w:tr>
        <w:trPr>
          <w:cantSplit/>
        </w:trPr>
        <w:tc>
          <w:tcPr>
            <w:tcW w:w="2698" w:type="dxa"/>
          </w:tcPr>
          <w:p>
            <w:pPr>
              <w:pStyle w:val="TableText"/>
              <w:jc w:val="left"/>
            </w:pPr>
            <w:r>
              <w:t xml:space="preserve">Safety incidents during teleoperation</w:t>
            </w:r>
          </w:p>
        </w:tc>
        <w:tc>
          <w:tcPr>
            <w:tcW w:w="6662" w:type="dxa"/>
          </w:tcPr>
          <w:p>
            <w:pPr>
              <w:pStyle w:val="TableText"/>
              <w:jc w:val="left"/>
            </w:pPr>
            <w:r>
              <w:t xml:space="preserve">Task tiers; dual control for risky tasks; certification and insurance</w:t>
            </w:r>
          </w:p>
        </w:tc>
      </w:tr>
      <w:tr>
        <w:trPr>
          <w:cantSplit/>
        </w:trPr>
        <w:tc>
          <w:tcPr>
            <w:tcW w:w="2698" w:type="dxa"/>
          </w:tcPr>
          <w:p>
            <w:pPr>
              <w:pStyle w:val="TableText"/>
              <w:jc w:val="left"/>
            </w:pPr>
            <w:r>
              <w:t xml:space="preserve">Robot makers building in-house teams</w:t>
            </w:r>
          </w:p>
        </w:tc>
        <w:tc>
          <w:tcPr>
            <w:tcW w:w="6662" w:type="dxa"/>
          </w:tcPr>
          <w:p>
            <w:pPr>
              <w:pStyle w:val="TableText"/>
              <w:jc w:val="left"/>
            </w:pPr>
            <w:r>
              <w:t xml:space="preserve">Multi-vendor neutrality; cost and quality advantages; certification as an industry standard</w:t>
            </w:r>
          </w:p>
        </w:tc>
      </w:tr>
    </w:tbl>
    <w:p>
      <w:pPr>
        <w:pStyle w:val="BodyText"/>
        <w:spacing w:before="160"/>
      </w:pPr>
      <w:r>
        <w:rPr>
          <w:b/>
          <w:bCs/>
        </w:rPr>
        <w:t xml:space="preserve">First 100 days.</w:t>
      </w:r>
      <w:r>
        <w:t xml:space="preserve"> </w:t>
      </w:r>
      <w:r>
        <w:t xml:space="preserve">Two robotics partners (warehouse picking and AV remote assistance); 200 certified operators in Lagos and Nairobi; a supervised pilot measuring response time, success rate and operator earnings.</w:t>
      </w:r>
    </w:p>
    <w:p>
      <w:pPr>
        <w:pStyle w:val="BodyText"/>
      </w:pPr>
      <w:r>
        <w:rPr>
          <w:b/>
          <w:bCs/>
        </w:rPr>
        <w:t xml:space="preserve">Double Decagon score: 81/100 (future-fit).</w:t>
      </w:r>
      <w:r>
        <w:t xml:space="preserve"> </w:t>
      </w:r>
      <w:r>
        <w:t xml:space="preserve">Inner Decagon 41/50 (V1 5 · V2 4 · V3 4 · V4 4 · V5 5 · V6 4 · V7 3 · V8 4 · V9 4 · V10 4). Future-Fitness 40/50 (F1 4 · F2 5 · F3 3 · F4 4 · F5 4 · F6 3 · F7 5 · F8 4 · F9 4 · F10 4).</w:t>
      </w:r>
    </w:p>
    <w:bookmarkEnd w:id="49"/>
    <w:bookmarkStart w:id="53" w:name="Xe88ecb4e93fc1a42235f24000292375eb145867"/>
    <w:p>
      <w:pPr>
        <w:pStyle w:val="Heading2"/>
      </w:pPr>
      <w:r>
        <w:t xml:space="preserve">Venture 2: AGENTUNION, collective bargaining for personal AI agents</w:t>
      </w:r>
    </w:p>
    <w:p>
      <w:pPr>
        <w:pStyle w:val="BlockText"/>
      </w:pPr>
      <w:r>
        <w:rPr>
          <w:b/>
          <w:bCs/>
        </w:rPr>
        <w:t xml:space="preserve">Thesis.</w:t>
      </w:r>
      <w:r>
        <w:t xml:space="preserve"> </w:t>
      </w:r>
      <w:r>
        <w:t xml:space="preserve">When every seller prices with algorithms and every consumer shops through an AI agent, each agent faces corporate pricing systems alone. AgentUnion lets millions of personal agents pool their demand, share verified price intelligence and negotiate collectively. It is a buyers’ cooperative for the agentic age, and a structural counterweight to enshittification.</w:t>
      </w:r>
    </w:p>
    <w:tbl>
      <w:tblPr>
        <w:tblStyle w:val="Table"/>
        <w:tblW w:w="9360" w:type="dxa"/>
        <w:jc w:val="left"/>
        <w:tblLayout w:type="fixed"/>
        <w:tblLook w:firstRow="1" w:lastRow="0" w:firstColumn="0" w:lastColumn="0" w:noHBand="0" w:noVBand="0" w:val="0020"/>
      </w:tblPr>
      <w:tblGrid>
        <w:gridCol w:w="1658"/>
        <w:gridCol w:w="7702"/>
      </w:tblGrid>
      <w:tr>
        <w:trPr>
          <w:cantSplit/>
          <w:tblHeader w:val="true"/>
        </w:trPr>
        <w:tc>
          <w:tcPr>
            <w:tcW w:w="1658" w:type="dxa"/>
          </w:tcPr>
          <w:p>
            <w:pPr>
              <w:pStyle w:val="TableText"/>
              <w:jc w:val="left"/>
            </w:pPr>
            <w:r>
              <w:t xml:space="preserve">Gene</w:t>
            </w:r>
          </w:p>
        </w:tc>
        <w:tc>
          <w:tcPr>
            <w:tcW w:w="7702" w:type="dxa"/>
          </w:tcPr>
          <w:p>
            <w:pPr>
              <w:pStyle w:val="TableText"/>
              <w:jc w:val="left"/>
            </w:pPr>
            <w:r>
              <w:t xml:space="preserve">Value</w:t>
            </w:r>
          </w:p>
        </w:tc>
      </w:tr>
      <w:tr>
        <w:trPr>
          <w:cantSplit/>
        </w:trPr>
        <w:tc>
          <w:tcPr>
            <w:tcW w:w="1658" w:type="dxa"/>
          </w:tcPr>
          <w:p>
            <w:pPr>
              <w:pStyle w:val="TableText"/>
              <w:jc w:val="left"/>
            </w:pPr>
            <w:r>
              <w:t xml:space="preserve">Problem domain</w:t>
            </w:r>
          </w:p>
        </w:tc>
        <w:tc>
          <w:tcPr>
            <w:tcW w:w="7702" w:type="dxa"/>
          </w:tcPr>
          <w:p>
            <w:pPr>
              <w:pStyle w:val="TableText"/>
              <w:jc w:val="left"/>
            </w:pPr>
            <w:r>
              <w:t xml:space="preserve">D1 Intelligence and agency</w:t>
            </w:r>
          </w:p>
        </w:tc>
      </w:tr>
      <w:tr>
        <w:trPr>
          <w:cantSplit/>
        </w:trPr>
        <w:tc>
          <w:tcPr>
            <w:tcW w:w="1658" w:type="dxa"/>
          </w:tcPr>
          <w:p>
            <w:pPr>
              <w:pStyle w:val="TableText"/>
              <w:jc w:val="left"/>
            </w:pPr>
            <w:r>
              <w:t xml:space="preserve">Latent capacity</w:t>
            </w:r>
          </w:p>
        </w:tc>
        <w:tc>
          <w:tcPr>
            <w:tcW w:w="7702" w:type="dxa"/>
          </w:tcPr>
          <w:p>
            <w:pPr>
              <w:pStyle w:val="TableText"/>
              <w:jc w:val="left"/>
            </w:pPr>
            <w:r>
              <w:t xml:space="preserve">Idle collective bargaining power of fragmented demand; L8 idle price data</w:t>
            </w:r>
          </w:p>
        </w:tc>
      </w:tr>
      <w:tr>
        <w:trPr>
          <w:cantSplit/>
        </w:trPr>
        <w:tc>
          <w:tcPr>
            <w:tcW w:w="1658" w:type="dxa"/>
          </w:tcPr>
          <w:p>
            <w:pPr>
              <w:pStyle w:val="TableText"/>
              <w:jc w:val="left"/>
            </w:pPr>
            <w:r>
              <w:t xml:space="preserve">Archetype</w:t>
            </w:r>
          </w:p>
        </w:tc>
        <w:tc>
          <w:tcPr>
            <w:tcW w:w="7702" w:type="dxa"/>
          </w:tcPr>
          <w:p>
            <w:pPr>
              <w:pStyle w:val="TableText"/>
              <w:jc w:val="left"/>
            </w:pPr>
            <w:r>
              <w:t xml:space="preserve">A9 agent-native exchange + A10 consumer cooperative</w:t>
            </w:r>
          </w:p>
        </w:tc>
      </w:tr>
      <w:tr>
        <w:trPr>
          <w:cantSplit/>
        </w:trPr>
        <w:tc>
          <w:tcPr>
            <w:tcW w:w="1658" w:type="dxa"/>
          </w:tcPr>
          <w:p>
            <w:pPr>
              <w:pStyle w:val="TableText"/>
              <w:jc w:val="left"/>
            </w:pPr>
            <w:r>
              <w:t xml:space="preserve">Technology waves</w:t>
            </w:r>
          </w:p>
        </w:tc>
        <w:tc>
          <w:tcPr>
            <w:tcW w:w="7702" w:type="dxa"/>
          </w:tcPr>
          <w:p>
            <w:pPr>
              <w:pStyle w:val="TableText"/>
              <w:jc w:val="left"/>
            </w:pPr>
            <w:r>
              <w:t xml:space="preserve">T-a agentic AI; T-d programmable money; T-c verifiable identity</w:t>
            </w:r>
          </w:p>
        </w:tc>
      </w:tr>
      <w:tr>
        <w:trPr>
          <w:cantSplit/>
        </w:trPr>
        <w:tc>
          <w:tcPr>
            <w:tcW w:w="1658" w:type="dxa"/>
          </w:tcPr>
          <w:p>
            <w:pPr>
              <w:pStyle w:val="TableText"/>
              <w:jc w:val="left"/>
            </w:pPr>
            <w:r>
              <w:t xml:space="preserve">Governance</w:t>
            </w:r>
          </w:p>
        </w:tc>
        <w:tc>
          <w:tcPr>
            <w:tcW w:w="7702" w:type="dxa"/>
          </w:tcPr>
          <w:p>
            <w:pPr>
              <w:pStyle w:val="TableText"/>
              <w:jc w:val="left"/>
            </w:pPr>
            <w:r>
              <w:t xml:space="preserve">Consumer cooperative (one member, one vote)</w:t>
            </w:r>
          </w:p>
        </w:tc>
      </w:tr>
      <w:tr>
        <w:trPr>
          <w:cantSplit/>
        </w:trPr>
        <w:tc>
          <w:tcPr>
            <w:tcW w:w="1658" w:type="dxa"/>
          </w:tcPr>
          <w:p>
            <w:pPr>
              <w:pStyle w:val="TableText"/>
              <w:jc w:val="left"/>
            </w:pPr>
            <w:r>
              <w:t xml:space="preserve">Foothold</w:t>
            </w:r>
          </w:p>
        </w:tc>
        <w:tc>
          <w:tcPr>
            <w:tcW w:w="7702" w:type="dxa"/>
          </w:tcPr>
          <w:p>
            <w:pPr>
              <w:pStyle w:val="TableText"/>
              <w:jc w:val="left"/>
            </w:pPr>
            <w:r>
              <w:t xml:space="preserve">New-market (no collective representation exists for agents)</w:t>
            </w:r>
          </w:p>
        </w:tc>
      </w:tr>
    </w:tbl>
    <w:p>
      <w:pPr>
        <w:pStyle w:val="BodyText"/>
        <w:spacing w:before="160"/>
      </w:pPr>
      <w:r>
        <w:rPr>
          <w:b/>
          <w:bCs/>
        </w:rPr>
        <w:t xml:space="preserve">The new problem</w:t>
      </w:r>
    </w:p>
    <w:p>
      <w:pPr>
        <w:pStyle w:val="Compact"/>
        <w:numPr>
          <w:ilvl w:val="0"/>
          <w:numId w:val="1014"/>
        </w:numPr>
      </w:pPr>
      <w:r>
        <w:t xml:space="preserve">AI agents could orchestrate $3–5 trillion of global goods commerce by 2030 (McKinsey).</w:t>
      </w:r>
    </w:p>
    <w:p>
      <w:pPr>
        <w:pStyle w:val="Compact"/>
        <w:numPr>
          <w:ilvl w:val="0"/>
          <w:numId w:val="1014"/>
        </w:numPr>
      </w:pPr>
      <w:r>
        <w:t xml:space="preserve">Sellers increasingly set prices with algorithms. US competition authorities have challenged algorithmic price-setting, for example in the 2024 case against the rent-pricing software company RealPage, and regulators have studied</w:t>
      </w:r>
      <w:r>
        <w:t xml:space="preserve"> </w:t>
      </w:r>
      <w:r>
        <w:t xml:space="preserve">“</w:t>
      </w:r>
      <w:r>
        <w:t xml:space="preserve">surveillance pricing</w:t>
      </w:r>
      <w:r>
        <w:t xml:space="preserve">”</w:t>
      </w:r>
      <w:r>
        <w:t xml:space="preserve"> </w:t>
      </w:r>
      <w:r>
        <w:t xml:space="preserve">based on personal data.</w:t>
      </w:r>
    </w:p>
    <w:p>
      <w:pPr>
        <w:pStyle w:val="Compact"/>
        <w:numPr>
          <w:ilvl w:val="0"/>
          <w:numId w:val="1014"/>
        </w:numPr>
      </w:pPr>
      <w:r>
        <w:t xml:space="preserve">An individual agent negotiating for one person has little power against a seller’s algorithm trained on millions of transactions.</w:t>
      </w:r>
      <w:r>
        <w:t xml:space="preserve"> </w:t>
      </w:r>
      <w:r>
        <w:rPr>
          <w:b/>
          <w:bCs/>
        </w:rPr>
        <w:t xml:space="preserve">The power asymmetry of the platform era (Volume I, Part III) is about to be automated.</w:t>
      </w:r>
    </w:p>
    <w:p>
      <w:pPr>
        <w:pStyle w:val="FirstParagraph"/>
      </w:pPr>
      <w:r>
        <w:rPr>
          <w:b/>
          <w:bCs/>
        </w:rPr>
        <w:t xml:space="preserve">Benchmarks: borrowed and inverted</w:t>
      </w:r>
    </w:p>
    <w:p>
      <w:pPr>
        <w:pStyle w:val="Compact"/>
        <w:numPr>
          <w:ilvl w:val="0"/>
          <w:numId w:val="1015"/>
        </w:numPr>
      </w:pPr>
      <w:r>
        <w:rPr>
          <w:b/>
          <w:bCs/>
        </w:rPr>
        <w:t xml:space="preserve">From Uber:</w:t>
      </w:r>
      <w:r>
        <w:t xml:space="preserve"> </w:t>
      </w:r>
      <w:r>
        <w:t xml:space="preserve">algorithmic, dynamic pricing, here turned around. AgentUnion is</w:t>
      </w:r>
      <w:r>
        <w:t xml:space="preserve"> </w:t>
      </w:r>
      <w:r>
        <w:rPr>
          <w:i/>
          <w:iCs/>
        </w:rPr>
        <w:t xml:space="preserve">demand-side</w:t>
      </w:r>
      <w:r>
        <w:t xml:space="preserve"> </w:t>
      </w:r>
      <w:r>
        <w:t xml:space="preserve">algorithmic power, not supply-side.</w:t>
      </w:r>
    </w:p>
    <w:p>
      <w:pPr>
        <w:pStyle w:val="Compact"/>
        <w:numPr>
          <w:ilvl w:val="0"/>
          <w:numId w:val="1015"/>
        </w:numPr>
      </w:pPr>
      <w:r>
        <w:rPr>
          <w:b/>
          <w:bCs/>
        </w:rPr>
        <w:t xml:space="preserve">From Airbnb:</w:t>
      </w:r>
      <w:r>
        <w:t xml:space="preserve"> </w:t>
      </w:r>
      <w:r>
        <w:t xml:space="preserve">reviews as collective information, extended to collective negotiation.</w:t>
      </w:r>
    </w:p>
    <w:p>
      <w:pPr>
        <w:pStyle w:val="Compact"/>
        <w:numPr>
          <w:ilvl w:val="0"/>
          <w:numId w:val="1015"/>
        </w:numPr>
      </w:pPr>
      <w:r>
        <w:rPr>
          <w:b/>
          <w:bCs/>
        </w:rPr>
        <w:t xml:space="preserve">From group buying</w:t>
      </w:r>
      <w:r>
        <w:t xml:space="preserve"> </w:t>
      </w:r>
      <w:r>
        <w:t xml:space="preserve">(e.g., team-buying models such as Pinduoduo’s) and</w:t>
      </w:r>
      <w:r>
        <w:t xml:space="preserve"> </w:t>
      </w:r>
      <w:r>
        <w:rPr>
          <w:b/>
          <w:bCs/>
        </w:rPr>
        <w:t xml:space="preserve">from cooperatives</w:t>
      </w:r>
      <w:r>
        <w:t xml:space="preserve"> </w:t>
      </w:r>
      <w:r>
        <w:t xml:space="preserve">(credit unions, consumer co-ops).</w:t>
      </w:r>
    </w:p>
    <w:p>
      <w:pPr>
        <w:pStyle w:val="Compact"/>
        <w:numPr>
          <w:ilvl w:val="0"/>
          <w:numId w:val="1015"/>
        </w:numPr>
      </w:pPr>
      <w:r>
        <w:rPr>
          <w:b/>
          <w:bCs/>
        </w:rPr>
        <w:t xml:space="preserve">Links</w:t>
      </w:r>
      <w:r>
        <w:t xml:space="preserve"> </w:t>
      </w:r>
      <w:r>
        <w:t xml:space="preserve">to Covenant (Volume I): AgentUnion agents carry Covenant mandates and reputations.</w:t>
      </w:r>
    </w:p>
    <w:p>
      <w:pPr>
        <w:pStyle w:val="Compact"/>
        <w:numPr>
          <w:ilvl w:val="0"/>
          <w:numId w:val="1015"/>
        </w:numPr>
      </w:pPr>
      <w:r>
        <w:rPr>
          <w:b/>
          <w:bCs/>
        </w:rPr>
        <w:t xml:space="preserve">Inverts:</w:t>
      </w:r>
      <w:r>
        <w:t xml:space="preserve"> </w:t>
      </w:r>
      <w:r>
        <w:t xml:space="preserve">the platform era concentrated bargaining power in platforms; AgentUnion returns it to users.</w:t>
      </w:r>
    </w:p>
    <w:p>
      <w:pPr>
        <w:pStyle w:val="FirstParagraph"/>
      </w:pPr>
      <w:r>
        <w:rPr>
          <w:b/>
          <w:bCs/>
        </w:rPr>
        <w:t xml:space="preserve">How it works</w:t>
      </w:r>
    </w:p>
    <w:p>
      <w:pPr>
        <w:pStyle w:val="Compact"/>
        <w:numPr>
          <w:ilvl w:val="0"/>
          <w:numId w:val="1016"/>
        </w:numPr>
      </w:pPr>
      <w:r>
        <w:rPr>
          <w:b/>
          <w:bCs/>
        </w:rPr>
        <w:t xml:space="preserve">Join.</w:t>
      </w:r>
      <w:r>
        <w:t xml:space="preserve"> </w:t>
      </w:r>
      <w:r>
        <w:t xml:space="preserve">Members connect their personal agents, from any provider, via an open protocol.</w:t>
      </w:r>
    </w:p>
    <w:p>
      <w:pPr>
        <w:pStyle w:val="Compact"/>
        <w:numPr>
          <w:ilvl w:val="0"/>
          <w:numId w:val="1016"/>
        </w:numPr>
      </w:pPr>
      <w:r>
        <w:rPr>
          <w:b/>
          <w:bCs/>
        </w:rPr>
        <w:t xml:space="preserve">Pool intent.</w:t>
      </w:r>
      <w:r>
        <w:t xml:space="preserve"> </w:t>
      </w:r>
      <w:r>
        <w:t xml:space="preserve">Agents share anonymized, aggregated intent (</w:t>
      </w:r>
      <w:r>
        <w:t xml:space="preserve">“</w:t>
      </w:r>
      <w:r>
        <w:t xml:space="preserve">12,000 members renewing home insurance in March</w:t>
      </w:r>
      <w:r>
        <w:t xml:space="preserve">”</w:t>
      </w:r>
      <w:r>
        <w:t xml:space="preserve">;</w:t>
      </w:r>
      <w:r>
        <w:t xml:space="preserve"> </w:t>
      </w:r>
      <w:r>
        <w:t xml:space="preserve">“</w:t>
      </w:r>
      <w:r>
        <w:t xml:space="preserve">40,000 members need a mobile-data plan</w:t>
      </w:r>
      <w:r>
        <w:t xml:space="preserve">”</w:t>
      </w:r>
      <w:r>
        <w:t xml:space="preserve">), protected by differential privacy.</w:t>
      </w:r>
    </w:p>
    <w:p>
      <w:pPr>
        <w:pStyle w:val="Compact"/>
        <w:numPr>
          <w:ilvl w:val="0"/>
          <w:numId w:val="1016"/>
        </w:numPr>
      </w:pPr>
      <w:r>
        <w:rPr>
          <w:b/>
          <w:bCs/>
        </w:rPr>
        <w:t xml:space="preserve">Negotiate.</w:t>
      </w:r>
      <w:r>
        <w:t xml:space="preserve"> </w:t>
      </w:r>
      <w:r>
        <w:t xml:space="preserve">AgentUnion’s negotiating agents secure bulk prices, standard fair contracts and fair data terms (for example, no surveillance pricing).</w:t>
      </w:r>
    </w:p>
    <w:p>
      <w:pPr>
        <w:pStyle w:val="Compact"/>
        <w:numPr>
          <w:ilvl w:val="0"/>
          <w:numId w:val="1016"/>
        </w:numPr>
      </w:pPr>
      <w:r>
        <w:rPr>
          <w:b/>
          <w:bCs/>
        </w:rPr>
        <w:t xml:space="preserve">Price-transparency commons.</w:t>
      </w:r>
      <w:r>
        <w:t xml:space="preserve"> </w:t>
      </w:r>
      <w:r>
        <w:t xml:space="preserve">Members’ agents contribute verified price data. Signs of algorithmic collusion or discriminatory pricing are flagged and reported to regulators.</w:t>
      </w:r>
    </w:p>
    <w:p>
      <w:pPr>
        <w:pStyle w:val="Compact"/>
        <w:numPr>
          <w:ilvl w:val="0"/>
          <w:numId w:val="1016"/>
        </w:numPr>
      </w:pPr>
      <w:r>
        <w:rPr>
          <w:b/>
          <w:bCs/>
        </w:rPr>
        <w:t xml:space="preserve">Fair-terms mark.</w:t>
      </w:r>
      <w:r>
        <w:t xml:space="preserve"> </w:t>
      </w:r>
      <w:r>
        <w:t xml:space="preserve">Sellers that meet AgentUnion’s fair-terms standard are preferred by members’ agents.</w:t>
      </w:r>
    </w:p>
    <w:p>
      <w:pPr>
        <w:pStyle w:val="Compact"/>
        <w:numPr>
          <w:ilvl w:val="0"/>
          <w:numId w:val="1016"/>
        </w:numPr>
      </w:pPr>
      <w:r>
        <w:rPr>
          <w:b/>
          <w:bCs/>
        </w:rPr>
        <w:t xml:space="preserve">Dividends.</w:t>
      </w:r>
      <w:r>
        <w:t xml:space="preserve"> </w:t>
      </w:r>
      <w:r>
        <w:t xml:space="preserve">Surplus is returned to members as patronage dividends, as in traditional co-ops.</w:t>
      </w:r>
    </w:p>
    <w:p>
      <w:pPr>
        <w:pStyle w:val="Compact"/>
        <w:numPr>
          <w:ilvl w:val="0"/>
          <w:numId w:val="1016"/>
        </w:numPr>
      </w:pPr>
      <w:r>
        <w:rPr>
          <w:b/>
          <w:bCs/>
        </w:rPr>
        <w:t xml:space="preserve">No seller money.</w:t>
      </w:r>
      <w:r>
        <w:t xml:space="preserve"> </w:t>
      </w:r>
      <w:r>
        <w:t xml:space="preserve">AgentUnion takes no fees from sellers, so it cannot be captured by them.</w:t>
      </w:r>
    </w:p>
    <w:p>
      <w:pPr>
        <w:pStyle w:val="CaptionedFigure"/>
      </w:pPr>
      <w:r>
        <w:drawing>
          <wp:inline>
            <wp:extent cx="3291840" cy="4004426"/>
            <wp:effectExtent b="0" l="0" r="0" t="0"/>
            <wp:docPr descr="Figure 5. AgentUnion: the bargaining and intelligence loops, and seller resistance." title="" id="51" name="Picture"/>
            <a:graphic>
              <a:graphicData uri="http://schemas.openxmlformats.org/drawingml/2006/picture">
                <pic:pic>
                  <pic:nvPicPr>
                    <pic:cNvPr descr="/tmp/claude-0/-home-user-Adekunle-Adeniji/db1110ee-95e2-549a-bb3a-dcca8fdc5e35/scratchpad/docx_build/img2_tb/diagram_2.png" id="52" name="Picture"/>
                    <pic:cNvPicPr>
                      <a:picLocks noChangeArrowheads="1" noChangeAspect="1"/>
                    </pic:cNvPicPr>
                  </pic:nvPicPr>
                  <pic:blipFill>
                    <a:blip r:embed="rId50"/>
                    <a:stretch>
                      <a:fillRect/>
                    </a:stretch>
                  </pic:blipFill>
                  <pic:spPr bwMode="auto">
                    <a:xfrm>
                      <a:off x="0" y="0"/>
                      <a:ext cx="3291840" cy="4004426"/>
                    </a:xfrm>
                    <a:prstGeom prst="rect">
                      <a:avLst/>
                    </a:prstGeom>
                    <a:noFill/>
                    <a:ln w="9525">
                      <a:noFill/>
                      <a:headEnd/>
                      <a:tailEnd/>
                    </a:ln>
                  </pic:spPr>
                </pic:pic>
              </a:graphicData>
            </a:graphic>
          </wp:inline>
        </w:drawing>
      </w:r>
    </w:p>
    <w:p>
      <w:pPr>
        <w:pStyle w:val="ImageCaption"/>
      </w:pPr>
      <w:r>
        <w:t xml:space="preserve">Figure 5. AgentUnion: the bargaining and intelligence loops, and seller resistance.</w:t>
      </w:r>
    </w:p>
    <w:p>
      <w:pPr>
        <w:pStyle w:val="BodyText"/>
      </w:pPr>
      <w:r>
        <w:rPr>
          <w:b/>
          <w:bCs/>
        </w:rPr>
        <w:t xml:space="preserve">System dynamics</w:t>
      </w:r>
    </w:p>
    <w:p>
      <w:pPr>
        <w:pStyle w:val="Compact"/>
        <w:numPr>
          <w:ilvl w:val="0"/>
          <w:numId w:val="1017"/>
        </w:numPr>
      </w:pPr>
      <w:r>
        <w:rPr>
          <w:b/>
          <w:bCs/>
        </w:rPr>
        <w:t xml:space="preserve">R1, the bargaining loop:</w:t>
      </w:r>
      <w:r>
        <w:t xml:space="preserve"> </w:t>
      </w:r>
      <w:r>
        <w:t xml:space="preserve">more members → more pooled demand → more bargaining power → better deals → more members.</w:t>
      </w:r>
    </w:p>
    <w:p>
      <w:pPr>
        <w:pStyle w:val="Compact"/>
        <w:numPr>
          <w:ilvl w:val="0"/>
          <w:numId w:val="1017"/>
        </w:numPr>
      </w:pPr>
      <w:r>
        <w:rPr>
          <w:b/>
          <w:bCs/>
        </w:rPr>
        <w:t xml:space="preserve">R2, the intelligence loop:</w:t>
      </w:r>
      <w:r>
        <w:t xml:space="preserve"> </w:t>
      </w:r>
      <w:r>
        <w:t xml:space="preserve">more members → more price data → better negotiation.</w:t>
      </w:r>
    </w:p>
    <w:p>
      <w:pPr>
        <w:pStyle w:val="Compact"/>
        <w:numPr>
          <w:ilvl w:val="0"/>
          <w:numId w:val="1017"/>
        </w:numPr>
      </w:pPr>
      <w:r>
        <w:rPr>
          <w:b/>
          <w:bCs/>
        </w:rPr>
        <w:t xml:space="preserve">B1, seller resistance:</w:t>
      </w:r>
      <w:r>
        <w:t xml:space="preserve"> </w:t>
      </w:r>
      <w:r>
        <w:t xml:space="preserve">bargaining power provokes boycotts or exclusion. Start with fragmented markets (insurance brokers, telecom resellers, energy retailers) where sellers compete for volume; use regulatory support where markets are concentrated.</w:t>
      </w:r>
    </w:p>
    <w:p>
      <w:pPr>
        <w:pStyle w:val="Compact"/>
        <w:numPr>
          <w:ilvl w:val="0"/>
          <w:numId w:val="1017"/>
        </w:numPr>
      </w:pPr>
      <w:r>
        <w:rPr>
          <w:b/>
          <w:bCs/>
        </w:rPr>
        <w:t xml:space="preserve">B2, privacy fear and free-riding:</w:t>
      </w:r>
      <w:r>
        <w:t xml:space="preserve"> </w:t>
      </w:r>
      <w:r>
        <w:t xml:space="preserve">mitigated by aggregate-only data sharing and member-only deals.</w:t>
      </w:r>
    </w:p>
    <w:p>
      <w:pPr>
        <w:pStyle w:val="Compact"/>
        <w:numPr>
          <w:ilvl w:val="0"/>
          <w:numId w:val="1017"/>
        </w:numPr>
      </w:pPr>
      <w:r>
        <w:rPr>
          <w:b/>
          <w:bCs/>
        </w:rPr>
        <w:t xml:space="preserve">Leverage point:</w:t>
      </w:r>
      <w:r>
        <w:t xml:space="preserve"> </w:t>
      </w:r>
      <w:r>
        <w:t xml:space="preserve">rules (recognizing collective bargaining by consumers’ agents) and information flows (price transparency).</w:t>
      </w:r>
    </w:p>
    <w:p>
      <w:pPr>
        <w:pStyle w:val="FirstParagraph"/>
      </w:pPr>
      <w:r>
        <w:rPr>
          <w:b/>
          <w:bCs/>
        </w:rPr>
        <w:t xml:space="preserve">Design thinking</w:t>
      </w:r>
    </w:p>
    <w:p>
      <w:pPr>
        <w:pStyle w:val="Compact"/>
        <w:numPr>
          <w:ilvl w:val="0"/>
          <w:numId w:val="1018"/>
        </w:numPr>
      </w:pPr>
      <w:r>
        <w:rPr>
          <w:i/>
          <w:iCs/>
        </w:rPr>
        <w:t xml:space="preserve">Personas:</w:t>
      </w:r>
      <w:r>
        <w:t xml:space="preserve"> </w:t>
      </w:r>
      <w:r>
        <w:rPr>
          <w:b/>
          <w:bCs/>
        </w:rPr>
        <w:t xml:space="preserve">Chinedu</w:t>
      </w:r>
      <w:r>
        <w:t xml:space="preserve">, 35, a small-business owner in Abuja paying too much for data, insurance and fuel cards.</w:t>
      </w:r>
      <w:r>
        <w:t xml:space="preserve"> </w:t>
      </w:r>
      <w:r>
        <w:rPr>
          <w:b/>
          <w:bCs/>
        </w:rPr>
        <w:t xml:space="preserve">Linda</w:t>
      </w:r>
      <w:r>
        <w:t xml:space="preserve">, 68, a pensioner overwhelmed by renewal letters.</w:t>
      </w:r>
      <w:r>
        <w:t xml:space="preserve"> </w:t>
      </w:r>
      <w:r>
        <w:rPr>
          <w:b/>
          <w:bCs/>
        </w:rPr>
        <w:t xml:space="preserve">A mid-sized insurer</w:t>
      </w:r>
      <w:r>
        <w:t xml:space="preserve"> </w:t>
      </w:r>
      <w:r>
        <w:t xml:space="preserve">that would welcome 10,000 new customers at once.</w:t>
      </w:r>
    </w:p>
    <w:p>
      <w:pPr>
        <w:pStyle w:val="Compact"/>
        <w:numPr>
          <w:ilvl w:val="0"/>
          <w:numId w:val="1018"/>
        </w:numPr>
      </w:pPr>
      <w:r>
        <w:rPr>
          <w:i/>
          <w:iCs/>
        </w:rPr>
        <w:t xml:space="preserve">How might</w:t>
      </w:r>
      <w:r>
        <w:t xml:space="preserve"> </w:t>
      </w:r>
      <w:r>
        <w:t xml:space="preserve">a million small buyers bargain like one big one?</w:t>
      </w:r>
    </w:p>
    <w:p>
      <w:pPr>
        <w:pStyle w:val="Compact"/>
        <w:numPr>
          <w:ilvl w:val="0"/>
          <w:numId w:val="1018"/>
        </w:numPr>
      </w:pPr>
      <w:r>
        <w:rPr>
          <w:i/>
          <w:iCs/>
        </w:rPr>
        <w:t xml:space="preserve">Moment of truth:</w:t>
      </w:r>
      <w:r>
        <w:t xml:space="preserve"> </w:t>
      </w:r>
      <w:r>
        <w:t xml:space="preserve">Linda’s home insurance renews 25% cheaper on fairer terms, negotiated overnight, with a plain-language summary from her agent.</w:t>
      </w:r>
    </w:p>
    <w:p>
      <w:pPr>
        <w:pStyle w:val="FirstParagraph"/>
      </w:pPr>
      <w:r>
        <w:rPr>
          <w:b/>
          <w:bCs/>
        </w:rPr>
        <w:t xml:space="preserve">Business and ownership model.</w:t>
      </w:r>
      <w:r>
        <w:t xml:space="preserve"> </w:t>
      </w:r>
      <w:r>
        <w:t xml:space="preserve">Members pay a small annual fee or a share of first-year savings (e.g., 10–20%). There are no seller fees. Surplus returns as patronage dividends. Optional services include price-intelligence reports for regulators and consumer bodies.</w:t>
      </w:r>
    </w:p>
    <w:p>
      <w:pPr>
        <w:pStyle w:val="BodyText"/>
      </w:pPr>
      <w:r>
        <w:rPr>
          <w:b/>
          <w:bCs/>
        </w:rPr>
        <w:t xml:space="preserve">Future potential</w:t>
      </w:r>
    </w:p>
    <w:tbl>
      <w:tblPr>
        <w:tblStyle w:val="Table"/>
        <w:tblW w:w="9360" w:type="dxa"/>
        <w:jc w:val="left"/>
        <w:tblLayout w:type="fixed"/>
        <w:tblLook w:firstRow="1" w:lastRow="0" w:firstColumn="0" w:lastColumn="0" w:noHBand="0" w:noVBand="0" w:val="0020"/>
      </w:tblPr>
      <w:tblGrid>
        <w:gridCol w:w="1011"/>
        <w:gridCol w:w="8349"/>
      </w:tblGrid>
      <w:tr>
        <w:trPr>
          <w:cantSplit/>
          <w:tblHeader w:val="true"/>
        </w:trPr>
        <w:tc>
          <w:tcPr>
            <w:tcW w:w="1011" w:type="dxa"/>
          </w:tcPr>
          <w:p>
            <w:pPr>
              <w:pStyle w:val="TableText"/>
              <w:jc w:val="left"/>
            </w:pPr>
            <w:r>
              <w:t xml:space="preserve">Horizon</w:t>
            </w:r>
          </w:p>
        </w:tc>
        <w:tc>
          <w:tcPr>
            <w:tcW w:w="8349" w:type="dxa"/>
          </w:tcPr>
          <w:p>
            <w:pPr>
              <w:pStyle w:val="TableText"/>
              <w:jc w:val="left"/>
            </w:pPr>
            <w:r>
              <w:t xml:space="preserve">What it becomes</w:t>
            </w:r>
          </w:p>
        </w:tc>
      </w:tr>
      <w:tr>
        <w:trPr>
          <w:cantSplit/>
        </w:trPr>
        <w:tc>
          <w:tcPr>
            <w:tcW w:w="1011" w:type="dxa"/>
          </w:tcPr>
          <w:p>
            <w:pPr>
              <w:pStyle w:val="TableText"/>
              <w:jc w:val="left"/>
            </w:pPr>
            <w:r>
              <w:t xml:space="preserve">2030</w:t>
            </w:r>
          </w:p>
        </w:tc>
        <w:tc>
          <w:tcPr>
            <w:tcW w:w="8349" w:type="dxa"/>
          </w:tcPr>
          <w:p>
            <w:pPr>
              <w:pStyle w:val="TableText"/>
              <w:jc w:val="left"/>
            </w:pPr>
            <w:r>
              <w:t xml:space="preserve">Collective agent bargaining in insurance, telecom and energy in several countries; millions of members</w:t>
            </w:r>
          </w:p>
        </w:tc>
      </w:tr>
      <w:tr>
        <w:trPr>
          <w:cantSplit/>
        </w:trPr>
        <w:tc>
          <w:tcPr>
            <w:tcW w:w="1011" w:type="dxa"/>
          </w:tcPr>
          <w:p>
            <w:pPr>
              <w:pStyle w:val="TableText"/>
              <w:jc w:val="left"/>
            </w:pPr>
            <w:r>
              <w:t xml:space="preserve">2035</w:t>
            </w:r>
          </w:p>
        </w:tc>
        <w:tc>
          <w:tcPr>
            <w:tcW w:w="8349" w:type="dxa"/>
          </w:tcPr>
          <w:p>
            <w:pPr>
              <w:pStyle w:val="TableText"/>
              <w:jc w:val="left"/>
            </w:pPr>
            <w:r>
              <w:t xml:space="preserve">A recognized counterweight in agentic markets; fair-terms standards adopted by many sellers</w:t>
            </w:r>
          </w:p>
        </w:tc>
      </w:tr>
      <w:tr>
        <w:trPr>
          <w:cantSplit/>
        </w:trPr>
        <w:tc>
          <w:tcPr>
            <w:tcW w:w="1011" w:type="dxa"/>
          </w:tcPr>
          <w:p>
            <w:pPr>
              <w:pStyle w:val="TableText"/>
              <w:jc w:val="left"/>
            </w:pPr>
            <w:r>
              <w:t xml:space="preserve">2040–2050</w:t>
            </w:r>
          </w:p>
        </w:tc>
        <w:tc>
          <w:tcPr>
            <w:tcW w:w="8349" w:type="dxa"/>
          </w:tcPr>
          <w:p>
            <w:pPr>
              <w:pStyle w:val="TableText"/>
              <w:jc w:val="left"/>
            </w:pPr>
            <w:r>
              <w:t xml:space="preserve">“</w:t>
            </w:r>
            <w:r>
              <w:t xml:space="preserve">Consumer unions</w:t>
            </w:r>
            <w:r>
              <w:t xml:space="preserve">”</w:t>
            </w:r>
            <w:r>
              <w:t xml:space="preserve"> </w:t>
            </w:r>
            <w:r>
              <w:t xml:space="preserve">institutionalized alongside trade unions, with rights and duties in law</w:t>
            </w:r>
          </w:p>
        </w:tc>
      </w:tr>
    </w:tbl>
    <w:p/>
    <w:tbl>
      <w:tblPr>
        <w:tblStyle w:val="Table"/>
        <w:tblW w:w="9360" w:type="dxa"/>
        <w:jc w:val="left"/>
        <w:tblLayout w:type="fixed"/>
        <w:tblLook w:firstRow="1" w:lastRow="0" w:firstColumn="0" w:lastColumn="0" w:noHBand="0" w:noVBand="0" w:val="0020"/>
      </w:tblPr>
      <w:tblGrid>
        <w:gridCol w:w="2445"/>
        <w:gridCol w:w="6915"/>
      </w:tblGrid>
      <w:tr>
        <w:trPr>
          <w:cantSplit/>
          <w:tblHeader w:val="true"/>
        </w:trPr>
        <w:tc>
          <w:tcPr>
            <w:tcW w:w="2445" w:type="dxa"/>
          </w:tcPr>
          <w:p>
            <w:pPr>
              <w:pStyle w:val="TableText"/>
              <w:jc w:val="left"/>
            </w:pPr>
            <w:r>
              <w:t xml:space="preserve">Risk</w:t>
            </w:r>
          </w:p>
        </w:tc>
        <w:tc>
          <w:tcPr>
            <w:tcW w:w="6915" w:type="dxa"/>
          </w:tcPr>
          <w:p>
            <w:pPr>
              <w:pStyle w:val="TableText"/>
              <w:jc w:val="left"/>
            </w:pPr>
            <w:r>
              <w:t xml:space="preserve">Safeguard</w:t>
            </w:r>
          </w:p>
        </w:tc>
      </w:tr>
      <w:tr>
        <w:trPr>
          <w:cantSplit/>
        </w:trPr>
        <w:tc>
          <w:tcPr>
            <w:tcW w:w="2445" w:type="dxa"/>
          </w:tcPr>
          <w:p>
            <w:pPr>
              <w:pStyle w:val="TableText"/>
              <w:jc w:val="left"/>
            </w:pPr>
            <w:r>
              <w:t xml:space="preserve">Competition-law concerns (buyer cartels)</w:t>
            </w:r>
          </w:p>
        </w:tc>
        <w:tc>
          <w:tcPr>
            <w:tcW w:w="6915" w:type="dxa"/>
          </w:tcPr>
          <w:p>
            <w:pPr>
              <w:pStyle w:val="TableText"/>
              <w:jc w:val="left"/>
            </w:pPr>
            <w:r>
              <w:t xml:space="preserve">Design within competition law (consumer buying groups are generally lawful); legal review; transparency to regulators</w:t>
            </w:r>
          </w:p>
        </w:tc>
      </w:tr>
      <w:tr>
        <w:trPr>
          <w:cantSplit/>
        </w:trPr>
        <w:tc>
          <w:tcPr>
            <w:tcW w:w="2445" w:type="dxa"/>
          </w:tcPr>
          <w:p>
            <w:pPr>
              <w:pStyle w:val="TableText"/>
              <w:jc w:val="left"/>
            </w:pPr>
            <w:r>
              <w:t xml:space="preserve">Privacy</w:t>
            </w:r>
          </w:p>
        </w:tc>
        <w:tc>
          <w:tcPr>
            <w:tcW w:w="6915" w:type="dxa"/>
          </w:tcPr>
          <w:p>
            <w:pPr>
              <w:pStyle w:val="TableText"/>
              <w:jc w:val="left"/>
            </w:pPr>
            <w:r>
              <w:t xml:space="preserve">Aggregate, differentially private intent; no individual data shared with sellers</w:t>
            </w:r>
          </w:p>
        </w:tc>
      </w:tr>
      <w:tr>
        <w:trPr>
          <w:cantSplit/>
        </w:trPr>
        <w:tc>
          <w:tcPr>
            <w:tcW w:w="2445" w:type="dxa"/>
          </w:tcPr>
          <w:p>
            <w:pPr>
              <w:pStyle w:val="TableText"/>
              <w:jc w:val="left"/>
            </w:pPr>
            <w:r>
              <w:t xml:space="preserve">Seller boycotts</w:t>
            </w:r>
          </w:p>
        </w:tc>
        <w:tc>
          <w:tcPr>
            <w:tcW w:w="6915" w:type="dxa"/>
          </w:tcPr>
          <w:p>
            <w:pPr>
              <w:pStyle w:val="TableText"/>
              <w:jc w:val="left"/>
            </w:pPr>
            <w:r>
              <w:t xml:space="preserve">Start with fragmented sellers; regulatory engagement; member scale</w:t>
            </w:r>
          </w:p>
        </w:tc>
      </w:tr>
      <w:tr>
        <w:trPr>
          <w:cantSplit/>
        </w:trPr>
        <w:tc>
          <w:tcPr>
            <w:tcW w:w="2445" w:type="dxa"/>
          </w:tcPr>
          <w:p>
            <w:pPr>
              <w:pStyle w:val="TableText"/>
              <w:jc w:val="left"/>
            </w:pPr>
            <w:r>
              <w:t xml:space="preserve">Capture by a large AI provider</w:t>
            </w:r>
          </w:p>
        </w:tc>
        <w:tc>
          <w:tcPr>
            <w:tcW w:w="6915" w:type="dxa"/>
          </w:tcPr>
          <w:p>
            <w:pPr>
              <w:pStyle w:val="TableText"/>
              <w:jc w:val="left"/>
            </w:pPr>
            <w:r>
              <w:t xml:space="preserve">Open protocol; provider-neutral; member governance</w:t>
            </w:r>
          </w:p>
        </w:tc>
      </w:tr>
    </w:tbl>
    <w:p>
      <w:pPr>
        <w:pStyle w:val="BodyText"/>
        <w:spacing w:before="160"/>
      </w:pPr>
      <w:r>
        <w:rPr>
          <w:b/>
          <w:bCs/>
        </w:rPr>
        <w:t xml:space="preserve">First 100 days.</w:t>
      </w:r>
      <w:r>
        <w:t xml:space="preserve"> </w:t>
      </w:r>
      <w:r>
        <w:t xml:space="preserve">One country, two categories (mobile data and insurance renewals); 10,000 members; negotiated offers from three providers; publish the savings achieved.</w:t>
      </w:r>
    </w:p>
    <w:p>
      <w:pPr>
        <w:pStyle w:val="BodyText"/>
      </w:pPr>
      <w:r>
        <w:rPr>
          <w:b/>
          <w:bCs/>
        </w:rPr>
        <w:t xml:space="preserve">Double Decagon score: 81/100 (future-fit).</w:t>
      </w:r>
      <w:r>
        <w:t xml:space="preserve"> </w:t>
      </w:r>
      <w:r>
        <w:t xml:space="preserve">Inner Decagon 41/50 (V1 4 · V2 5 · V3 4 · V4 3 · V5 5 · V6 5 · V7 3 · V8 4 · V9 4 · V10 4). Future-Fitness 40/50 (F1 5 · F2 4 · F3 3 · F4 4 · F5 5 · F6 4 · F7 3 · F8 4 · F9 4 · F10 4).</w:t>
      </w:r>
    </w:p>
    <w:bookmarkEnd w:id="53"/>
    <w:bookmarkStart w:id="54" w:name="X3aba20d84ee5c7879e179117c8f76ec5b9f124d"/>
    <w:p>
      <w:pPr>
        <w:pStyle w:val="Heading2"/>
      </w:pPr>
      <w:r>
        <w:t xml:space="preserve">Venture 3: GROUNDTRUTH, the verified-reality network</w:t>
      </w:r>
    </w:p>
    <w:p>
      <w:pPr>
        <w:pStyle w:val="BlockText"/>
      </w:pPr>
      <w:r>
        <w:rPr>
          <w:b/>
          <w:bCs/>
        </w:rPr>
        <w:t xml:space="preserve">Thesis.</w:t>
      </w:r>
      <w:r>
        <w:t xml:space="preserve"> </w:t>
      </w:r>
      <w:r>
        <w:t xml:space="preserve">As synthetic media becomes indistinguishable from reality, societies need a way to establish what actually happened, where and when. GroundTruth combines content provenance with an Uber-style network of verified local</w:t>
      </w:r>
      <w:r>
        <w:t xml:space="preserve"> </w:t>
      </w:r>
      <w:r>
        <w:t xml:space="preserve">“</w:t>
      </w:r>
      <w:r>
        <w:t xml:space="preserve">witnesses</w:t>
      </w:r>
      <w:r>
        <w:t xml:space="preserve">”</w:t>
      </w:r>
      <w:r>
        <w:t xml:space="preserve"> </w:t>
      </w:r>
      <w:r>
        <w:t xml:space="preserve">who can be dispatched to confirm events, damage, deliveries or building progress on the ground. It provides trust as a service for newsrooms, insurers, courts, aid agencies and AI agents.</w:t>
      </w:r>
    </w:p>
    <w:tbl>
      <w:tblPr>
        <w:tblStyle w:val="Table"/>
        <w:tblW w:w="9360" w:type="dxa"/>
        <w:jc w:val="left"/>
        <w:tblLayout w:type="fixed"/>
        <w:tblLook w:firstRow="1" w:lastRow="0" w:firstColumn="0" w:lastColumn="0" w:noHBand="0" w:noVBand="0" w:val="0020"/>
      </w:tblPr>
      <w:tblGrid>
        <w:gridCol w:w="1236"/>
        <w:gridCol w:w="8124"/>
      </w:tblGrid>
      <w:tr>
        <w:trPr>
          <w:cantSplit/>
          <w:tblHeader w:val="true"/>
        </w:trPr>
        <w:tc>
          <w:tcPr>
            <w:tcW w:w="1236" w:type="dxa"/>
          </w:tcPr>
          <w:p>
            <w:pPr>
              <w:pStyle w:val="TableText"/>
              <w:jc w:val="left"/>
            </w:pPr>
            <w:r>
              <w:t xml:space="preserve">Gene</w:t>
            </w:r>
          </w:p>
        </w:tc>
        <w:tc>
          <w:tcPr>
            <w:tcW w:w="8124" w:type="dxa"/>
          </w:tcPr>
          <w:p>
            <w:pPr>
              <w:pStyle w:val="TableText"/>
              <w:jc w:val="left"/>
            </w:pPr>
            <w:r>
              <w:t xml:space="preserve">Value</w:t>
            </w:r>
          </w:p>
        </w:tc>
      </w:tr>
      <w:tr>
        <w:trPr>
          <w:cantSplit/>
        </w:trPr>
        <w:tc>
          <w:tcPr>
            <w:tcW w:w="1236" w:type="dxa"/>
          </w:tcPr>
          <w:p>
            <w:pPr>
              <w:pStyle w:val="TableText"/>
              <w:jc w:val="left"/>
            </w:pPr>
            <w:r>
              <w:t xml:space="preserve">Problem domain</w:t>
            </w:r>
          </w:p>
        </w:tc>
        <w:tc>
          <w:tcPr>
            <w:tcW w:w="8124" w:type="dxa"/>
          </w:tcPr>
          <w:p>
            <w:pPr>
              <w:pStyle w:val="TableText"/>
              <w:jc w:val="left"/>
            </w:pPr>
            <w:r>
              <w:t xml:space="preserve">D9 Trust, identity and reality</w:t>
            </w:r>
          </w:p>
        </w:tc>
      </w:tr>
      <w:tr>
        <w:trPr>
          <w:cantSplit/>
        </w:trPr>
        <w:tc>
          <w:tcPr>
            <w:tcW w:w="1236" w:type="dxa"/>
          </w:tcPr>
          <w:p>
            <w:pPr>
              <w:pStyle w:val="TableText"/>
              <w:jc w:val="left"/>
            </w:pPr>
            <w:r>
              <w:t xml:space="preserve">Latent capacity</w:t>
            </w:r>
          </w:p>
        </w:tc>
        <w:tc>
          <w:tcPr>
            <w:tcW w:w="8124" w:type="dxa"/>
          </w:tcPr>
          <w:p>
            <w:pPr>
              <w:pStyle w:val="TableText"/>
              <w:jc w:val="left"/>
            </w:pPr>
            <w:r>
              <w:t xml:space="preserve">L11 idle presence (people already on location); L10 idle trust (local reputations)</w:t>
            </w:r>
          </w:p>
        </w:tc>
      </w:tr>
      <w:tr>
        <w:trPr>
          <w:cantSplit/>
        </w:trPr>
        <w:tc>
          <w:tcPr>
            <w:tcW w:w="1236" w:type="dxa"/>
          </w:tcPr>
          <w:p>
            <w:pPr>
              <w:pStyle w:val="TableText"/>
              <w:jc w:val="left"/>
            </w:pPr>
            <w:r>
              <w:t xml:space="preserve">Archetype</w:t>
            </w:r>
          </w:p>
        </w:tc>
        <w:tc>
          <w:tcPr>
            <w:tcW w:w="8124" w:type="dxa"/>
          </w:tcPr>
          <w:p>
            <w:pPr>
              <w:pStyle w:val="TableText"/>
              <w:jc w:val="left"/>
            </w:pPr>
            <w:r>
              <w:t xml:space="preserve">A1 on-demand dispatch + A8 protocol commons</w:t>
            </w:r>
          </w:p>
        </w:tc>
      </w:tr>
      <w:tr>
        <w:trPr>
          <w:cantSplit/>
        </w:trPr>
        <w:tc>
          <w:tcPr>
            <w:tcW w:w="1236" w:type="dxa"/>
          </w:tcPr>
          <w:p>
            <w:pPr>
              <w:pStyle w:val="TableText"/>
              <w:jc w:val="left"/>
            </w:pPr>
            <w:r>
              <w:t xml:space="preserve">Technology waves</w:t>
            </w:r>
          </w:p>
        </w:tc>
        <w:tc>
          <w:tcPr>
            <w:tcW w:w="8124" w:type="dxa"/>
          </w:tcPr>
          <w:p>
            <w:pPr>
              <w:pStyle w:val="TableText"/>
              <w:jc w:val="left"/>
            </w:pPr>
            <w:r>
              <w:t xml:space="preserve">T-c verifiable credentials and content provenance; T-e earth observation; T-a AI forensics</w:t>
            </w:r>
          </w:p>
        </w:tc>
      </w:tr>
      <w:tr>
        <w:trPr>
          <w:cantSplit/>
        </w:trPr>
        <w:tc>
          <w:tcPr>
            <w:tcW w:w="1236" w:type="dxa"/>
          </w:tcPr>
          <w:p>
            <w:pPr>
              <w:pStyle w:val="TableText"/>
              <w:jc w:val="left"/>
            </w:pPr>
            <w:r>
              <w:t xml:space="preserve">Governance</w:t>
            </w:r>
          </w:p>
        </w:tc>
        <w:tc>
          <w:tcPr>
            <w:tcW w:w="8124" w:type="dxa"/>
          </w:tcPr>
          <w:p>
            <w:pPr>
              <w:pStyle w:val="TableText"/>
              <w:jc w:val="left"/>
            </w:pPr>
            <w:r>
              <w:t xml:space="preserve">Steward-owned company plus an open protocol foundation</w:t>
            </w:r>
          </w:p>
        </w:tc>
      </w:tr>
      <w:tr>
        <w:trPr>
          <w:cantSplit/>
        </w:trPr>
        <w:tc>
          <w:tcPr>
            <w:tcW w:w="1236" w:type="dxa"/>
          </w:tcPr>
          <w:p>
            <w:pPr>
              <w:pStyle w:val="TableText"/>
              <w:jc w:val="left"/>
            </w:pPr>
            <w:r>
              <w:t xml:space="preserve">Foothold</w:t>
            </w:r>
          </w:p>
        </w:tc>
        <w:tc>
          <w:tcPr>
            <w:tcW w:w="8124" w:type="dxa"/>
          </w:tcPr>
          <w:p>
            <w:pPr>
              <w:pStyle w:val="TableText"/>
              <w:jc w:val="left"/>
            </w:pPr>
            <w:r>
              <w:t xml:space="preserve">Non-consumption (affordable on-the-ground verification does not exist); crisis window (elections, disasters)</w:t>
            </w:r>
          </w:p>
        </w:tc>
      </w:tr>
    </w:tbl>
    <w:p>
      <w:pPr>
        <w:pStyle w:val="BodyText"/>
        <w:spacing w:before="160"/>
      </w:pPr>
      <w:r>
        <w:rPr>
          <w:b/>
          <w:bCs/>
        </w:rPr>
        <w:t xml:space="preserve">The new problem</w:t>
      </w:r>
    </w:p>
    <w:p>
      <w:pPr>
        <w:pStyle w:val="Compact"/>
        <w:numPr>
          <w:ilvl w:val="0"/>
          <w:numId w:val="1019"/>
        </w:numPr>
      </w:pPr>
      <w:r>
        <w:t xml:space="preserve">Generative-AI-enabled fraud could reach $40bn a year in the US by 2027, up from $12.3bn in 2023 (Deloitte).</w:t>
      </w:r>
    </w:p>
    <w:p>
      <w:pPr>
        <w:pStyle w:val="Compact"/>
        <w:numPr>
          <w:ilvl w:val="0"/>
          <w:numId w:val="1019"/>
        </w:numPr>
      </w:pPr>
      <w:r>
        <w:t xml:space="preserve">In 2024, an employee in Hong Kong transferred about $25m after a video call with deepfaked executives.</w:t>
      </w:r>
    </w:p>
    <w:p>
      <w:pPr>
        <w:pStyle w:val="Compact"/>
        <w:numPr>
          <w:ilvl w:val="0"/>
          <w:numId w:val="1019"/>
        </w:numPr>
      </w:pPr>
      <w:r>
        <w:t xml:space="preserve">Insurers face AI-generated damage photos, newsrooms face fabricated disaster footage, and courts face doubts about every image.</w:t>
      </w:r>
    </w:p>
    <w:p>
      <w:pPr>
        <w:pStyle w:val="Compact"/>
        <w:numPr>
          <w:ilvl w:val="0"/>
          <w:numId w:val="1019"/>
        </w:numPr>
      </w:pPr>
      <w:r>
        <w:t xml:space="preserve">Detection alone is an arms race.</w:t>
      </w:r>
      <w:r>
        <w:t xml:space="preserve"> </w:t>
      </w:r>
      <w:r>
        <w:rPr>
          <w:b/>
          <w:bCs/>
        </w:rPr>
        <w:t xml:space="preserve">Verification needs a physical anchor: a trustworthy person, at the place, at the time.</w:t>
      </w:r>
    </w:p>
    <w:p>
      <w:pPr>
        <w:pStyle w:val="FirstParagraph"/>
      </w:pPr>
      <w:r>
        <w:rPr>
          <w:b/>
          <w:bCs/>
        </w:rPr>
        <w:t xml:space="preserve">Benchmarks: borrowed and inverted</w:t>
      </w:r>
    </w:p>
    <w:p>
      <w:pPr>
        <w:pStyle w:val="Compact"/>
        <w:numPr>
          <w:ilvl w:val="0"/>
          <w:numId w:val="1020"/>
        </w:numPr>
      </w:pPr>
      <w:r>
        <w:rPr>
          <w:b/>
          <w:bCs/>
        </w:rPr>
        <w:t xml:space="preserve">From Uber:</w:t>
      </w:r>
      <w:r>
        <w:t xml:space="preserve"> </w:t>
      </w:r>
      <w:r>
        <w:t xml:space="preserve">dispatch of the nearest verified provider, here the nearest verified witness.</w:t>
      </w:r>
    </w:p>
    <w:p>
      <w:pPr>
        <w:pStyle w:val="Compact"/>
        <w:numPr>
          <w:ilvl w:val="0"/>
          <w:numId w:val="1020"/>
        </w:numPr>
      </w:pPr>
      <w:r>
        <w:rPr>
          <w:b/>
          <w:bCs/>
        </w:rPr>
        <w:t xml:space="preserve">From Airbnb:</w:t>
      </w:r>
      <w:r>
        <w:t xml:space="preserve"> </w:t>
      </w:r>
      <w:r>
        <w:t xml:space="preserve">identity verification, reviews and guarantees.</w:t>
      </w:r>
    </w:p>
    <w:p>
      <w:pPr>
        <w:pStyle w:val="Compact"/>
        <w:numPr>
          <w:ilvl w:val="0"/>
          <w:numId w:val="1020"/>
        </w:numPr>
      </w:pPr>
      <w:r>
        <w:rPr>
          <w:b/>
          <w:bCs/>
        </w:rPr>
        <w:t xml:space="preserve">Extends</w:t>
      </w:r>
      <w:r>
        <w:t xml:space="preserve"> </w:t>
      </w:r>
      <w:r>
        <w:t xml:space="preserve">the sixteen-sector map’s emergency and public-services sector, and</w:t>
      </w:r>
      <w:r>
        <w:t xml:space="preserve"> </w:t>
      </w:r>
      <w:r>
        <w:rPr>
          <w:b/>
          <w:bCs/>
        </w:rPr>
        <w:t xml:space="preserve">links</w:t>
      </w:r>
      <w:r>
        <w:t xml:space="preserve"> </w:t>
      </w:r>
      <w:r>
        <w:t xml:space="preserve">to Covenant (verifying agents), Bastion (verifying disaster triggers) and BuildBridge (verifying building stages).</w:t>
      </w:r>
    </w:p>
    <w:p>
      <w:pPr>
        <w:pStyle w:val="Compact"/>
        <w:numPr>
          <w:ilvl w:val="0"/>
          <w:numId w:val="1020"/>
        </w:numPr>
      </w:pPr>
      <w:r>
        <w:rPr>
          <w:b/>
          <w:bCs/>
        </w:rPr>
        <w:t xml:space="preserve">Inverts:</w:t>
      </w:r>
      <w:r>
        <w:t xml:space="preserve"> </w:t>
      </w:r>
      <w:r>
        <w:t xml:space="preserve">the attention economy rewards whatever spreads; GroundTruth rewards whatever is</w:t>
      </w:r>
      <w:r>
        <w:t xml:space="preserve"> </w:t>
      </w:r>
      <w:r>
        <w:rPr>
          <w:i/>
          <w:iCs/>
        </w:rPr>
        <w:t xml:space="preserve">true</w:t>
      </w:r>
      <w:r>
        <w:t xml:space="preserve">.</w:t>
      </w:r>
    </w:p>
    <w:p>
      <w:pPr>
        <w:pStyle w:val="FirstParagraph"/>
      </w:pPr>
      <w:r>
        <w:rPr>
          <w:b/>
          <w:bCs/>
        </w:rPr>
        <w:t xml:space="preserve">How it works</w:t>
      </w:r>
    </w:p>
    <w:p>
      <w:pPr>
        <w:pStyle w:val="Compact"/>
        <w:numPr>
          <w:ilvl w:val="0"/>
          <w:numId w:val="1021"/>
        </w:numPr>
      </w:pPr>
      <w:r>
        <w:rPr>
          <w:b/>
          <w:bCs/>
        </w:rPr>
        <w:t xml:space="preserve">Witness network.</w:t>
      </w:r>
      <w:r>
        <w:t xml:space="preserve"> </w:t>
      </w:r>
      <w:r>
        <w:t xml:space="preserve">Verified individuals (ID, references, training, reputation), drawn from trusted local roles such as teachers, pharmacists, community health workers and students.</w:t>
      </w:r>
    </w:p>
    <w:p>
      <w:pPr>
        <w:pStyle w:val="Compact"/>
        <w:numPr>
          <w:ilvl w:val="0"/>
          <w:numId w:val="1021"/>
        </w:numPr>
      </w:pPr>
      <w:r>
        <w:rPr>
          <w:b/>
          <w:bCs/>
        </w:rPr>
        <w:t xml:space="preserve">Request.</w:t>
      </w:r>
      <w:r>
        <w:t xml:space="preserve"> </w:t>
      </w:r>
      <w:r>
        <w:t xml:space="preserve">A client posts a verification task:</w:t>
      </w:r>
      <w:r>
        <w:t xml:space="preserve"> </w:t>
      </w:r>
      <w:r>
        <w:t xml:space="preserve">“</w:t>
      </w:r>
      <w:r>
        <w:t xml:space="preserve">Is this bridge collapsed?</w:t>
      </w:r>
      <w:r>
        <w:t xml:space="preserve">”</w:t>
      </w:r>
      <w:r>
        <w:t xml:space="preserve">,</w:t>
      </w:r>
      <w:r>
        <w:t xml:space="preserve"> </w:t>
      </w:r>
      <w:r>
        <w:t xml:space="preserve">“</w:t>
      </w:r>
      <w:r>
        <w:t xml:space="preserve">Was this parcel delivered?</w:t>
      </w:r>
      <w:r>
        <w:t xml:space="preserve">”</w:t>
      </w:r>
      <w:r>
        <w:t xml:space="preserve">,</w:t>
      </w:r>
      <w:r>
        <w:t xml:space="preserve"> </w:t>
      </w:r>
      <w:r>
        <w:t xml:space="preserve">“</w:t>
      </w:r>
      <w:r>
        <w:t xml:space="preserve">Is this house at roof level?</w:t>
      </w:r>
      <w:r>
        <w:t xml:space="preserve">”</w:t>
      </w:r>
      <w:r>
        <w:t xml:space="preserve">,</w:t>
      </w:r>
      <w:r>
        <w:t xml:space="preserve"> </w:t>
      </w:r>
      <w:r>
        <w:t xml:space="preserve">“</w:t>
      </w:r>
      <w:r>
        <w:t xml:space="preserve">Is this flood damage real?</w:t>
      </w:r>
      <w:r>
        <w:t xml:space="preserve">”</w:t>
      </w:r>
    </w:p>
    <w:p>
      <w:pPr>
        <w:pStyle w:val="Compact"/>
        <w:numPr>
          <w:ilvl w:val="0"/>
          <w:numId w:val="1021"/>
        </w:numPr>
      </w:pPr>
      <w:r>
        <w:rPr>
          <w:b/>
          <w:bCs/>
        </w:rPr>
        <w:t xml:space="preserve">Dispatch.</w:t>
      </w:r>
      <w:r>
        <w:t xml:space="preserve"> </w:t>
      </w:r>
      <w:r>
        <w:t xml:space="preserve">At least two independent witnesses are assigned at random from those nearby, to prevent collusion.</w:t>
      </w:r>
    </w:p>
    <w:p>
      <w:pPr>
        <w:pStyle w:val="Compact"/>
        <w:numPr>
          <w:ilvl w:val="0"/>
          <w:numId w:val="1021"/>
        </w:numPr>
      </w:pPr>
      <w:r>
        <w:rPr>
          <w:b/>
          <w:bCs/>
        </w:rPr>
        <w:t xml:space="preserve">Capture.</w:t>
      </w:r>
      <w:r>
        <w:t xml:space="preserve"> </w:t>
      </w:r>
      <w:r>
        <w:t xml:space="preserve">A secure app records signed photos and video with content credentials (C2PA-style provenance), location, time and device attestation.</w:t>
      </w:r>
    </w:p>
    <w:p>
      <w:pPr>
        <w:pStyle w:val="Compact"/>
        <w:numPr>
          <w:ilvl w:val="0"/>
          <w:numId w:val="1021"/>
        </w:numPr>
      </w:pPr>
      <w:r>
        <w:rPr>
          <w:b/>
          <w:bCs/>
        </w:rPr>
        <w:t xml:space="preserve">Cross-check.</w:t>
      </w:r>
      <w:r>
        <w:t xml:space="preserve"> </w:t>
      </w:r>
      <w:r>
        <w:t xml:space="preserve">Records are compared with satellite imagery, sensor data and AI forensics.</w:t>
      </w:r>
    </w:p>
    <w:p>
      <w:pPr>
        <w:pStyle w:val="Compact"/>
        <w:numPr>
          <w:ilvl w:val="0"/>
          <w:numId w:val="1021"/>
        </w:numPr>
      </w:pPr>
      <w:r>
        <w:rPr>
          <w:b/>
          <w:bCs/>
        </w:rPr>
        <w:t xml:space="preserve">Truth record.</w:t>
      </w:r>
      <w:r>
        <w:t xml:space="preserve"> </w:t>
      </w:r>
      <w:r>
        <w:t xml:space="preserve">A verified record with a confidence score is issued, verifiable by anyone through the open protocol.</w:t>
      </w:r>
    </w:p>
    <w:p>
      <w:pPr>
        <w:pStyle w:val="Compact"/>
        <w:numPr>
          <w:ilvl w:val="0"/>
          <w:numId w:val="1021"/>
        </w:numPr>
      </w:pPr>
      <w:r>
        <w:rPr>
          <w:b/>
          <w:bCs/>
        </w:rPr>
        <w:t xml:space="preserve">Payment and reputation.</w:t>
      </w:r>
      <w:r>
        <w:t xml:space="preserve"> </w:t>
      </w:r>
      <w:r>
        <w:t xml:space="preserve">Witnesses are paid per task; accuracy builds reputation; dishonesty forfeits reputation and earnings.</w:t>
      </w:r>
    </w:p>
    <w:p>
      <w:pPr>
        <w:pStyle w:val="FirstParagraph"/>
      </w:pPr>
      <w:r>
        <w:rPr>
          <w:b/>
          <w:bCs/>
        </w:rPr>
        <w:t xml:space="preserve">System dynamics</w:t>
      </w:r>
    </w:p>
    <w:p>
      <w:pPr>
        <w:pStyle w:val="Compact"/>
        <w:numPr>
          <w:ilvl w:val="0"/>
          <w:numId w:val="1022"/>
        </w:numPr>
      </w:pPr>
      <w:r>
        <w:rPr>
          <w:b/>
          <w:bCs/>
        </w:rPr>
        <w:t xml:space="preserve">R1, the credibility loop:</w:t>
      </w:r>
      <w:r>
        <w:t xml:space="preserve"> </w:t>
      </w:r>
      <w:r>
        <w:t xml:space="preserve">accurate records → client trust → more tasks → more witnesses → better coverage and speed.</w:t>
      </w:r>
    </w:p>
    <w:p>
      <w:pPr>
        <w:pStyle w:val="Compact"/>
        <w:numPr>
          <w:ilvl w:val="0"/>
          <w:numId w:val="1022"/>
        </w:numPr>
      </w:pPr>
      <w:r>
        <w:rPr>
          <w:b/>
          <w:bCs/>
        </w:rPr>
        <w:t xml:space="preserve">B1, adversarial attack:</w:t>
      </w:r>
      <w:r>
        <w:t xml:space="preserve"> </w:t>
      </w:r>
      <w:r>
        <w:t xml:space="preserve">bribery or collusion. Random assignment, redundancy and reputation forfeiture contain it.</w:t>
      </w:r>
    </w:p>
    <w:p>
      <w:pPr>
        <w:pStyle w:val="Compact"/>
        <w:numPr>
          <w:ilvl w:val="0"/>
          <w:numId w:val="1022"/>
        </w:numPr>
      </w:pPr>
      <w:r>
        <w:rPr>
          <w:b/>
          <w:bCs/>
        </w:rPr>
        <w:t xml:space="preserve">B2, witness safety:</w:t>
      </w:r>
      <w:r>
        <w:t xml:space="preserve"> </w:t>
      </w:r>
      <w:r>
        <w:t xml:space="preserve">risky locations (conflict, unrest) need risk tiers, refusal rights and anonymity.</w:t>
      </w:r>
    </w:p>
    <w:p>
      <w:pPr>
        <w:pStyle w:val="Compact"/>
        <w:numPr>
          <w:ilvl w:val="0"/>
          <w:numId w:val="1022"/>
        </w:numPr>
      </w:pPr>
      <w:r>
        <w:rPr>
          <w:b/>
          <w:bCs/>
        </w:rPr>
        <w:t xml:space="preserve">Leverage point:</w:t>
      </w:r>
      <w:r>
        <w:t xml:space="preserve"> </w:t>
      </w:r>
      <w:r>
        <w:t xml:space="preserve">information flows, and a paradigm shift from</w:t>
      </w:r>
      <w:r>
        <w:t xml:space="preserve"> </w:t>
      </w:r>
      <w:r>
        <w:t xml:space="preserve">“</w:t>
      </w:r>
      <w:r>
        <w:t xml:space="preserve">seeing is believing</w:t>
      </w:r>
      <w:r>
        <w:t xml:space="preserve">”</w:t>
      </w:r>
      <w:r>
        <w:t xml:space="preserve"> </w:t>
      </w:r>
      <w:r>
        <w:t xml:space="preserve">to</w:t>
      </w:r>
      <w:r>
        <w:t xml:space="preserve"> </w:t>
      </w:r>
      <w:r>
        <w:t xml:space="preserve">“</w:t>
      </w:r>
      <w:r>
        <w:rPr>
          <w:i/>
          <w:iCs/>
        </w:rPr>
        <w:t xml:space="preserve">verifying</w:t>
      </w:r>
      <w:r>
        <w:t xml:space="preserve"> </w:t>
      </w:r>
      <w:r>
        <w:t xml:space="preserve">is believing</w:t>
      </w:r>
      <w:r>
        <w:t xml:space="preserve">”</w:t>
      </w:r>
      <w:r>
        <w:t xml:space="preserve">.</w:t>
      </w:r>
    </w:p>
    <w:p>
      <w:pPr>
        <w:pStyle w:val="FirstParagraph"/>
      </w:pPr>
      <w:r>
        <w:rPr>
          <w:b/>
          <w:bCs/>
        </w:rPr>
        <w:t xml:space="preserve">Design thinking</w:t>
      </w:r>
    </w:p>
    <w:p>
      <w:pPr>
        <w:pStyle w:val="Compact"/>
        <w:numPr>
          <w:ilvl w:val="0"/>
          <w:numId w:val="1023"/>
        </w:numPr>
      </w:pPr>
      <w:r>
        <w:rPr>
          <w:i/>
          <w:iCs/>
        </w:rPr>
        <w:t xml:space="preserve">Personas:</w:t>
      </w:r>
      <w:r>
        <w:t xml:space="preserve"> </w:t>
      </w:r>
      <w:r>
        <w:rPr>
          <w:b/>
          <w:bCs/>
        </w:rPr>
        <w:t xml:space="preserve">Musa</w:t>
      </w:r>
      <w:r>
        <w:t xml:space="preserve">, a claims manager in Abuja facing fake flood-damage photos.</w:t>
      </w:r>
      <w:r>
        <w:t xml:space="preserve"> </w:t>
      </w:r>
      <w:r>
        <w:rPr>
          <w:b/>
          <w:bCs/>
        </w:rPr>
        <w:t xml:space="preserve">Grace</w:t>
      </w:r>
      <w:r>
        <w:t xml:space="preserve">, 27, a pharmacist in Makurdi who earns extra as a verified witness.</w:t>
      </w:r>
      <w:r>
        <w:t xml:space="preserve"> </w:t>
      </w:r>
      <w:r>
        <w:rPr>
          <w:b/>
          <w:bCs/>
        </w:rPr>
        <w:t xml:space="preserve">An election-desk editor</w:t>
      </w:r>
      <w:r>
        <w:t xml:space="preserve"> </w:t>
      </w:r>
      <w:r>
        <w:t xml:space="preserve">in Nairobi facing a flood of viral images.</w:t>
      </w:r>
    </w:p>
    <w:p>
      <w:pPr>
        <w:pStyle w:val="Compact"/>
        <w:numPr>
          <w:ilvl w:val="0"/>
          <w:numId w:val="1023"/>
        </w:numPr>
      </w:pPr>
      <w:r>
        <w:rPr>
          <w:i/>
          <w:iCs/>
        </w:rPr>
        <w:t xml:space="preserve">How might</w:t>
      </w:r>
      <w:r>
        <w:t xml:space="preserve"> </w:t>
      </w:r>
      <w:r>
        <w:t xml:space="preserve">anyone, anywhere, know within an hour whether something really happened?</w:t>
      </w:r>
    </w:p>
    <w:p>
      <w:pPr>
        <w:pStyle w:val="Compact"/>
        <w:numPr>
          <w:ilvl w:val="0"/>
          <w:numId w:val="1023"/>
        </w:numPr>
      </w:pPr>
      <w:r>
        <w:rPr>
          <w:i/>
          <w:iCs/>
        </w:rPr>
        <w:t xml:space="preserve">Moment of truth:</w:t>
      </w:r>
      <w:r>
        <w:t xml:space="preserve"> </w:t>
      </w:r>
      <w:r>
        <w:t xml:space="preserve">a viral</w:t>
      </w:r>
      <w:r>
        <w:t xml:space="preserve"> </w:t>
      </w:r>
      <w:r>
        <w:t xml:space="preserve">“</w:t>
      </w:r>
      <w:r>
        <w:t xml:space="preserve">collapsed bridge</w:t>
      </w:r>
      <w:r>
        <w:t xml:space="preserve">”</w:t>
      </w:r>
      <w:r>
        <w:t xml:space="preserve"> </w:t>
      </w:r>
      <w:r>
        <w:t xml:space="preserve">video is debunked within 40 minutes because two independent witnesses filmed the bridge standing, with verifiable credentials.</w:t>
      </w:r>
    </w:p>
    <w:p>
      <w:pPr>
        <w:pStyle w:val="FirstParagraph"/>
      </w:pPr>
      <w:r>
        <w:rPr>
          <w:b/>
          <w:bCs/>
        </w:rPr>
        <w:t xml:space="preserve">Business and ownership model.</w:t>
      </w:r>
      <w:r>
        <w:t xml:space="preserve"> </w:t>
      </w:r>
      <w:r>
        <w:t xml:space="preserve">Per-verification fees; subscriptions for insurers, newsrooms, logistics firms and aid agencies; protocol licensing; a public-interest fund for elections and disasters. Witnesses receive the majority of task fees.</w:t>
      </w:r>
    </w:p>
    <w:p>
      <w:pPr>
        <w:pStyle w:val="BodyText"/>
      </w:pPr>
      <w:r>
        <w:rPr>
          <w:b/>
          <w:bCs/>
        </w:rPr>
        <w:t xml:space="preserve">Future potential</w:t>
      </w:r>
    </w:p>
    <w:tbl>
      <w:tblPr>
        <w:tblStyle w:val="Table"/>
        <w:tblW w:w="9360" w:type="dxa"/>
        <w:jc w:val="left"/>
        <w:tblLayout w:type="fixed"/>
        <w:tblLook w:firstRow="1" w:lastRow="0" w:firstColumn="0" w:lastColumn="0" w:noHBand="0" w:noVBand="0" w:val="0020"/>
      </w:tblPr>
      <w:tblGrid>
        <w:gridCol w:w="1011"/>
        <w:gridCol w:w="8349"/>
      </w:tblGrid>
      <w:tr>
        <w:trPr>
          <w:cantSplit/>
          <w:tblHeader w:val="true"/>
        </w:trPr>
        <w:tc>
          <w:tcPr>
            <w:tcW w:w="1011" w:type="dxa"/>
          </w:tcPr>
          <w:p>
            <w:pPr>
              <w:pStyle w:val="TableText"/>
              <w:jc w:val="left"/>
            </w:pPr>
            <w:r>
              <w:t xml:space="preserve">Horizon</w:t>
            </w:r>
          </w:p>
        </w:tc>
        <w:tc>
          <w:tcPr>
            <w:tcW w:w="8349" w:type="dxa"/>
          </w:tcPr>
          <w:p>
            <w:pPr>
              <w:pStyle w:val="TableText"/>
              <w:jc w:val="left"/>
            </w:pPr>
            <w:r>
              <w:t xml:space="preserve">What it becomes</w:t>
            </w:r>
          </w:p>
        </w:tc>
      </w:tr>
      <w:tr>
        <w:trPr>
          <w:cantSplit/>
        </w:trPr>
        <w:tc>
          <w:tcPr>
            <w:tcW w:w="1011" w:type="dxa"/>
          </w:tcPr>
          <w:p>
            <w:pPr>
              <w:pStyle w:val="TableText"/>
              <w:jc w:val="left"/>
            </w:pPr>
            <w:r>
              <w:t xml:space="preserve">2030</w:t>
            </w:r>
          </w:p>
        </w:tc>
        <w:tc>
          <w:tcPr>
            <w:tcW w:w="8349" w:type="dxa"/>
          </w:tcPr>
          <w:p>
            <w:pPr>
              <w:pStyle w:val="TableText"/>
              <w:jc w:val="left"/>
            </w:pPr>
            <w:r>
              <w:t xml:space="preserve">Insurance, delivery and construction verification in several countries; a disaster-verification service for aid agencies</w:t>
            </w:r>
          </w:p>
        </w:tc>
      </w:tr>
      <w:tr>
        <w:trPr>
          <w:cantSplit/>
        </w:trPr>
        <w:tc>
          <w:tcPr>
            <w:tcW w:w="1011" w:type="dxa"/>
          </w:tcPr>
          <w:p>
            <w:pPr>
              <w:pStyle w:val="TableText"/>
              <w:jc w:val="left"/>
            </w:pPr>
            <w:r>
              <w:t xml:space="preserve">2035</w:t>
            </w:r>
          </w:p>
        </w:tc>
        <w:tc>
          <w:tcPr>
            <w:tcW w:w="8349" w:type="dxa"/>
          </w:tcPr>
          <w:p>
            <w:pPr>
              <w:pStyle w:val="TableText"/>
              <w:jc w:val="left"/>
            </w:pPr>
            <w:r>
              <w:t xml:space="preserve">A standard verification layer for elections, courts and disaster response</w:t>
            </w:r>
          </w:p>
        </w:tc>
      </w:tr>
      <w:tr>
        <w:trPr>
          <w:cantSplit/>
        </w:trPr>
        <w:tc>
          <w:tcPr>
            <w:tcW w:w="1011" w:type="dxa"/>
          </w:tcPr>
          <w:p>
            <w:pPr>
              <w:pStyle w:val="TableText"/>
              <w:jc w:val="left"/>
            </w:pPr>
            <w:r>
              <w:t xml:space="preserve">2040–2050</w:t>
            </w:r>
          </w:p>
        </w:tc>
        <w:tc>
          <w:tcPr>
            <w:tcW w:w="8349" w:type="dxa"/>
          </w:tcPr>
          <w:p>
            <w:pPr>
              <w:pStyle w:val="TableText"/>
              <w:jc w:val="left"/>
            </w:pPr>
            <w:r>
              <w:t xml:space="preserve">The</w:t>
            </w:r>
            <w:r>
              <w:t xml:space="preserve"> </w:t>
            </w:r>
            <w:r>
              <w:t xml:space="preserve">“</w:t>
            </w:r>
            <w:r>
              <w:t xml:space="preserve">notary of reality</w:t>
            </w:r>
            <w:r>
              <w:t xml:space="preserve">”</w:t>
            </w:r>
            <w:r>
              <w:t xml:space="preserve">: the place AI agents, courts and citizens go to establish facts</w:t>
            </w:r>
          </w:p>
        </w:tc>
      </w:tr>
    </w:tbl>
    <w:p/>
    <w:tbl>
      <w:tblPr>
        <w:tblStyle w:val="Table"/>
        <w:tblW w:w="9360" w:type="dxa"/>
        <w:jc w:val="left"/>
        <w:tblLayout w:type="fixed"/>
        <w:tblLook w:firstRow="1" w:lastRow="0" w:firstColumn="0" w:lastColumn="0" w:noHBand="0" w:noVBand="0" w:val="0020"/>
      </w:tblPr>
      <w:tblGrid>
        <w:gridCol w:w="2529"/>
        <w:gridCol w:w="6831"/>
      </w:tblGrid>
      <w:tr>
        <w:trPr>
          <w:cantSplit/>
          <w:tblHeader w:val="true"/>
        </w:trPr>
        <w:tc>
          <w:tcPr>
            <w:tcW w:w="2529" w:type="dxa"/>
          </w:tcPr>
          <w:p>
            <w:pPr>
              <w:pStyle w:val="TableText"/>
              <w:jc w:val="left"/>
            </w:pPr>
            <w:r>
              <w:t xml:space="preserve">Risk</w:t>
            </w:r>
          </w:p>
        </w:tc>
        <w:tc>
          <w:tcPr>
            <w:tcW w:w="6831" w:type="dxa"/>
          </w:tcPr>
          <w:p>
            <w:pPr>
              <w:pStyle w:val="TableText"/>
              <w:jc w:val="left"/>
            </w:pPr>
            <w:r>
              <w:t xml:space="preserve">Safeguard</w:t>
            </w:r>
          </w:p>
        </w:tc>
      </w:tr>
      <w:tr>
        <w:trPr>
          <w:cantSplit/>
        </w:trPr>
        <w:tc>
          <w:tcPr>
            <w:tcW w:w="2529" w:type="dxa"/>
          </w:tcPr>
          <w:p>
            <w:pPr>
              <w:pStyle w:val="TableText"/>
              <w:jc w:val="left"/>
            </w:pPr>
            <w:r>
              <w:t xml:space="preserve">Misuse for surveillance of individuals</w:t>
            </w:r>
          </w:p>
        </w:tc>
        <w:tc>
          <w:tcPr>
            <w:tcW w:w="6831" w:type="dxa"/>
          </w:tcPr>
          <w:p>
            <w:pPr>
              <w:pStyle w:val="TableText"/>
              <w:jc w:val="left"/>
            </w:pPr>
            <w:r>
              <w:t xml:space="preserve">Task screening against human-rights criteria; no tracking of private persons; independent ethics board</w:t>
            </w:r>
          </w:p>
        </w:tc>
      </w:tr>
      <w:tr>
        <w:trPr>
          <w:cantSplit/>
        </w:trPr>
        <w:tc>
          <w:tcPr>
            <w:tcW w:w="2529" w:type="dxa"/>
          </w:tcPr>
          <w:p>
            <w:pPr>
              <w:pStyle w:val="TableText"/>
              <w:jc w:val="left"/>
            </w:pPr>
            <w:r>
              <w:t xml:space="preserve">Witness safety</w:t>
            </w:r>
          </w:p>
        </w:tc>
        <w:tc>
          <w:tcPr>
            <w:tcW w:w="6831" w:type="dxa"/>
          </w:tcPr>
          <w:p>
            <w:pPr>
              <w:pStyle w:val="TableText"/>
              <w:jc w:val="left"/>
            </w:pPr>
            <w:r>
              <w:t xml:space="preserve">Risk tiers; refusal rights; anonymity; insurance</w:t>
            </w:r>
          </w:p>
        </w:tc>
      </w:tr>
      <w:tr>
        <w:trPr>
          <w:cantSplit/>
        </w:trPr>
        <w:tc>
          <w:tcPr>
            <w:tcW w:w="2529" w:type="dxa"/>
          </w:tcPr>
          <w:p>
            <w:pPr>
              <w:pStyle w:val="TableText"/>
              <w:jc w:val="left"/>
            </w:pPr>
            <w:r>
              <w:t xml:space="preserve">Collusion or bribery</w:t>
            </w:r>
          </w:p>
        </w:tc>
        <w:tc>
          <w:tcPr>
            <w:tcW w:w="6831" w:type="dxa"/>
          </w:tcPr>
          <w:p>
            <w:pPr>
              <w:pStyle w:val="TableText"/>
              <w:jc w:val="left"/>
            </w:pPr>
            <w:r>
              <w:t xml:space="preserve">Random assignment; redundancy; reputation forfeiture; audits</w:t>
            </w:r>
          </w:p>
        </w:tc>
      </w:tr>
      <w:tr>
        <w:trPr>
          <w:cantSplit/>
        </w:trPr>
        <w:tc>
          <w:tcPr>
            <w:tcW w:w="2529" w:type="dxa"/>
          </w:tcPr>
          <w:p>
            <w:pPr>
              <w:pStyle w:val="TableText"/>
              <w:jc w:val="left"/>
            </w:pPr>
            <w:r>
              <w:t xml:space="preserve">Legal admissibility</w:t>
            </w:r>
          </w:p>
        </w:tc>
        <w:tc>
          <w:tcPr>
            <w:tcW w:w="6831" w:type="dxa"/>
          </w:tcPr>
          <w:p>
            <w:pPr>
              <w:pStyle w:val="TableText"/>
              <w:jc w:val="left"/>
            </w:pPr>
            <w:r>
              <w:t xml:space="preserve">Work with courts and standards bodies on evidence rules</w:t>
            </w:r>
          </w:p>
        </w:tc>
      </w:tr>
    </w:tbl>
    <w:p>
      <w:pPr>
        <w:pStyle w:val="BodyText"/>
        <w:spacing w:before="160"/>
      </w:pPr>
      <w:r>
        <w:rPr>
          <w:b/>
          <w:bCs/>
        </w:rPr>
        <w:t xml:space="preserve">First 100 days.</w:t>
      </w:r>
      <w:r>
        <w:t xml:space="preserve"> </w:t>
      </w:r>
      <w:r>
        <w:t xml:space="preserve">Insurance-claim verification in Lagos with one insurer; 300 trained witnesses; 1,000 verifications; measure fraud detected and turnaround time.</w:t>
      </w:r>
    </w:p>
    <w:p>
      <w:pPr>
        <w:pStyle w:val="BodyText"/>
      </w:pPr>
      <w:r>
        <w:rPr>
          <w:b/>
          <w:bCs/>
        </w:rPr>
        <w:t xml:space="preserve">Double Decagon score: 80/100 (future-fit).</w:t>
      </w:r>
      <w:r>
        <w:t xml:space="preserve"> </w:t>
      </w:r>
      <w:r>
        <w:t xml:space="preserve">Inner Decagon 40/50 (V1 4 · V2 4 · V3 5 · V4 3 · V5 4 · V6 4 · V7 4 · V8 4 · V9 4 · V10 4). Future-Fitness 40/50 (F1 4 · F2 4 · F3 4 · F4 4 · F5 4 · F6 4 · F7 4 · F8 3 · F9 4 · F10 5).</w:t>
      </w:r>
    </w:p>
    <w:bookmarkEnd w:id="54"/>
    <w:bookmarkStart w:id="58" w:name="Xe47fe2ce10836c87795303021778ce2f108f83a"/>
    <w:p>
      <w:pPr>
        <w:pStyle w:val="Heading2"/>
      </w:pPr>
      <w:r>
        <w:t xml:space="preserve">Venture 4: COOLHAVEN, the heat-resilience network</w:t>
      </w:r>
    </w:p>
    <w:p>
      <w:pPr>
        <w:pStyle w:val="BlockText"/>
      </w:pPr>
      <w:r>
        <w:rPr>
          <w:b/>
          <w:bCs/>
        </w:rPr>
        <w:t xml:space="preserve">Thesis.</w:t>
      </w:r>
      <w:r>
        <w:t xml:space="preserve"> </w:t>
      </w:r>
      <w:r>
        <w:t xml:space="preserve">Extreme heat is becoming one of the deadliest climate hazards, and cooling is becoming an essential service. CoolHaven turns idle cool spaces (air-conditioned shops, banks, places of worship, offices, libraries) into a city-wide network of cooling refuges during heatwaves. Refuges are mapped and booked, and transport is dispatched for vulnerable people. CoolHaven also offers cooling-as-a-service for homes, clinics and schools: customers pay per unit of cooling instead of buying equipment.</w:t>
      </w:r>
    </w:p>
    <w:tbl>
      <w:tblPr>
        <w:tblStyle w:val="Table"/>
        <w:tblW w:w="9360" w:type="dxa"/>
        <w:jc w:val="left"/>
        <w:tblLayout w:type="fixed"/>
        <w:tblLook w:firstRow="1" w:lastRow="0" w:firstColumn="0" w:lastColumn="0" w:noHBand="0" w:noVBand="0" w:val="0020"/>
      </w:tblPr>
      <w:tblGrid>
        <w:gridCol w:w="1259"/>
        <w:gridCol w:w="8101"/>
      </w:tblGrid>
      <w:tr>
        <w:trPr>
          <w:cantSplit/>
          <w:tblHeader w:val="true"/>
        </w:trPr>
        <w:tc>
          <w:tcPr>
            <w:tcW w:w="1259" w:type="dxa"/>
          </w:tcPr>
          <w:p>
            <w:pPr>
              <w:pStyle w:val="TableText"/>
              <w:jc w:val="left"/>
            </w:pPr>
            <w:r>
              <w:t xml:space="preserve">Gene</w:t>
            </w:r>
          </w:p>
        </w:tc>
        <w:tc>
          <w:tcPr>
            <w:tcW w:w="8101" w:type="dxa"/>
          </w:tcPr>
          <w:p>
            <w:pPr>
              <w:pStyle w:val="TableText"/>
              <w:jc w:val="left"/>
            </w:pPr>
            <w:r>
              <w:t xml:space="preserve">Value</w:t>
            </w:r>
          </w:p>
        </w:tc>
      </w:tr>
      <w:tr>
        <w:trPr>
          <w:cantSplit/>
        </w:trPr>
        <w:tc>
          <w:tcPr>
            <w:tcW w:w="1259" w:type="dxa"/>
          </w:tcPr>
          <w:p>
            <w:pPr>
              <w:pStyle w:val="TableText"/>
              <w:jc w:val="left"/>
            </w:pPr>
            <w:r>
              <w:t xml:space="preserve">Problem domain</w:t>
            </w:r>
          </w:p>
        </w:tc>
        <w:tc>
          <w:tcPr>
            <w:tcW w:w="8101" w:type="dxa"/>
          </w:tcPr>
          <w:p>
            <w:pPr>
              <w:pStyle w:val="TableText"/>
              <w:jc w:val="left"/>
            </w:pPr>
            <w:r>
              <w:t xml:space="preserve">D4 Climate adaptation</w:t>
            </w:r>
          </w:p>
        </w:tc>
      </w:tr>
      <w:tr>
        <w:trPr>
          <w:cantSplit/>
        </w:trPr>
        <w:tc>
          <w:tcPr>
            <w:tcW w:w="1259" w:type="dxa"/>
          </w:tcPr>
          <w:p>
            <w:pPr>
              <w:pStyle w:val="TableText"/>
              <w:jc w:val="left"/>
            </w:pPr>
            <w:r>
              <w:t xml:space="preserve">Latent capacity</w:t>
            </w:r>
          </w:p>
        </w:tc>
        <w:tc>
          <w:tcPr>
            <w:tcW w:w="8101" w:type="dxa"/>
          </w:tcPr>
          <w:p>
            <w:pPr>
              <w:pStyle w:val="TableText"/>
              <w:jc w:val="left"/>
            </w:pPr>
            <w:r>
              <w:t xml:space="preserve">L3 idle cool space; L4 idle and inefficient cooling equipment; L5 idle transport; L11 community presence</w:t>
            </w:r>
          </w:p>
        </w:tc>
      </w:tr>
      <w:tr>
        <w:trPr>
          <w:cantSplit/>
        </w:trPr>
        <w:tc>
          <w:tcPr>
            <w:tcW w:w="1259" w:type="dxa"/>
          </w:tcPr>
          <w:p>
            <w:pPr>
              <w:pStyle w:val="TableText"/>
              <w:jc w:val="left"/>
            </w:pPr>
            <w:r>
              <w:t xml:space="preserve">Archetype</w:t>
            </w:r>
          </w:p>
        </w:tc>
        <w:tc>
          <w:tcPr>
            <w:tcW w:w="8101" w:type="dxa"/>
          </w:tcPr>
          <w:p>
            <w:pPr>
              <w:pStyle w:val="TableText"/>
              <w:jc w:val="left"/>
            </w:pPr>
            <w:r>
              <w:t xml:space="preserve">A2 idle-asset marketplace + A4 pooled access + A1 dispatch + A6 mutual (with Bastion’s heat cover)</w:t>
            </w:r>
          </w:p>
        </w:tc>
      </w:tr>
      <w:tr>
        <w:trPr>
          <w:cantSplit/>
        </w:trPr>
        <w:tc>
          <w:tcPr>
            <w:tcW w:w="1259" w:type="dxa"/>
          </w:tcPr>
          <w:p>
            <w:pPr>
              <w:pStyle w:val="TableText"/>
              <w:jc w:val="left"/>
            </w:pPr>
            <w:r>
              <w:t xml:space="preserve">Technology waves</w:t>
            </w:r>
          </w:p>
        </w:tc>
        <w:tc>
          <w:tcPr>
            <w:tcW w:w="8101" w:type="dxa"/>
          </w:tcPr>
          <w:p>
            <w:pPr>
              <w:pStyle w:val="TableText"/>
              <w:jc w:val="left"/>
            </w:pPr>
            <w:r>
              <w:t xml:space="preserve">T-e hyperlocal heat forecasting and sensors; T-g efficient cooling, solar and storage</w:t>
            </w:r>
          </w:p>
        </w:tc>
      </w:tr>
      <w:tr>
        <w:trPr>
          <w:cantSplit/>
        </w:trPr>
        <w:tc>
          <w:tcPr>
            <w:tcW w:w="1259" w:type="dxa"/>
          </w:tcPr>
          <w:p>
            <w:pPr>
              <w:pStyle w:val="TableText"/>
              <w:jc w:val="left"/>
            </w:pPr>
            <w:r>
              <w:t xml:space="preserve">Governance</w:t>
            </w:r>
          </w:p>
        </w:tc>
        <w:tc>
          <w:tcPr>
            <w:tcW w:w="8101" w:type="dxa"/>
          </w:tcPr>
          <w:p>
            <w:pPr>
              <w:pStyle w:val="TableText"/>
              <w:jc w:val="left"/>
            </w:pPr>
            <w:r>
              <w:t xml:space="preserve">Public–private–commons partnership</w:t>
            </w:r>
          </w:p>
        </w:tc>
      </w:tr>
      <w:tr>
        <w:trPr>
          <w:cantSplit/>
        </w:trPr>
        <w:tc>
          <w:tcPr>
            <w:tcW w:w="1259" w:type="dxa"/>
          </w:tcPr>
          <w:p>
            <w:pPr>
              <w:pStyle w:val="TableText"/>
              <w:jc w:val="left"/>
            </w:pPr>
            <w:r>
              <w:t xml:space="preserve">Foothold</w:t>
            </w:r>
          </w:p>
        </w:tc>
        <w:tc>
          <w:tcPr>
            <w:tcW w:w="8101" w:type="dxa"/>
          </w:tcPr>
          <w:p>
            <w:pPr>
              <w:pStyle w:val="TableText"/>
              <w:jc w:val="left"/>
            </w:pPr>
            <w:r>
              <w:t xml:space="preserve">Crisis window (heatwaves); non-consumption (people without air conditioning)</w:t>
            </w:r>
          </w:p>
        </w:tc>
      </w:tr>
    </w:tbl>
    <w:p>
      <w:pPr>
        <w:pStyle w:val="BodyText"/>
        <w:spacing w:before="160"/>
      </w:pPr>
      <w:r>
        <w:rPr>
          <w:b/>
          <w:bCs/>
        </w:rPr>
        <w:t xml:space="preserve">The new problem</w:t>
      </w:r>
    </w:p>
    <w:p>
      <w:pPr>
        <w:pStyle w:val="Compact"/>
        <w:numPr>
          <w:ilvl w:val="0"/>
          <w:numId w:val="1024"/>
        </w:numPr>
      </w:pPr>
      <w:r>
        <w:t xml:space="preserve">Heat-related deaths among people over 65 rose by 167% in 2023 compared with the 1990s, far above the 65% expected from population ageing alone (Lancet Countdown, 2024).</w:t>
      </w:r>
    </w:p>
    <w:p>
      <w:pPr>
        <w:pStyle w:val="Compact"/>
        <w:numPr>
          <w:ilvl w:val="0"/>
          <w:numId w:val="1024"/>
        </w:numPr>
      </w:pPr>
      <w:r>
        <w:t xml:space="preserve">The IEA has projected that energy demand for space cooling could triple by 2050. Without efficiency, cooling worsens grid peaks and emissions.</w:t>
      </w:r>
    </w:p>
    <w:p>
      <w:pPr>
        <w:pStyle w:val="Compact"/>
        <w:numPr>
          <w:ilvl w:val="0"/>
          <w:numId w:val="1024"/>
        </w:numPr>
      </w:pPr>
      <w:r>
        <w:t xml:space="preserve">Those most at risk (older people living alone, outdoor workers, people in informal housing) are least likely to own air conditioning.</w:t>
      </w:r>
    </w:p>
    <w:p>
      <w:pPr>
        <w:pStyle w:val="FirstParagraph"/>
      </w:pPr>
      <w:r>
        <w:rPr>
          <w:b/>
          <w:bCs/>
        </w:rPr>
        <w:t xml:space="preserve">Benchmarks: borrowed and inverted</w:t>
      </w:r>
    </w:p>
    <w:p>
      <w:pPr>
        <w:pStyle w:val="Compact"/>
        <w:numPr>
          <w:ilvl w:val="0"/>
          <w:numId w:val="1025"/>
        </w:numPr>
      </w:pPr>
      <w:r>
        <w:rPr>
          <w:b/>
          <w:bCs/>
        </w:rPr>
        <w:t xml:space="preserve">From Airbnb:</w:t>
      </w:r>
      <w:r>
        <w:t xml:space="preserve"> </w:t>
      </w:r>
      <w:r>
        <w:t xml:space="preserve">listing idle space, here cool rooms by the hour (extending the</w:t>
      </w:r>
      <w:r>
        <w:t xml:space="preserve"> </w:t>
      </w:r>
      <w:r>
        <w:t xml:space="preserve">“</w:t>
      </w:r>
      <w:r>
        <w:t xml:space="preserve">space</w:t>
      </w:r>
      <w:r>
        <w:t xml:space="preserve">”</w:t>
      </w:r>
      <w:r>
        <w:t xml:space="preserve"> </w:t>
      </w:r>
      <w:r>
        <w:t xml:space="preserve">sector of Volume I, Part VI).</w:t>
      </w:r>
    </w:p>
    <w:p>
      <w:pPr>
        <w:pStyle w:val="Compact"/>
        <w:numPr>
          <w:ilvl w:val="0"/>
          <w:numId w:val="1025"/>
        </w:numPr>
      </w:pPr>
      <w:r>
        <w:rPr>
          <w:b/>
          <w:bCs/>
        </w:rPr>
        <w:t xml:space="preserve">From Airbnb.org:</w:t>
      </w:r>
      <w:r>
        <w:t xml:space="preserve"> </w:t>
      </w:r>
      <w:r>
        <w:t xml:space="preserve">opening private space to the public in emergencies.</w:t>
      </w:r>
    </w:p>
    <w:p>
      <w:pPr>
        <w:pStyle w:val="Compact"/>
        <w:numPr>
          <w:ilvl w:val="0"/>
          <w:numId w:val="1025"/>
        </w:numPr>
      </w:pPr>
      <w:r>
        <w:rPr>
          <w:b/>
          <w:bCs/>
        </w:rPr>
        <w:t xml:space="preserve">From Uber:</w:t>
      </w:r>
      <w:r>
        <w:t xml:space="preserve"> </w:t>
      </w:r>
      <w:r>
        <w:t xml:space="preserve">dispatching transport to the people who need it most.</w:t>
      </w:r>
    </w:p>
    <w:p>
      <w:pPr>
        <w:pStyle w:val="Compact"/>
        <w:numPr>
          <w:ilvl w:val="0"/>
          <w:numId w:val="1025"/>
        </w:numPr>
      </w:pPr>
      <w:r>
        <w:rPr>
          <w:b/>
          <w:bCs/>
        </w:rPr>
        <w:t xml:space="preserve">Links</w:t>
      </w:r>
      <w:r>
        <w:t xml:space="preserve"> </w:t>
      </w:r>
      <w:r>
        <w:t xml:space="preserve">to KinGrid (finding isolated elders), Bastion (heat-income cover for outdoor workers) and FluxCommons (pre-cooling with solar and storage).</w:t>
      </w:r>
    </w:p>
    <w:p>
      <w:pPr>
        <w:pStyle w:val="Compact"/>
        <w:numPr>
          <w:ilvl w:val="0"/>
          <w:numId w:val="1025"/>
        </w:numPr>
      </w:pPr>
      <w:r>
        <w:rPr>
          <w:b/>
          <w:bCs/>
        </w:rPr>
        <w:t xml:space="preserve">Inverts:</w:t>
      </w:r>
      <w:r>
        <w:t xml:space="preserve"> </w:t>
      </w:r>
      <w:r>
        <w:t xml:space="preserve">cooling as a private luxury becomes cooling as a public-health commons.</w:t>
      </w:r>
    </w:p>
    <w:p>
      <w:pPr>
        <w:pStyle w:val="FirstParagraph"/>
      </w:pPr>
      <w:r>
        <w:rPr>
          <w:b/>
          <w:bCs/>
        </w:rPr>
        <w:t xml:space="preserve">How it works</w:t>
      </w:r>
    </w:p>
    <w:p>
      <w:pPr>
        <w:pStyle w:val="Compact"/>
        <w:numPr>
          <w:ilvl w:val="0"/>
          <w:numId w:val="1026"/>
        </w:numPr>
      </w:pPr>
      <w:r>
        <w:rPr>
          <w:b/>
          <w:bCs/>
        </w:rPr>
        <w:t xml:space="preserve">Forecast and alert.</w:t>
      </w:r>
      <w:r>
        <w:t xml:space="preserve"> </w:t>
      </w:r>
      <w:r>
        <w:t xml:space="preserve">Neighbourhood-level heat forecasts and heat-health warnings, delivered by SMS, voice and app.</w:t>
      </w:r>
    </w:p>
    <w:p>
      <w:pPr>
        <w:pStyle w:val="Compact"/>
        <w:numPr>
          <w:ilvl w:val="0"/>
          <w:numId w:val="1026"/>
        </w:numPr>
      </w:pPr>
      <w:r>
        <w:rPr>
          <w:b/>
          <w:bCs/>
        </w:rPr>
        <w:t xml:space="preserve">Cool-space hosts.</w:t>
      </w:r>
      <w:r>
        <w:t xml:space="preserve"> </w:t>
      </w:r>
      <w:r>
        <w:t xml:space="preserve">Businesses, faith sites, libraries and offices list cool capacity and hours. They earn fees, tax credits or recognition, and are insured.</w:t>
      </w:r>
    </w:p>
    <w:p>
      <w:pPr>
        <w:pStyle w:val="Compact"/>
        <w:numPr>
          <w:ilvl w:val="0"/>
          <w:numId w:val="1026"/>
        </w:numPr>
      </w:pPr>
      <w:r>
        <w:rPr>
          <w:b/>
          <w:bCs/>
        </w:rPr>
        <w:t xml:space="preserve">Vulnerable registry.</w:t>
      </w:r>
      <w:r>
        <w:t xml:space="preserve"> </w:t>
      </w:r>
      <w:r>
        <w:t xml:space="preserve">Older people (via KinGrid), outdoor workers, pregnant women and people with chronic illness receive alerts and reserved places.</w:t>
      </w:r>
    </w:p>
    <w:p>
      <w:pPr>
        <w:pStyle w:val="Compact"/>
        <w:numPr>
          <w:ilvl w:val="0"/>
          <w:numId w:val="1026"/>
        </w:numPr>
      </w:pPr>
      <w:r>
        <w:rPr>
          <w:b/>
          <w:bCs/>
        </w:rPr>
        <w:t xml:space="preserve">Transport.</w:t>
      </w:r>
      <w:r>
        <w:t xml:space="preserve"> </w:t>
      </w:r>
      <w:r>
        <w:t xml:space="preserve">Ride credits are dispatched to take people to refuges.</w:t>
      </w:r>
    </w:p>
    <w:p>
      <w:pPr>
        <w:pStyle w:val="Compact"/>
        <w:numPr>
          <w:ilvl w:val="0"/>
          <w:numId w:val="1026"/>
        </w:numPr>
      </w:pPr>
      <w:r>
        <w:rPr>
          <w:b/>
          <w:bCs/>
        </w:rPr>
        <w:t xml:space="preserve">Cooling-as-a-service.</w:t>
      </w:r>
      <w:r>
        <w:t xml:space="preserve"> </w:t>
      </w:r>
      <w:r>
        <w:t xml:space="preserve">Efficient fans, air conditioners and heat pumps are installed in homes, clinics and schools, paid per unit of cooling and maintained by trained technicians (Guildhall pathway). Solar and storage pre-cool buildings before the peak.</w:t>
      </w:r>
    </w:p>
    <w:p>
      <w:pPr>
        <w:pStyle w:val="Compact"/>
        <w:numPr>
          <w:ilvl w:val="0"/>
          <w:numId w:val="1026"/>
        </w:numPr>
      </w:pPr>
      <w:r>
        <w:rPr>
          <w:b/>
          <w:bCs/>
        </w:rPr>
        <w:t xml:space="preserve">Passive cooling.</w:t>
      </w:r>
      <w:r>
        <w:t xml:space="preserve"> </w:t>
      </w:r>
      <w:r>
        <w:t xml:space="preserve">Cool roofs, shading and ventilation retrofits are rewarded, because the cheapest cooling uses no electricity.</w:t>
      </w:r>
    </w:p>
    <w:p>
      <w:pPr>
        <w:pStyle w:val="Compact"/>
        <w:numPr>
          <w:ilvl w:val="0"/>
          <w:numId w:val="1026"/>
        </w:numPr>
      </w:pPr>
      <w:r>
        <w:rPr>
          <w:b/>
          <w:bCs/>
        </w:rPr>
        <w:t xml:space="preserve">Heat-income cover.</w:t>
      </w:r>
      <w:r>
        <w:t xml:space="preserve"> </w:t>
      </w:r>
      <w:r>
        <w:t xml:space="preserve">Outdoor workers get automatic payouts when heat thresholds stop work (with Bastion).</w:t>
      </w:r>
    </w:p>
    <w:p>
      <w:pPr>
        <w:pStyle w:val="CaptionedFigure"/>
      </w:pPr>
      <w:r>
        <w:drawing>
          <wp:inline>
            <wp:extent cx="4206240" cy="3156206"/>
            <wp:effectExtent b="0" l="0" r="0" t="0"/>
            <wp:docPr descr="Figure 6. CoolHaven: the heat-health loop and the cooling paradox." title="" id="56" name="Picture"/>
            <a:graphic>
              <a:graphicData uri="http://schemas.openxmlformats.org/drawingml/2006/picture">
                <pic:pic>
                  <pic:nvPicPr>
                    <pic:cNvPr descr="/tmp/claude-0/-home-user-Adekunle-Adeniji/db1110ee-95e2-549a-bb3a-dcca8fdc5e35/scratchpad/docx_build/img2_tb/diagram_3.png" id="57" name="Picture"/>
                    <pic:cNvPicPr>
                      <a:picLocks noChangeArrowheads="1" noChangeAspect="1"/>
                    </pic:cNvPicPr>
                  </pic:nvPicPr>
                  <pic:blipFill>
                    <a:blip r:embed="rId55"/>
                    <a:stretch>
                      <a:fillRect/>
                    </a:stretch>
                  </pic:blipFill>
                  <pic:spPr bwMode="auto">
                    <a:xfrm>
                      <a:off x="0" y="0"/>
                      <a:ext cx="4206240" cy="3156206"/>
                    </a:xfrm>
                    <a:prstGeom prst="rect">
                      <a:avLst/>
                    </a:prstGeom>
                    <a:noFill/>
                    <a:ln w="9525">
                      <a:noFill/>
                      <a:headEnd/>
                      <a:tailEnd/>
                    </a:ln>
                  </pic:spPr>
                </pic:pic>
              </a:graphicData>
            </a:graphic>
          </wp:inline>
        </w:drawing>
      </w:r>
    </w:p>
    <w:p>
      <w:pPr>
        <w:pStyle w:val="ImageCaption"/>
      </w:pPr>
      <w:r>
        <w:t xml:space="preserve">Figure 6. CoolHaven: the heat-health loop and the cooling paradox.</w:t>
      </w:r>
    </w:p>
    <w:p>
      <w:pPr>
        <w:pStyle w:val="BodyText"/>
      </w:pPr>
      <w:r>
        <w:rPr>
          <w:b/>
          <w:bCs/>
        </w:rPr>
        <w:t xml:space="preserve">System dynamics</w:t>
      </w:r>
    </w:p>
    <w:p>
      <w:pPr>
        <w:pStyle w:val="Compact"/>
        <w:numPr>
          <w:ilvl w:val="0"/>
          <w:numId w:val="1027"/>
        </w:numPr>
      </w:pPr>
      <w:r>
        <w:rPr>
          <w:b/>
          <w:bCs/>
        </w:rPr>
        <w:t xml:space="preserve">R1, the heat-health loop:</w:t>
      </w:r>
      <w:r>
        <w:t xml:space="preserve"> </w:t>
      </w:r>
      <w:r>
        <w:t xml:space="preserve">refuges and home cooling → avoided illness and costs → public and insurer funding → more cooling capacity.</w:t>
      </w:r>
    </w:p>
    <w:p>
      <w:pPr>
        <w:pStyle w:val="Compact"/>
        <w:numPr>
          <w:ilvl w:val="0"/>
          <w:numId w:val="1027"/>
        </w:numPr>
      </w:pPr>
      <w:r>
        <w:rPr>
          <w:b/>
          <w:bCs/>
        </w:rPr>
        <w:t xml:space="preserve">R2, the cooling paradox (vicious loop):</w:t>
      </w:r>
      <w:r>
        <w:t xml:space="preserve"> </w:t>
      </w:r>
      <w:r>
        <w:t xml:space="preserve">more cooling → higher peak electricity demand → more emissions → more heat in the long run. CoolHaven must break this loop with efficient equipment, solar pre-cooling and passive retrofits.</w:t>
      </w:r>
    </w:p>
    <w:p>
      <w:pPr>
        <w:pStyle w:val="Compact"/>
        <w:numPr>
          <w:ilvl w:val="0"/>
          <w:numId w:val="1027"/>
        </w:numPr>
      </w:pPr>
      <w:r>
        <w:rPr>
          <w:b/>
          <w:bCs/>
        </w:rPr>
        <w:t xml:space="preserve">B1, host fatigue:</w:t>
      </w:r>
      <w:r>
        <w:t xml:space="preserve"> </w:t>
      </w:r>
      <w:r>
        <w:t xml:space="preserve">hosts withdraw if costs or risks rise; fair compensation and insurance contain this.</w:t>
      </w:r>
    </w:p>
    <w:p>
      <w:pPr>
        <w:pStyle w:val="Compact"/>
        <w:numPr>
          <w:ilvl w:val="0"/>
          <w:numId w:val="1027"/>
        </w:numPr>
      </w:pPr>
      <w:r>
        <w:rPr>
          <w:b/>
          <w:bCs/>
        </w:rPr>
        <w:t xml:space="preserve">Leverage point:</w:t>
      </w:r>
      <w:r>
        <w:t xml:space="preserve"> </w:t>
      </w:r>
      <w:r>
        <w:t xml:space="preserve">delays (hours of warning matter), rules (heat codes and cooling standards) and paradigm (cooling as a right).</w:t>
      </w:r>
    </w:p>
    <w:p>
      <w:pPr>
        <w:pStyle w:val="FirstParagraph"/>
      </w:pPr>
      <w:r>
        <w:rPr>
          <w:b/>
          <w:bCs/>
        </w:rPr>
        <w:t xml:space="preserve">Design thinking</w:t>
      </w:r>
    </w:p>
    <w:p>
      <w:pPr>
        <w:pStyle w:val="Compact"/>
        <w:numPr>
          <w:ilvl w:val="0"/>
          <w:numId w:val="1028"/>
        </w:numPr>
      </w:pPr>
      <w:r>
        <w:rPr>
          <w:i/>
          <w:iCs/>
        </w:rPr>
        <w:t xml:space="preserve">Personas:</w:t>
      </w:r>
      <w:r>
        <w:t xml:space="preserve"> </w:t>
      </w:r>
      <w:r>
        <w:rPr>
          <w:b/>
          <w:bCs/>
        </w:rPr>
        <w:t xml:space="preserve">Iya Bisi</w:t>
      </w:r>
      <w:r>
        <w:t xml:space="preserve">, 76, in Ibadan, alone in a hot room.</w:t>
      </w:r>
      <w:r>
        <w:t xml:space="preserve"> </w:t>
      </w:r>
      <w:r>
        <w:rPr>
          <w:b/>
          <w:bCs/>
        </w:rPr>
        <w:t xml:space="preserve">Rahul</w:t>
      </w:r>
      <w:r>
        <w:t xml:space="preserve">, 34, a delivery rider in Delhi.</w:t>
      </w:r>
      <w:r>
        <w:t xml:space="preserve"> </w:t>
      </w:r>
      <w:r>
        <w:rPr>
          <w:b/>
          <w:bCs/>
        </w:rPr>
        <w:t xml:space="preserve">Pastor Femi</w:t>
      </w:r>
      <w:r>
        <w:t xml:space="preserve">, whose church hall has air conditioning but sits empty on weekdays.</w:t>
      </w:r>
    </w:p>
    <w:p>
      <w:pPr>
        <w:pStyle w:val="Compact"/>
        <w:numPr>
          <w:ilvl w:val="0"/>
          <w:numId w:val="1028"/>
        </w:numPr>
      </w:pPr>
      <w:r>
        <w:rPr>
          <w:i/>
          <w:iCs/>
        </w:rPr>
        <w:t xml:space="preserve">How might</w:t>
      </w:r>
      <w:r>
        <w:t xml:space="preserve"> </w:t>
      </w:r>
      <w:r>
        <w:t xml:space="preserve">no one die alone in the heat?</w:t>
      </w:r>
    </w:p>
    <w:p>
      <w:pPr>
        <w:pStyle w:val="Compact"/>
        <w:numPr>
          <w:ilvl w:val="0"/>
          <w:numId w:val="1028"/>
        </w:numPr>
      </w:pPr>
      <w:r>
        <w:rPr>
          <w:i/>
          <w:iCs/>
        </w:rPr>
        <w:t xml:space="preserve">Moment of truth:</w:t>
      </w:r>
      <w:r>
        <w:t xml:space="preserve"> </w:t>
      </w:r>
      <w:r>
        <w:t xml:space="preserve">a heat alert at 9 a.m.; by noon Iya Bisi is in the cool church hall with water and company, collected by a booked ride.</w:t>
      </w:r>
    </w:p>
    <w:p>
      <w:pPr>
        <w:pStyle w:val="FirstParagraph"/>
      </w:pPr>
      <w:r>
        <w:rPr>
          <w:b/>
          <w:bCs/>
        </w:rPr>
        <w:t xml:space="preserve">Business and ownership model.</w:t>
      </w:r>
      <w:r>
        <w:t xml:space="preserve"> </w:t>
      </w:r>
      <w:r>
        <w:t xml:space="preserve">Municipal and health-system contracts (per refuge-hour and per vulnerable person enrolled); host payments funded by cities and insurers; cooling-as-a-service subscriptions; efficiency and carbon credits where credible; insurer partnerships.</w:t>
      </w:r>
    </w:p>
    <w:p>
      <w:pPr>
        <w:pStyle w:val="BodyText"/>
      </w:pPr>
      <w:r>
        <w:rPr>
          <w:b/>
          <w:bCs/>
        </w:rPr>
        <w:t xml:space="preserve">Future potential</w:t>
      </w:r>
    </w:p>
    <w:tbl>
      <w:tblPr>
        <w:tblStyle w:val="Table"/>
        <w:tblW w:w="9360" w:type="dxa"/>
        <w:jc w:val="left"/>
        <w:tblLayout w:type="fixed"/>
        <w:tblLook w:firstRow="1" w:lastRow="0" w:firstColumn="0" w:lastColumn="0" w:noHBand="0" w:noVBand="0" w:val="0020"/>
      </w:tblPr>
      <w:tblGrid>
        <w:gridCol w:w="1029"/>
        <w:gridCol w:w="8331"/>
      </w:tblGrid>
      <w:tr>
        <w:trPr>
          <w:cantSplit/>
          <w:tblHeader w:val="true"/>
        </w:trPr>
        <w:tc>
          <w:tcPr>
            <w:tcW w:w="1029" w:type="dxa"/>
          </w:tcPr>
          <w:p>
            <w:pPr>
              <w:pStyle w:val="TableText"/>
              <w:jc w:val="left"/>
            </w:pPr>
            <w:r>
              <w:t xml:space="preserve">Horizon</w:t>
            </w:r>
          </w:p>
        </w:tc>
        <w:tc>
          <w:tcPr>
            <w:tcW w:w="8331" w:type="dxa"/>
          </w:tcPr>
          <w:p>
            <w:pPr>
              <w:pStyle w:val="TableText"/>
              <w:jc w:val="left"/>
            </w:pPr>
            <w:r>
              <w:t xml:space="preserve">What it becomes</w:t>
            </w:r>
          </w:p>
        </w:tc>
      </w:tr>
      <w:tr>
        <w:trPr>
          <w:cantSplit/>
        </w:trPr>
        <w:tc>
          <w:tcPr>
            <w:tcW w:w="1029" w:type="dxa"/>
          </w:tcPr>
          <w:p>
            <w:pPr>
              <w:pStyle w:val="TableText"/>
              <w:jc w:val="left"/>
            </w:pPr>
            <w:r>
              <w:t xml:space="preserve">2030</w:t>
            </w:r>
          </w:p>
        </w:tc>
        <w:tc>
          <w:tcPr>
            <w:tcW w:w="8331" w:type="dxa"/>
          </w:tcPr>
          <w:p>
            <w:pPr>
              <w:pStyle w:val="TableText"/>
              <w:jc w:val="left"/>
            </w:pPr>
            <w:r>
              <w:t xml:space="preserve">Heat-refuge networks in ten cities; cooling-as-a-service for tens of thousands of homes and clinics</w:t>
            </w:r>
          </w:p>
        </w:tc>
      </w:tr>
      <w:tr>
        <w:trPr>
          <w:cantSplit/>
        </w:trPr>
        <w:tc>
          <w:tcPr>
            <w:tcW w:w="1029" w:type="dxa"/>
          </w:tcPr>
          <w:p>
            <w:pPr>
              <w:pStyle w:val="TableText"/>
              <w:jc w:val="left"/>
            </w:pPr>
            <w:r>
              <w:t xml:space="preserve">2035</w:t>
            </w:r>
          </w:p>
        </w:tc>
        <w:tc>
          <w:tcPr>
            <w:tcW w:w="8331" w:type="dxa"/>
          </w:tcPr>
          <w:p>
            <w:pPr>
              <w:pStyle w:val="TableText"/>
              <w:jc w:val="left"/>
            </w:pPr>
            <w:r>
              <w:t xml:space="preserve">Heat-safe city standards adopted by governments; millions of homes on efficient cooling</w:t>
            </w:r>
          </w:p>
        </w:tc>
      </w:tr>
      <w:tr>
        <w:trPr>
          <w:cantSplit/>
        </w:trPr>
        <w:tc>
          <w:tcPr>
            <w:tcW w:w="1029" w:type="dxa"/>
          </w:tcPr>
          <w:p>
            <w:pPr>
              <w:pStyle w:val="TableText"/>
              <w:jc w:val="left"/>
            </w:pPr>
            <w:r>
              <w:t xml:space="preserve">2040–2050</w:t>
            </w:r>
          </w:p>
        </w:tc>
        <w:tc>
          <w:tcPr>
            <w:tcW w:w="8331" w:type="dxa"/>
          </w:tcPr>
          <w:p>
            <w:pPr>
              <w:pStyle w:val="TableText"/>
              <w:jc w:val="left"/>
            </w:pPr>
            <w:r>
              <w:t xml:space="preserve">Heat resilience built into urban design (with Hearth); heat deaths sharply reduced in served cities</w:t>
            </w:r>
          </w:p>
        </w:tc>
      </w:tr>
    </w:tbl>
    <w:p/>
    <w:tbl>
      <w:tblPr>
        <w:tblStyle w:val="Table"/>
        <w:tblW w:w="9360" w:type="dxa"/>
        <w:jc w:val="left"/>
        <w:tblLayout w:type="fixed"/>
        <w:tblLook w:firstRow="1" w:lastRow="0" w:firstColumn="0" w:lastColumn="0" w:noHBand="0" w:noVBand="0" w:val="0020"/>
      </w:tblPr>
      <w:tblGrid>
        <w:gridCol w:w="2311"/>
        <w:gridCol w:w="7049"/>
      </w:tblGrid>
      <w:tr>
        <w:trPr>
          <w:cantSplit/>
          <w:tblHeader w:val="true"/>
        </w:trPr>
        <w:tc>
          <w:tcPr>
            <w:tcW w:w="2311" w:type="dxa"/>
          </w:tcPr>
          <w:p>
            <w:pPr>
              <w:pStyle w:val="TableText"/>
              <w:jc w:val="left"/>
            </w:pPr>
            <w:r>
              <w:t xml:space="preserve">Risk</w:t>
            </w:r>
          </w:p>
        </w:tc>
        <w:tc>
          <w:tcPr>
            <w:tcW w:w="7049" w:type="dxa"/>
          </w:tcPr>
          <w:p>
            <w:pPr>
              <w:pStyle w:val="TableText"/>
              <w:jc w:val="left"/>
            </w:pPr>
            <w:r>
              <w:t xml:space="preserve">Safeguard</w:t>
            </w:r>
          </w:p>
        </w:tc>
      </w:tr>
      <w:tr>
        <w:trPr>
          <w:cantSplit/>
        </w:trPr>
        <w:tc>
          <w:tcPr>
            <w:tcW w:w="2311" w:type="dxa"/>
          </w:tcPr>
          <w:p>
            <w:pPr>
              <w:pStyle w:val="TableText"/>
              <w:jc w:val="left"/>
            </w:pPr>
            <w:r>
              <w:t xml:space="preserve">Grid stress</w:t>
            </w:r>
          </w:p>
        </w:tc>
        <w:tc>
          <w:tcPr>
            <w:tcW w:w="7049" w:type="dxa"/>
          </w:tcPr>
          <w:p>
            <w:pPr>
              <w:pStyle w:val="TableText"/>
              <w:jc w:val="left"/>
            </w:pPr>
            <w:r>
              <w:t xml:space="preserve">Efficiency standards; solar pre-cooling; demand response (FluxCommons)</w:t>
            </w:r>
          </w:p>
        </w:tc>
      </w:tr>
      <w:tr>
        <w:trPr>
          <w:cantSplit/>
        </w:trPr>
        <w:tc>
          <w:tcPr>
            <w:tcW w:w="2311" w:type="dxa"/>
          </w:tcPr>
          <w:p>
            <w:pPr>
              <w:pStyle w:val="TableText"/>
              <w:jc w:val="left"/>
            </w:pPr>
            <w:r>
              <w:t xml:space="preserve">Host liability</w:t>
            </w:r>
          </w:p>
        </w:tc>
        <w:tc>
          <w:tcPr>
            <w:tcW w:w="7049" w:type="dxa"/>
          </w:tcPr>
          <w:p>
            <w:pPr>
              <w:pStyle w:val="TableText"/>
              <w:jc w:val="left"/>
            </w:pPr>
            <w:r>
              <w:t xml:space="preserve">Insurance; trained volunteers; clear protocols</w:t>
            </w:r>
          </w:p>
        </w:tc>
      </w:tr>
      <w:tr>
        <w:trPr>
          <w:cantSplit/>
        </w:trPr>
        <w:tc>
          <w:tcPr>
            <w:tcW w:w="2311" w:type="dxa"/>
          </w:tcPr>
          <w:p>
            <w:pPr>
              <w:pStyle w:val="TableText"/>
              <w:jc w:val="left"/>
            </w:pPr>
            <w:r>
              <w:t xml:space="preserve">Missing the most isolated</w:t>
            </w:r>
          </w:p>
        </w:tc>
        <w:tc>
          <w:tcPr>
            <w:tcW w:w="7049" w:type="dxa"/>
          </w:tcPr>
          <w:p>
            <w:pPr>
              <w:pStyle w:val="TableText"/>
              <w:jc w:val="left"/>
            </w:pPr>
            <w:r>
              <w:t xml:space="preserve">Outreach through community health workers and KinGrid circles</w:t>
            </w:r>
          </w:p>
        </w:tc>
      </w:tr>
      <w:tr>
        <w:trPr>
          <w:cantSplit/>
        </w:trPr>
        <w:tc>
          <w:tcPr>
            <w:tcW w:w="2311" w:type="dxa"/>
          </w:tcPr>
          <w:p>
            <w:pPr>
              <w:pStyle w:val="TableText"/>
              <w:jc w:val="left"/>
            </w:pPr>
            <w:r>
              <w:t xml:space="preserve">Equipment cost</w:t>
            </w:r>
          </w:p>
        </w:tc>
        <w:tc>
          <w:tcPr>
            <w:tcW w:w="7049" w:type="dxa"/>
          </w:tcPr>
          <w:p>
            <w:pPr>
              <w:pStyle w:val="TableText"/>
              <w:jc w:val="left"/>
            </w:pPr>
            <w:r>
              <w:t xml:space="preserve">Pay-per-use financing; bulk procurement</w:t>
            </w:r>
          </w:p>
        </w:tc>
      </w:tr>
    </w:tbl>
    <w:p>
      <w:pPr>
        <w:pStyle w:val="BodyText"/>
        <w:spacing w:before="160"/>
      </w:pPr>
      <w:r>
        <w:rPr>
          <w:b/>
          <w:bCs/>
        </w:rPr>
        <w:t xml:space="preserve">First 100 days.</w:t>
      </w:r>
      <w:r>
        <w:t xml:space="preserve"> </w:t>
      </w:r>
      <w:r>
        <w:t xml:space="preserve">One city in heat season; 50 host spaces; 500 registered vulnerable people; transport credits; measure heat-related emergency visits against a comparison area.</w:t>
      </w:r>
    </w:p>
    <w:p>
      <w:pPr>
        <w:pStyle w:val="BodyText"/>
      </w:pPr>
      <w:r>
        <w:rPr>
          <w:b/>
          <w:bCs/>
        </w:rPr>
        <w:t xml:space="preserve">Double Decagon score: 84/100 (future-fit).</w:t>
      </w:r>
      <w:r>
        <w:t xml:space="preserve"> </w:t>
      </w:r>
      <w:r>
        <w:t xml:space="preserve">Inner Decagon 44/50 (V1 5 · V2 4 · V3 4 · V4 4 · V5 4 · V6 4 · V7 5 · V8 5 · V9 5 · V10 4). Future-Fitness 40/50 (F1 3 · F2 4 · F3 5 · F4 4 · F5 4 · F6 4 · F7 4 · F8 4 · F9 5 · F10 3).</w:t>
      </w:r>
    </w:p>
    <w:bookmarkEnd w:id="58"/>
    <w:bookmarkStart w:id="59" w:name="X1438be0da9007e87cbe654e1a278d65ddf05252"/>
    <w:p>
      <w:pPr>
        <w:pStyle w:val="Heading2"/>
      </w:pPr>
      <w:r>
        <w:t xml:space="preserve">Venture 5: SECONDCELL, the second-life battery and critical-minerals network</w:t>
      </w:r>
    </w:p>
    <w:p>
      <w:pPr>
        <w:pStyle w:val="BlockText"/>
      </w:pPr>
      <w:r>
        <w:rPr>
          <w:b/>
          <w:bCs/>
        </w:rPr>
        <w:t xml:space="preserve">Thesis.</w:t>
      </w:r>
      <w:r>
        <w:t xml:space="preserve"> </w:t>
      </w:r>
      <w:r>
        <w:t xml:space="preserve">The electric-vehicle boom will produce a wave of retired batteries that still hold most of their capacity. Meanwhile, about 600 million people in sub-Saharan Africa have no electricity. SecondCell grades, certifies and redeploys retired batteries as storage for clinics, schools, shops and mini-grids, then guarantees their take-back for recycling. Digital battery passports make every cell traceable, so the Global South becomes a partner in circularity, not a dumping ground.</w:t>
      </w:r>
    </w:p>
    <w:tbl>
      <w:tblPr>
        <w:tblStyle w:val="Table"/>
        <w:tblW w:w="9360" w:type="dxa"/>
        <w:jc w:val="left"/>
        <w:tblLayout w:type="fixed"/>
        <w:tblLook w:firstRow="1" w:lastRow="0" w:firstColumn="0" w:lastColumn="0" w:noHBand="0" w:noVBand="0" w:val="0020"/>
      </w:tblPr>
      <w:tblGrid>
        <w:gridCol w:w="1179"/>
        <w:gridCol w:w="8181"/>
      </w:tblGrid>
      <w:tr>
        <w:trPr>
          <w:cantSplit/>
          <w:tblHeader w:val="true"/>
        </w:trPr>
        <w:tc>
          <w:tcPr>
            <w:tcW w:w="1179" w:type="dxa"/>
          </w:tcPr>
          <w:p>
            <w:pPr>
              <w:pStyle w:val="TableText"/>
              <w:jc w:val="left"/>
            </w:pPr>
            <w:r>
              <w:t xml:space="preserve">Gene</w:t>
            </w:r>
          </w:p>
        </w:tc>
        <w:tc>
          <w:tcPr>
            <w:tcW w:w="8181" w:type="dxa"/>
          </w:tcPr>
          <w:p>
            <w:pPr>
              <w:pStyle w:val="TableText"/>
              <w:jc w:val="left"/>
            </w:pPr>
            <w:r>
              <w:t xml:space="preserve">Value</w:t>
            </w:r>
          </w:p>
        </w:tc>
      </w:tr>
      <w:tr>
        <w:trPr>
          <w:cantSplit/>
        </w:trPr>
        <w:tc>
          <w:tcPr>
            <w:tcW w:w="1179" w:type="dxa"/>
          </w:tcPr>
          <w:p>
            <w:pPr>
              <w:pStyle w:val="TableText"/>
              <w:jc w:val="left"/>
            </w:pPr>
            <w:r>
              <w:t xml:space="preserve">Problem domain</w:t>
            </w:r>
          </w:p>
        </w:tc>
        <w:tc>
          <w:tcPr>
            <w:tcW w:w="8181" w:type="dxa"/>
          </w:tcPr>
          <w:p>
            <w:pPr>
              <w:pStyle w:val="TableText"/>
              <w:jc w:val="left"/>
            </w:pPr>
            <w:r>
              <w:t xml:space="preserve">D5 Energy and materials</w:t>
            </w:r>
          </w:p>
        </w:tc>
      </w:tr>
      <w:tr>
        <w:trPr>
          <w:cantSplit/>
        </w:trPr>
        <w:tc>
          <w:tcPr>
            <w:tcW w:w="1179" w:type="dxa"/>
          </w:tcPr>
          <w:p>
            <w:pPr>
              <w:pStyle w:val="TableText"/>
              <w:jc w:val="left"/>
            </w:pPr>
            <w:r>
              <w:t xml:space="preserve">Latent capacity</w:t>
            </w:r>
          </w:p>
        </w:tc>
        <w:tc>
          <w:tcPr>
            <w:tcW w:w="8181" w:type="dxa"/>
          </w:tcPr>
          <w:p>
            <w:pPr>
              <w:pStyle w:val="TableText"/>
              <w:jc w:val="left"/>
            </w:pPr>
            <w:r>
              <w:t xml:space="preserve">L12 end-of-life value (batteries with 70–80% capacity left); L6 idle solar energy</w:t>
            </w:r>
          </w:p>
        </w:tc>
      </w:tr>
      <w:tr>
        <w:trPr>
          <w:cantSplit/>
        </w:trPr>
        <w:tc>
          <w:tcPr>
            <w:tcW w:w="1179" w:type="dxa"/>
          </w:tcPr>
          <w:p>
            <w:pPr>
              <w:pStyle w:val="TableText"/>
              <w:jc w:val="left"/>
            </w:pPr>
            <w:r>
              <w:t xml:space="preserve">Archetype</w:t>
            </w:r>
          </w:p>
        </w:tc>
        <w:tc>
          <w:tcPr>
            <w:tcW w:w="8181" w:type="dxa"/>
          </w:tcPr>
          <w:p>
            <w:pPr>
              <w:pStyle w:val="TableText"/>
              <w:jc w:val="left"/>
            </w:pPr>
            <w:r>
              <w:t xml:space="preserve">A2 idle-asset marketplace + A4 pooled access (battery-as-a-service) + A8 protocol (passports)</w:t>
            </w:r>
          </w:p>
        </w:tc>
      </w:tr>
      <w:tr>
        <w:trPr>
          <w:cantSplit/>
        </w:trPr>
        <w:tc>
          <w:tcPr>
            <w:tcW w:w="1179" w:type="dxa"/>
          </w:tcPr>
          <w:p>
            <w:pPr>
              <w:pStyle w:val="TableText"/>
              <w:jc w:val="left"/>
            </w:pPr>
            <w:r>
              <w:t xml:space="preserve">Technology waves</w:t>
            </w:r>
          </w:p>
        </w:tc>
        <w:tc>
          <w:tcPr>
            <w:tcW w:w="8181" w:type="dxa"/>
          </w:tcPr>
          <w:p>
            <w:pPr>
              <w:pStyle w:val="TableText"/>
              <w:jc w:val="left"/>
            </w:pPr>
            <w:r>
              <w:t xml:space="preserve">T-g clean energy and storage; T-f digital twins and AI diagnostics; T-c verifiable credentials (battery passports)</w:t>
            </w:r>
          </w:p>
        </w:tc>
      </w:tr>
      <w:tr>
        <w:trPr>
          <w:cantSplit/>
        </w:trPr>
        <w:tc>
          <w:tcPr>
            <w:tcW w:w="1179" w:type="dxa"/>
          </w:tcPr>
          <w:p>
            <w:pPr>
              <w:pStyle w:val="TableText"/>
              <w:jc w:val="left"/>
            </w:pPr>
            <w:r>
              <w:t xml:space="preserve">Governance</w:t>
            </w:r>
          </w:p>
        </w:tc>
        <w:tc>
          <w:tcPr>
            <w:tcW w:w="8181" w:type="dxa"/>
          </w:tcPr>
          <w:p>
            <w:pPr>
              <w:pStyle w:val="TableText"/>
              <w:jc w:val="left"/>
            </w:pPr>
            <w:r>
              <w:t xml:space="preserve">Steward-owned company; cooperative distribution partners</w:t>
            </w:r>
          </w:p>
        </w:tc>
      </w:tr>
      <w:tr>
        <w:trPr>
          <w:cantSplit/>
        </w:trPr>
        <w:tc>
          <w:tcPr>
            <w:tcW w:w="1179" w:type="dxa"/>
          </w:tcPr>
          <w:p>
            <w:pPr>
              <w:pStyle w:val="TableText"/>
              <w:jc w:val="left"/>
            </w:pPr>
            <w:r>
              <w:t xml:space="preserve">Foothold</w:t>
            </w:r>
          </w:p>
        </w:tc>
        <w:tc>
          <w:tcPr>
            <w:tcW w:w="8181" w:type="dxa"/>
          </w:tcPr>
          <w:p>
            <w:pPr>
              <w:pStyle w:val="TableText"/>
              <w:jc w:val="left"/>
            </w:pPr>
            <w:r>
              <w:t xml:space="preserve">Regulatory window (EU battery passports from 2027); Global South leapfrog</w:t>
            </w:r>
          </w:p>
        </w:tc>
      </w:tr>
    </w:tbl>
    <w:p>
      <w:pPr>
        <w:pStyle w:val="BodyText"/>
        <w:spacing w:before="160"/>
      </w:pPr>
      <w:r>
        <w:rPr>
          <w:b/>
          <w:bCs/>
        </w:rPr>
        <w:t xml:space="preserve">The new problem</w:t>
      </w:r>
    </w:p>
    <w:p>
      <w:pPr>
        <w:pStyle w:val="Compact"/>
        <w:numPr>
          <w:ilvl w:val="0"/>
          <w:numId w:val="1029"/>
        </w:numPr>
      </w:pPr>
      <w:r>
        <w:t xml:space="preserve">About 730 million people lacked electricity in 2024, roughly 600 million of them in sub-Saharan Africa (IEA).</w:t>
      </w:r>
    </w:p>
    <w:p>
      <w:pPr>
        <w:pStyle w:val="Compact"/>
        <w:numPr>
          <w:ilvl w:val="0"/>
          <w:numId w:val="1029"/>
        </w:numPr>
      </w:pPr>
      <w:r>
        <w:t xml:space="preserve">Electric car sales passed 20 million in 2025. Estimates of retired EV battery capacity available for reuse by 2030 range from about 100 to over 300 GWh a year.</w:t>
      </w:r>
    </w:p>
    <w:p>
      <w:pPr>
        <w:pStyle w:val="Compact"/>
        <w:numPr>
          <w:ilvl w:val="0"/>
          <w:numId w:val="1029"/>
        </w:numPr>
      </w:pPr>
      <w:r>
        <w:t xml:space="preserve">EU battery rules require a digital battery passport for EV and industrial batteries from February 2027, alongside recycled-content and collection targets.</w:t>
      </w:r>
    </w:p>
    <w:p>
      <w:pPr>
        <w:pStyle w:val="Compact"/>
        <w:numPr>
          <w:ilvl w:val="0"/>
          <w:numId w:val="1029"/>
        </w:numPr>
      </w:pPr>
      <w:r>
        <w:t xml:space="preserve">Without care, retired batteries become hazardous waste exported to countries least able to handle it. The Basel Convention governs cross-border movement of hazardous waste.</w:t>
      </w:r>
    </w:p>
    <w:p>
      <w:pPr>
        <w:pStyle w:val="FirstParagraph"/>
      </w:pPr>
      <w:r>
        <w:rPr>
          <w:b/>
          <w:bCs/>
        </w:rPr>
        <w:t xml:space="preserve">Benchmarks: borrowed and inverted</w:t>
      </w:r>
    </w:p>
    <w:p>
      <w:pPr>
        <w:pStyle w:val="Compact"/>
        <w:numPr>
          <w:ilvl w:val="0"/>
          <w:numId w:val="1030"/>
        </w:numPr>
      </w:pPr>
      <w:r>
        <w:rPr>
          <w:b/>
          <w:bCs/>
        </w:rPr>
        <w:t xml:space="preserve">From Airbnb:</w:t>
      </w:r>
      <w:r>
        <w:t xml:space="preserve"> </w:t>
      </w:r>
      <w:r>
        <w:t xml:space="preserve">an idle asset (a retired battery) becomes valuable inventory once it is trusted.</w:t>
      </w:r>
    </w:p>
    <w:p>
      <w:pPr>
        <w:pStyle w:val="Compact"/>
        <w:numPr>
          <w:ilvl w:val="0"/>
          <w:numId w:val="1030"/>
        </w:numPr>
      </w:pPr>
      <w:r>
        <w:rPr>
          <w:b/>
          <w:bCs/>
        </w:rPr>
        <w:t xml:space="preserve">From pay-as-you-go solar</w:t>
      </w:r>
      <w:r>
        <w:t xml:space="preserve"> </w:t>
      </w:r>
      <w:r>
        <w:t xml:space="preserve">(Volume I, Part VI): access without ownership.</w:t>
      </w:r>
    </w:p>
    <w:p>
      <w:pPr>
        <w:pStyle w:val="Compact"/>
        <w:numPr>
          <w:ilvl w:val="0"/>
          <w:numId w:val="1030"/>
        </w:numPr>
      </w:pPr>
      <w:r>
        <w:rPr>
          <w:b/>
          <w:bCs/>
        </w:rPr>
        <w:t xml:space="preserve">From Uber Freight:</w:t>
      </w:r>
      <w:r>
        <w:t xml:space="preserve"> </w:t>
      </w:r>
      <w:r>
        <w:t xml:space="preserve">reverse logistics and backhaul.</w:t>
      </w:r>
    </w:p>
    <w:p>
      <w:pPr>
        <w:pStyle w:val="Compact"/>
        <w:numPr>
          <w:ilvl w:val="0"/>
          <w:numId w:val="1030"/>
        </w:numPr>
      </w:pPr>
      <w:r>
        <w:rPr>
          <w:b/>
          <w:bCs/>
        </w:rPr>
        <w:t xml:space="preserve">Links</w:t>
      </w:r>
      <w:r>
        <w:t xml:space="preserve"> </w:t>
      </w:r>
      <w:r>
        <w:t xml:space="preserve">to FluxCommons (storage and flexibility), HarvestGrid (cold rooms), RemoteHands and PartsGrid (power for hubs and workshops).</w:t>
      </w:r>
    </w:p>
    <w:p>
      <w:pPr>
        <w:pStyle w:val="Compact"/>
        <w:numPr>
          <w:ilvl w:val="0"/>
          <w:numId w:val="1030"/>
        </w:numPr>
      </w:pPr>
      <w:r>
        <w:rPr>
          <w:b/>
          <w:bCs/>
        </w:rPr>
        <w:t xml:space="preserve">Inverts:</w:t>
      </w:r>
      <w:r>
        <w:t xml:space="preserve"> </w:t>
      </w:r>
      <w:r>
        <w:t xml:space="preserve">the Global South as a valued circularity partner with take-back guarantees, not a dumping ground.</w:t>
      </w:r>
    </w:p>
    <w:p>
      <w:pPr>
        <w:pStyle w:val="FirstParagraph"/>
      </w:pPr>
      <w:r>
        <w:rPr>
          <w:b/>
          <w:bCs/>
        </w:rPr>
        <w:t xml:space="preserve">How it works</w:t>
      </w:r>
    </w:p>
    <w:p>
      <w:pPr>
        <w:pStyle w:val="Compact"/>
        <w:numPr>
          <w:ilvl w:val="0"/>
          <w:numId w:val="1031"/>
        </w:numPr>
      </w:pPr>
      <w:r>
        <w:rPr>
          <w:b/>
          <w:bCs/>
        </w:rPr>
        <w:t xml:space="preserve">Collect.</w:t>
      </w:r>
      <w:r>
        <w:t xml:space="preserve"> </w:t>
      </w:r>
      <w:r>
        <w:t xml:space="preserve">Retired packs come from fleets, carmakers and recyclers through reverse logistics.</w:t>
      </w:r>
    </w:p>
    <w:p>
      <w:pPr>
        <w:pStyle w:val="Compact"/>
        <w:numPr>
          <w:ilvl w:val="0"/>
          <w:numId w:val="1031"/>
        </w:numPr>
      </w:pPr>
      <w:r>
        <w:rPr>
          <w:b/>
          <w:bCs/>
        </w:rPr>
        <w:t xml:space="preserve">Grade.</w:t>
      </w:r>
      <w:r>
        <w:t xml:space="preserve"> </w:t>
      </w:r>
      <w:r>
        <w:t xml:space="preserve">AI diagnostics test state of health; results are written to the battery passport.</w:t>
      </w:r>
    </w:p>
    <w:p>
      <w:pPr>
        <w:pStyle w:val="Compact"/>
        <w:numPr>
          <w:ilvl w:val="0"/>
          <w:numId w:val="1031"/>
        </w:numPr>
      </w:pPr>
      <w:r>
        <w:rPr>
          <w:b/>
          <w:bCs/>
        </w:rPr>
        <w:t xml:space="preserve">Repurpose.</w:t>
      </w:r>
      <w:r>
        <w:t xml:space="preserve"> </w:t>
      </w:r>
      <w:r>
        <w:t xml:space="preserve">Modules become standardized storage units in regional assembly hubs, creating local jobs.</w:t>
      </w:r>
    </w:p>
    <w:p>
      <w:pPr>
        <w:pStyle w:val="Compact"/>
        <w:numPr>
          <w:ilvl w:val="0"/>
          <w:numId w:val="1031"/>
        </w:numPr>
      </w:pPr>
      <w:r>
        <w:rPr>
          <w:b/>
          <w:bCs/>
        </w:rPr>
        <w:t xml:space="preserve">Deploy as a service.</w:t>
      </w:r>
      <w:r>
        <w:t xml:space="preserve"> </w:t>
      </w:r>
      <w:r>
        <w:t xml:space="preserve">Battery-as-a-service for clinics, schools, shops, mini-grids and e-motorcycle swap stations, paid in instalments by mobile money.</w:t>
      </w:r>
    </w:p>
    <w:p>
      <w:pPr>
        <w:pStyle w:val="Compact"/>
        <w:numPr>
          <w:ilvl w:val="0"/>
          <w:numId w:val="1031"/>
        </w:numPr>
      </w:pPr>
      <w:r>
        <w:rPr>
          <w:b/>
          <w:bCs/>
        </w:rPr>
        <w:t xml:space="preserve">Monitor.</w:t>
      </w:r>
      <w:r>
        <w:t xml:space="preserve"> </w:t>
      </w:r>
      <w:r>
        <w:t xml:space="preserve">Remote telemetry tracks performance and thermal safety.</w:t>
      </w:r>
    </w:p>
    <w:p>
      <w:pPr>
        <w:pStyle w:val="Compact"/>
        <w:numPr>
          <w:ilvl w:val="0"/>
          <w:numId w:val="1031"/>
        </w:numPr>
      </w:pPr>
      <w:r>
        <w:rPr>
          <w:b/>
          <w:bCs/>
        </w:rPr>
        <w:t xml:space="preserve">Take back.</w:t>
      </w:r>
      <w:r>
        <w:t xml:space="preserve"> </w:t>
      </w:r>
      <w:r>
        <w:t xml:space="preserve">A deposit-refund system and a take-back bond guarantee end-of-life collection and recycling, recovering lithium, nickel, cobalt and other materials.</w:t>
      </w:r>
    </w:p>
    <w:p>
      <w:pPr>
        <w:pStyle w:val="Compact"/>
        <w:numPr>
          <w:ilvl w:val="0"/>
          <w:numId w:val="1031"/>
        </w:numPr>
      </w:pPr>
      <w:r>
        <w:rPr>
          <w:b/>
          <w:bCs/>
        </w:rPr>
        <w:t xml:space="preserve">Comply.</w:t>
      </w:r>
      <w:r>
        <w:t xml:space="preserve"> </w:t>
      </w:r>
      <w:r>
        <w:t xml:space="preserve">Shipments meet waste and safety rules; units are certified for reuse rather than disposal.</w:t>
      </w:r>
    </w:p>
    <w:p>
      <w:pPr>
        <w:pStyle w:val="FirstParagraph"/>
      </w:pPr>
      <w:r>
        <w:rPr>
          <w:b/>
          <w:bCs/>
        </w:rPr>
        <w:t xml:space="preserve">System dynamics</w:t>
      </w:r>
    </w:p>
    <w:p>
      <w:pPr>
        <w:pStyle w:val="Compact"/>
        <w:numPr>
          <w:ilvl w:val="0"/>
          <w:numId w:val="1032"/>
        </w:numPr>
      </w:pPr>
      <w:r>
        <w:rPr>
          <w:b/>
          <w:bCs/>
        </w:rPr>
        <w:t xml:space="preserve">R1, the access loop:</w:t>
      </w:r>
      <w:r>
        <w:t xml:space="preserve"> </w:t>
      </w:r>
      <w:r>
        <w:t xml:space="preserve">affordable storage → productive uses (cold rooms, tools, refrigeration) → higher incomes → more demand.</w:t>
      </w:r>
    </w:p>
    <w:p>
      <w:pPr>
        <w:pStyle w:val="Compact"/>
        <w:numPr>
          <w:ilvl w:val="0"/>
          <w:numId w:val="1032"/>
        </w:numPr>
      </w:pPr>
      <w:r>
        <w:rPr>
          <w:b/>
          <w:bCs/>
        </w:rPr>
        <w:t xml:space="preserve">R2, the data loop:</w:t>
      </w:r>
      <w:r>
        <w:t xml:space="preserve"> </w:t>
      </w:r>
      <w:r>
        <w:t xml:space="preserve">telemetry → better grading → lower risk → cheaper finance → more deployments.</w:t>
      </w:r>
    </w:p>
    <w:p>
      <w:pPr>
        <w:pStyle w:val="Compact"/>
        <w:numPr>
          <w:ilvl w:val="0"/>
          <w:numId w:val="1032"/>
        </w:numPr>
      </w:pPr>
      <w:r>
        <w:rPr>
          <w:b/>
          <w:bCs/>
        </w:rPr>
        <w:t xml:space="preserve">B1, supply variability:</w:t>
      </w:r>
      <w:r>
        <w:t xml:space="preserve"> </w:t>
      </w:r>
      <w:r>
        <w:t xml:space="preserve">many chemistries and pack designs; standardized modules and passports contain it.</w:t>
      </w:r>
    </w:p>
    <w:p>
      <w:pPr>
        <w:pStyle w:val="Compact"/>
        <w:numPr>
          <w:ilvl w:val="0"/>
          <w:numId w:val="1032"/>
        </w:numPr>
      </w:pPr>
      <w:r>
        <w:rPr>
          <w:b/>
          <w:bCs/>
        </w:rPr>
        <w:t xml:space="preserve">B2, safety and dumping risk:</w:t>
      </w:r>
      <w:r>
        <w:t xml:space="preserve"> </w:t>
      </w:r>
      <w:r>
        <w:t xml:space="preserve">incidents or dumping would destroy trust; take-back bonds and certification prevent it.</w:t>
      </w:r>
    </w:p>
    <w:p>
      <w:pPr>
        <w:pStyle w:val="Compact"/>
        <w:numPr>
          <w:ilvl w:val="0"/>
          <w:numId w:val="1032"/>
        </w:numPr>
      </w:pPr>
      <w:r>
        <w:rPr>
          <w:b/>
          <w:bCs/>
        </w:rPr>
        <w:t xml:space="preserve">B3, cheap new batteries:</w:t>
      </w:r>
      <w:r>
        <w:t xml:space="preserve"> </w:t>
      </w:r>
      <w:r>
        <w:t xml:space="preserve">falling prices for new batteries erode second-life cost advantages, so the business must compete on certification, service and finance, not price alone.</w:t>
      </w:r>
    </w:p>
    <w:p>
      <w:pPr>
        <w:pStyle w:val="Compact"/>
        <w:numPr>
          <w:ilvl w:val="0"/>
          <w:numId w:val="1032"/>
        </w:numPr>
      </w:pPr>
      <w:r>
        <w:rPr>
          <w:b/>
          <w:bCs/>
        </w:rPr>
        <w:t xml:space="preserve">Leverage point:</w:t>
      </w:r>
      <w:r>
        <w:t xml:space="preserve"> </w:t>
      </w:r>
      <w:r>
        <w:t xml:space="preserve">rules (passports and take-back) and information (transparent state of health).</w:t>
      </w:r>
    </w:p>
    <w:p>
      <w:pPr>
        <w:pStyle w:val="FirstParagraph"/>
      </w:pPr>
      <w:r>
        <w:rPr>
          <w:b/>
          <w:bCs/>
        </w:rPr>
        <w:t xml:space="preserve">Design thinking</w:t>
      </w:r>
    </w:p>
    <w:p>
      <w:pPr>
        <w:pStyle w:val="Compact"/>
        <w:numPr>
          <w:ilvl w:val="0"/>
          <w:numId w:val="1033"/>
        </w:numPr>
      </w:pPr>
      <w:r>
        <w:rPr>
          <w:i/>
          <w:iCs/>
        </w:rPr>
        <w:t xml:space="preserve">Personas:</w:t>
      </w:r>
      <w:r>
        <w:t xml:space="preserve"> </w:t>
      </w:r>
      <w:r>
        <w:rPr>
          <w:b/>
          <w:bCs/>
        </w:rPr>
        <w:t xml:space="preserve">Dr Amina</w:t>
      </w:r>
      <w:r>
        <w:t xml:space="preserve">, who runs a rural clinic in Niger State where vaccines spoil during outages.</w:t>
      </w:r>
      <w:r>
        <w:t xml:space="preserve"> </w:t>
      </w:r>
      <w:r>
        <w:rPr>
          <w:b/>
          <w:bCs/>
        </w:rPr>
        <w:t xml:space="preserve">Kofi</w:t>
      </w:r>
      <w:r>
        <w:t xml:space="preserve">, an e-motorcycle rider in Accra.</w:t>
      </w:r>
      <w:r>
        <w:t xml:space="preserve"> </w:t>
      </w:r>
      <w:r>
        <w:rPr>
          <w:b/>
          <w:bCs/>
        </w:rPr>
        <w:t xml:space="preserve">A fleet manager</w:t>
      </w:r>
      <w:r>
        <w:t xml:space="preserve"> </w:t>
      </w:r>
      <w:r>
        <w:t xml:space="preserve">in Germany retiring 5,000 packs.</w:t>
      </w:r>
    </w:p>
    <w:p>
      <w:pPr>
        <w:pStyle w:val="Compact"/>
        <w:numPr>
          <w:ilvl w:val="0"/>
          <w:numId w:val="1033"/>
        </w:numPr>
      </w:pPr>
      <w:r>
        <w:rPr>
          <w:i/>
          <w:iCs/>
        </w:rPr>
        <w:t xml:space="preserve">How might</w:t>
      </w:r>
      <w:r>
        <w:t xml:space="preserve"> </w:t>
      </w:r>
      <w:r>
        <w:t xml:space="preserve">a car battery’s second life power a clinic for ten more years?</w:t>
      </w:r>
    </w:p>
    <w:p>
      <w:pPr>
        <w:pStyle w:val="Compact"/>
        <w:numPr>
          <w:ilvl w:val="0"/>
          <w:numId w:val="1033"/>
        </w:numPr>
      </w:pPr>
      <w:r>
        <w:rPr>
          <w:i/>
          <w:iCs/>
        </w:rPr>
        <w:t xml:space="preserve">Moment of truth:</w:t>
      </w:r>
      <w:r>
        <w:t xml:space="preserve"> </w:t>
      </w:r>
      <w:r>
        <w:t xml:space="preserve">the clinic’s vaccine fridge runs through a three-day outage on a battery that once powered a taxi in Berlin.</w:t>
      </w:r>
    </w:p>
    <w:p>
      <w:pPr>
        <w:pStyle w:val="FirstParagraph"/>
      </w:pPr>
      <w:r>
        <w:rPr>
          <w:b/>
          <w:bCs/>
        </w:rPr>
        <w:t xml:space="preserve">Business and ownership model.</w:t>
      </w:r>
      <w:r>
        <w:t xml:space="preserve"> </w:t>
      </w:r>
      <w:r>
        <w:t xml:space="preserve">Battery-as-a-service subscriptions; grading and certification fees paid by fleets; take-back and recycling margins; materials credits; asset finance.</w:t>
      </w:r>
    </w:p>
    <w:p>
      <w:pPr>
        <w:pStyle w:val="BodyText"/>
      </w:pPr>
      <w:r>
        <w:rPr>
          <w:b/>
          <w:bCs/>
        </w:rPr>
        <w:t xml:space="preserve">Future potential</w:t>
      </w:r>
    </w:p>
    <w:tbl>
      <w:tblPr>
        <w:tblStyle w:val="Table"/>
        <w:tblW w:w="9360" w:type="dxa"/>
        <w:jc w:val="left"/>
        <w:tblLayout w:type="fixed"/>
        <w:tblLook w:firstRow="1" w:lastRow="0" w:firstColumn="0" w:lastColumn="0" w:noHBand="0" w:noVBand="0" w:val="0020"/>
      </w:tblPr>
      <w:tblGrid>
        <w:gridCol w:w="1049"/>
        <w:gridCol w:w="8311"/>
      </w:tblGrid>
      <w:tr>
        <w:trPr>
          <w:cantSplit/>
          <w:tblHeader w:val="true"/>
        </w:trPr>
        <w:tc>
          <w:tcPr>
            <w:tcW w:w="1049" w:type="dxa"/>
          </w:tcPr>
          <w:p>
            <w:pPr>
              <w:pStyle w:val="TableText"/>
              <w:jc w:val="left"/>
            </w:pPr>
            <w:r>
              <w:t xml:space="preserve">Horizon</w:t>
            </w:r>
          </w:p>
        </w:tc>
        <w:tc>
          <w:tcPr>
            <w:tcW w:w="8311" w:type="dxa"/>
          </w:tcPr>
          <w:p>
            <w:pPr>
              <w:pStyle w:val="TableText"/>
              <w:jc w:val="left"/>
            </w:pPr>
            <w:r>
              <w:t xml:space="preserve">What it becomes</w:t>
            </w:r>
          </w:p>
        </w:tc>
      </w:tr>
      <w:tr>
        <w:trPr>
          <w:cantSplit/>
        </w:trPr>
        <w:tc>
          <w:tcPr>
            <w:tcW w:w="1049" w:type="dxa"/>
          </w:tcPr>
          <w:p>
            <w:pPr>
              <w:pStyle w:val="TableText"/>
              <w:jc w:val="left"/>
            </w:pPr>
            <w:r>
              <w:t xml:space="preserve">2030</w:t>
            </w:r>
          </w:p>
        </w:tc>
        <w:tc>
          <w:tcPr>
            <w:tcW w:w="8311" w:type="dxa"/>
          </w:tcPr>
          <w:p>
            <w:pPr>
              <w:pStyle w:val="TableText"/>
              <w:jc w:val="left"/>
            </w:pPr>
            <w:r>
              <w:t xml:space="preserve">Hundreds of megawatt-hours of certified second-life storage serving clinics, schools and mini-grids</w:t>
            </w:r>
          </w:p>
        </w:tc>
      </w:tr>
      <w:tr>
        <w:trPr>
          <w:cantSplit/>
        </w:trPr>
        <w:tc>
          <w:tcPr>
            <w:tcW w:w="1049" w:type="dxa"/>
          </w:tcPr>
          <w:p>
            <w:pPr>
              <w:pStyle w:val="TableText"/>
              <w:jc w:val="left"/>
            </w:pPr>
            <w:r>
              <w:t xml:space="preserve">2035</w:t>
            </w:r>
          </w:p>
        </w:tc>
        <w:tc>
          <w:tcPr>
            <w:tcW w:w="8311" w:type="dxa"/>
          </w:tcPr>
          <w:p>
            <w:pPr>
              <w:pStyle w:val="TableText"/>
              <w:jc w:val="left"/>
            </w:pPr>
            <w:r>
              <w:t xml:space="preserve">A recognized second-life certification standard; regional recycling capacity in Africa</w:t>
            </w:r>
          </w:p>
        </w:tc>
      </w:tr>
      <w:tr>
        <w:trPr>
          <w:cantSplit/>
        </w:trPr>
        <w:tc>
          <w:tcPr>
            <w:tcW w:w="1049" w:type="dxa"/>
          </w:tcPr>
          <w:p>
            <w:pPr>
              <w:pStyle w:val="TableText"/>
              <w:jc w:val="left"/>
            </w:pPr>
            <w:r>
              <w:t xml:space="preserve">2040–2050</w:t>
            </w:r>
          </w:p>
        </w:tc>
        <w:tc>
          <w:tcPr>
            <w:tcW w:w="8311" w:type="dxa"/>
          </w:tcPr>
          <w:p>
            <w:pPr>
              <w:pStyle w:val="TableText"/>
              <w:jc w:val="left"/>
            </w:pPr>
            <w:r>
              <w:t xml:space="preserve">Closed material loops (</w:t>
            </w:r>
            <w:r>
              <w:t xml:space="preserve">“</w:t>
            </w:r>
            <w:r>
              <w:t xml:space="preserve">urban mines</w:t>
            </w:r>
            <w:r>
              <w:t xml:space="preserve">”</w:t>
            </w:r>
            <w:r>
              <w:t xml:space="preserve">) and powered clinics across the served regions</w:t>
            </w:r>
          </w:p>
        </w:tc>
      </w:tr>
    </w:tbl>
    <w:p/>
    <w:tbl>
      <w:tblPr>
        <w:tblStyle w:val="Table"/>
        <w:tblW w:w="9360" w:type="dxa"/>
        <w:jc w:val="left"/>
        <w:tblLayout w:type="fixed"/>
        <w:tblLook w:firstRow="1" w:lastRow="0" w:firstColumn="0" w:lastColumn="0" w:noHBand="0" w:noVBand="0" w:val="0020"/>
      </w:tblPr>
      <w:tblGrid>
        <w:gridCol w:w="3186"/>
        <w:gridCol w:w="6174"/>
      </w:tblGrid>
      <w:tr>
        <w:trPr>
          <w:cantSplit/>
          <w:tblHeader w:val="true"/>
        </w:trPr>
        <w:tc>
          <w:tcPr>
            <w:tcW w:w="3186" w:type="dxa"/>
          </w:tcPr>
          <w:p>
            <w:pPr>
              <w:pStyle w:val="TableText"/>
              <w:jc w:val="left"/>
            </w:pPr>
            <w:r>
              <w:t xml:space="preserve">Risk</w:t>
            </w:r>
          </w:p>
        </w:tc>
        <w:tc>
          <w:tcPr>
            <w:tcW w:w="6174" w:type="dxa"/>
          </w:tcPr>
          <w:p>
            <w:pPr>
              <w:pStyle w:val="TableText"/>
              <w:jc w:val="left"/>
            </w:pPr>
            <w:r>
              <w:t xml:space="preserve">Safeguard</w:t>
            </w:r>
          </w:p>
        </w:tc>
      </w:tr>
      <w:tr>
        <w:trPr>
          <w:cantSplit/>
        </w:trPr>
        <w:tc>
          <w:tcPr>
            <w:tcW w:w="3186" w:type="dxa"/>
          </w:tcPr>
          <w:p>
            <w:pPr>
              <w:pStyle w:val="TableText"/>
              <w:jc w:val="left"/>
            </w:pPr>
            <w:r>
              <w:t xml:space="preserve">Fire and thermal safety</w:t>
            </w:r>
          </w:p>
        </w:tc>
        <w:tc>
          <w:tcPr>
            <w:tcW w:w="6174" w:type="dxa"/>
          </w:tcPr>
          <w:p>
            <w:pPr>
              <w:pStyle w:val="TableText"/>
              <w:jc w:val="left"/>
            </w:pPr>
            <w:r>
              <w:t xml:space="preserve">Grading thresholds; battery management systems; monitoring; insurance</w:t>
            </w:r>
          </w:p>
        </w:tc>
      </w:tr>
      <w:tr>
        <w:trPr>
          <w:cantSplit/>
        </w:trPr>
        <w:tc>
          <w:tcPr>
            <w:tcW w:w="3186" w:type="dxa"/>
          </w:tcPr>
          <w:p>
            <w:pPr>
              <w:pStyle w:val="TableText"/>
              <w:jc w:val="left"/>
            </w:pPr>
            <w:r>
              <w:t xml:space="preserve">Being treated as waste trading</w:t>
            </w:r>
          </w:p>
        </w:tc>
        <w:tc>
          <w:tcPr>
            <w:tcW w:w="6174" w:type="dxa"/>
          </w:tcPr>
          <w:p>
            <w:pPr>
              <w:pStyle w:val="TableText"/>
              <w:jc w:val="left"/>
            </w:pPr>
            <w:r>
              <w:t xml:space="preserve">Certification for reuse; Basel-compliant shipments; take-back bonds</w:t>
            </w:r>
          </w:p>
        </w:tc>
      </w:tr>
      <w:tr>
        <w:trPr>
          <w:cantSplit/>
        </w:trPr>
        <w:tc>
          <w:tcPr>
            <w:tcW w:w="3186" w:type="dxa"/>
          </w:tcPr>
          <w:p>
            <w:pPr>
              <w:pStyle w:val="TableText"/>
              <w:jc w:val="left"/>
            </w:pPr>
            <w:r>
              <w:t xml:space="preserve">Competition from cheap new batteries</w:t>
            </w:r>
          </w:p>
        </w:tc>
        <w:tc>
          <w:tcPr>
            <w:tcW w:w="6174" w:type="dxa"/>
          </w:tcPr>
          <w:p>
            <w:pPr>
              <w:pStyle w:val="TableText"/>
              <w:jc w:val="left"/>
            </w:pPr>
            <w:r>
              <w:t xml:space="preserve">Service, warranty and finance advantages</w:t>
            </w:r>
          </w:p>
        </w:tc>
      </w:tr>
      <w:tr>
        <w:trPr>
          <w:cantSplit/>
        </w:trPr>
        <w:tc>
          <w:tcPr>
            <w:tcW w:w="3186" w:type="dxa"/>
          </w:tcPr>
          <w:p>
            <w:pPr>
              <w:pStyle w:val="TableText"/>
              <w:jc w:val="left"/>
            </w:pPr>
            <w:r>
              <w:t xml:space="preserve">Mixed chemistries</w:t>
            </w:r>
          </w:p>
        </w:tc>
        <w:tc>
          <w:tcPr>
            <w:tcW w:w="6174" w:type="dxa"/>
          </w:tcPr>
          <w:p>
            <w:pPr>
              <w:pStyle w:val="TableText"/>
              <w:jc w:val="left"/>
            </w:pPr>
            <w:r>
              <w:t xml:space="preserve">Standardized modules; passport data</w:t>
            </w:r>
          </w:p>
        </w:tc>
      </w:tr>
    </w:tbl>
    <w:p>
      <w:pPr>
        <w:pStyle w:val="BodyText"/>
        <w:spacing w:before="160"/>
      </w:pPr>
      <w:r>
        <w:rPr>
          <w:b/>
          <w:bCs/>
        </w:rPr>
        <w:t xml:space="preserve">First 100 days.</w:t>
      </w:r>
      <w:r>
        <w:t xml:space="preserve"> </w:t>
      </w:r>
      <w:r>
        <w:t xml:space="preserve">One fleet partner; test and repurpose 200 packs; deploy 50 clinic and shop units in Nigeria and Ghana with take-back bonds.</w:t>
      </w:r>
    </w:p>
    <w:p>
      <w:pPr>
        <w:pStyle w:val="BodyText"/>
      </w:pPr>
      <w:r>
        <w:rPr>
          <w:b/>
          <w:bCs/>
        </w:rPr>
        <w:t xml:space="preserve">Double Decagon score: 83/100 (future-fit).</w:t>
      </w:r>
      <w:r>
        <w:t xml:space="preserve"> </w:t>
      </w:r>
      <w:r>
        <w:t xml:space="preserve">Inner Decagon 41/50 (V1 5 · V2 4 · V3 4 · V4 3 · V5 4 · V6 4 · V7 4 · V8 5 · V9 4 · V10 4). Future-Fitness 42/50 (F1 3 · F2 4 · F3 5 · F4 4 · F5 4 · F6 4 · F7 5 · F8 4 · F9 5 · F10 4).</w:t>
      </w:r>
    </w:p>
    <w:bookmarkEnd w:id="59"/>
    <w:bookmarkStart w:id="60" w:name="X8fdcdff89c826002cb08e88419194f3b639404b"/>
    <w:p>
      <w:pPr>
        <w:pStyle w:val="Heading2"/>
      </w:pPr>
      <w:r>
        <w:t xml:space="preserve">Venture 6: PARTSGRID, the distributed manufacturing and repair network</w:t>
      </w:r>
    </w:p>
    <w:p>
      <w:pPr>
        <w:pStyle w:val="BlockText"/>
      </w:pPr>
      <w:r>
        <w:rPr>
          <w:b/>
          <w:bCs/>
        </w:rPr>
        <w:t xml:space="preserve">Thesis.</w:t>
      </w:r>
      <w:r>
        <w:t xml:space="preserve"> </w:t>
      </w:r>
      <w:r>
        <w:t xml:space="preserve">Across Africa and the world, machines sit idle for want of a part, while skilled machinists, 3D printers and informal industrial clusters sit underused. PartsGrid is an Airbnb for machine-shop capacity and an Uber for repair. It matches broken equipment with verified local fabricators and repairers, using licensed digital part libraries so parts can be made near where they are needed.</w:t>
      </w:r>
    </w:p>
    <w:tbl>
      <w:tblPr>
        <w:tblStyle w:val="Table"/>
        <w:tblW w:w="9360" w:type="dxa"/>
        <w:jc w:val="left"/>
        <w:tblLayout w:type="fixed"/>
        <w:tblLook w:firstRow="1" w:lastRow="0" w:firstColumn="0" w:lastColumn="0" w:noHBand="0" w:noVBand="0" w:val="0020"/>
      </w:tblPr>
      <w:tblGrid>
        <w:gridCol w:w="1179"/>
        <w:gridCol w:w="8181"/>
      </w:tblGrid>
      <w:tr>
        <w:trPr>
          <w:cantSplit/>
          <w:tblHeader w:val="true"/>
        </w:trPr>
        <w:tc>
          <w:tcPr>
            <w:tcW w:w="1179" w:type="dxa"/>
          </w:tcPr>
          <w:p>
            <w:pPr>
              <w:pStyle w:val="TableText"/>
              <w:jc w:val="left"/>
            </w:pPr>
            <w:r>
              <w:t xml:space="preserve">Gene</w:t>
            </w:r>
          </w:p>
        </w:tc>
        <w:tc>
          <w:tcPr>
            <w:tcW w:w="8181" w:type="dxa"/>
          </w:tcPr>
          <w:p>
            <w:pPr>
              <w:pStyle w:val="TableText"/>
              <w:jc w:val="left"/>
            </w:pPr>
            <w:r>
              <w:t xml:space="preserve">Value</w:t>
            </w:r>
          </w:p>
        </w:tc>
      </w:tr>
      <w:tr>
        <w:trPr>
          <w:cantSplit/>
        </w:trPr>
        <w:tc>
          <w:tcPr>
            <w:tcW w:w="1179" w:type="dxa"/>
          </w:tcPr>
          <w:p>
            <w:pPr>
              <w:pStyle w:val="TableText"/>
              <w:jc w:val="left"/>
            </w:pPr>
            <w:r>
              <w:t xml:space="preserve">Problem domain</w:t>
            </w:r>
          </w:p>
        </w:tc>
        <w:tc>
          <w:tcPr>
            <w:tcW w:w="8181" w:type="dxa"/>
          </w:tcPr>
          <w:p>
            <w:pPr>
              <w:pStyle w:val="TableText"/>
              <w:jc w:val="left"/>
            </w:pPr>
            <w:r>
              <w:t xml:space="preserve">D5 Energy and materials; D2 Work and livelihoods</w:t>
            </w:r>
          </w:p>
        </w:tc>
      </w:tr>
      <w:tr>
        <w:trPr>
          <w:cantSplit/>
        </w:trPr>
        <w:tc>
          <w:tcPr>
            <w:tcW w:w="1179" w:type="dxa"/>
          </w:tcPr>
          <w:p>
            <w:pPr>
              <w:pStyle w:val="TableText"/>
              <w:jc w:val="left"/>
            </w:pPr>
            <w:r>
              <w:t xml:space="preserve">Latent capacity</w:t>
            </w:r>
          </w:p>
        </w:tc>
        <w:tc>
          <w:tcPr>
            <w:tcW w:w="8181" w:type="dxa"/>
          </w:tcPr>
          <w:p>
            <w:pPr>
              <w:pStyle w:val="TableText"/>
              <w:jc w:val="left"/>
            </w:pPr>
            <w:r>
              <w:t xml:space="preserve">L4 idle machines (lathes, mills, 3D printers); L2 idle skills (machinists, technicians)</w:t>
            </w:r>
          </w:p>
        </w:tc>
      </w:tr>
      <w:tr>
        <w:trPr>
          <w:cantSplit/>
        </w:trPr>
        <w:tc>
          <w:tcPr>
            <w:tcW w:w="1179" w:type="dxa"/>
          </w:tcPr>
          <w:p>
            <w:pPr>
              <w:pStyle w:val="TableText"/>
              <w:jc w:val="left"/>
            </w:pPr>
            <w:r>
              <w:t xml:space="preserve">Archetype</w:t>
            </w:r>
          </w:p>
        </w:tc>
        <w:tc>
          <w:tcPr>
            <w:tcW w:w="8181" w:type="dxa"/>
          </w:tcPr>
          <w:p>
            <w:pPr>
              <w:pStyle w:val="TableText"/>
              <w:jc w:val="left"/>
            </w:pPr>
            <w:r>
              <w:t xml:space="preserve">A2 idle-asset marketplace + A3 skills marketplace + A8 protocol (open and licensed part libraries)</w:t>
            </w:r>
          </w:p>
        </w:tc>
      </w:tr>
      <w:tr>
        <w:trPr>
          <w:cantSplit/>
        </w:trPr>
        <w:tc>
          <w:tcPr>
            <w:tcW w:w="1179" w:type="dxa"/>
          </w:tcPr>
          <w:p>
            <w:pPr>
              <w:pStyle w:val="TableText"/>
              <w:jc w:val="left"/>
            </w:pPr>
            <w:r>
              <w:t xml:space="preserve">Technology waves</w:t>
            </w:r>
          </w:p>
        </w:tc>
        <w:tc>
          <w:tcPr>
            <w:tcW w:w="8181" w:type="dxa"/>
          </w:tcPr>
          <w:p>
            <w:pPr>
              <w:pStyle w:val="TableText"/>
              <w:jc w:val="left"/>
            </w:pPr>
            <w:r>
              <w:t xml:space="preserve">T-i additive manufacturing and digital fabrication; T-f 3D scanning and digital twins; T-a AI part identification; T-c verifiable credentials</w:t>
            </w:r>
          </w:p>
        </w:tc>
      </w:tr>
      <w:tr>
        <w:trPr>
          <w:cantSplit/>
        </w:trPr>
        <w:tc>
          <w:tcPr>
            <w:tcW w:w="1179" w:type="dxa"/>
          </w:tcPr>
          <w:p>
            <w:pPr>
              <w:pStyle w:val="TableText"/>
              <w:jc w:val="left"/>
            </w:pPr>
            <w:r>
              <w:t xml:space="preserve">Governance</w:t>
            </w:r>
          </w:p>
        </w:tc>
        <w:tc>
          <w:tcPr>
            <w:tcW w:w="8181" w:type="dxa"/>
          </w:tcPr>
          <w:p>
            <w:pPr>
              <w:pStyle w:val="TableText"/>
              <w:jc w:val="left"/>
            </w:pPr>
            <w:r>
              <w:t xml:space="preserve">Cooperative of workshops with a steward-owned platform</w:t>
            </w:r>
          </w:p>
        </w:tc>
      </w:tr>
      <w:tr>
        <w:trPr>
          <w:cantSplit/>
        </w:trPr>
        <w:tc>
          <w:tcPr>
            <w:tcW w:w="1179" w:type="dxa"/>
          </w:tcPr>
          <w:p>
            <w:pPr>
              <w:pStyle w:val="TableText"/>
              <w:jc w:val="left"/>
            </w:pPr>
            <w:r>
              <w:t xml:space="preserve">Foothold</w:t>
            </w:r>
          </w:p>
        </w:tc>
        <w:tc>
          <w:tcPr>
            <w:tcW w:w="8181" w:type="dxa"/>
          </w:tcPr>
          <w:p>
            <w:pPr>
              <w:pStyle w:val="TableText"/>
              <w:jc w:val="left"/>
            </w:pPr>
            <w:r>
              <w:t xml:space="preserve">Global South leapfrog; regulatory window (right-to-repair rules)</w:t>
            </w:r>
          </w:p>
        </w:tc>
      </w:tr>
    </w:tbl>
    <w:p>
      <w:pPr>
        <w:pStyle w:val="BodyText"/>
        <w:spacing w:before="160"/>
      </w:pPr>
      <w:r>
        <w:rPr>
          <w:b/>
          <w:bCs/>
        </w:rPr>
        <w:t xml:space="preserve">The new problem</w:t>
      </w:r>
    </w:p>
    <w:p>
      <w:pPr>
        <w:pStyle w:val="Compact"/>
        <w:numPr>
          <w:ilvl w:val="0"/>
          <w:numId w:val="1034"/>
        </w:numPr>
      </w:pPr>
      <w:r>
        <w:t xml:space="preserve">Supply chains have proved fragile: pandemic shutdowns and shipping disruptions left equipment waiting months for parts.</w:t>
      </w:r>
    </w:p>
    <w:p>
      <w:pPr>
        <w:pStyle w:val="Compact"/>
        <w:numPr>
          <w:ilvl w:val="0"/>
          <w:numId w:val="1034"/>
        </w:numPr>
      </w:pPr>
      <w:r>
        <w:t xml:space="preserve">In low-resource settings, tractors, generators, mills and medical devices are frequently out of service for want of parts and maintenance.</w:t>
      </w:r>
    </w:p>
    <w:p>
      <w:pPr>
        <w:pStyle w:val="Compact"/>
        <w:numPr>
          <w:ilvl w:val="0"/>
          <w:numId w:val="1034"/>
        </w:numPr>
      </w:pPr>
      <w:r>
        <w:t xml:space="preserve">Right-to-repair rules (e.g., the EU’s 2024 Right to Repair Directive) and the African Continental Free Trade Area favour local repair and manufacturing.</w:t>
      </w:r>
    </w:p>
    <w:p>
      <w:pPr>
        <w:pStyle w:val="Compact"/>
        <w:numPr>
          <w:ilvl w:val="0"/>
          <w:numId w:val="1034"/>
        </w:numPr>
      </w:pPr>
      <w:r>
        <w:t xml:space="preserve">Africa has large informal industrial clusters, such as Suame Magazine in Kumasi and Ladipo market in Lagos, with deep repair skills but little access to digital designs, quality certification or demand beyond their neighbourhoods.</w:t>
      </w:r>
    </w:p>
    <w:p>
      <w:pPr>
        <w:pStyle w:val="FirstParagraph"/>
      </w:pPr>
      <w:r>
        <w:rPr>
          <w:b/>
          <w:bCs/>
        </w:rPr>
        <w:t xml:space="preserve">Benchmarks: borrowed and inverted</w:t>
      </w:r>
    </w:p>
    <w:p>
      <w:pPr>
        <w:pStyle w:val="Compact"/>
        <w:numPr>
          <w:ilvl w:val="0"/>
          <w:numId w:val="1035"/>
        </w:numPr>
      </w:pPr>
      <w:r>
        <w:rPr>
          <w:b/>
          <w:bCs/>
        </w:rPr>
        <w:t xml:space="preserve">From Airbnb:</w:t>
      </w:r>
      <w:r>
        <w:t xml:space="preserve"> </w:t>
      </w:r>
      <w:r>
        <w:t xml:space="preserve">idle machine capacity listed and booked (extending the</w:t>
      </w:r>
      <w:r>
        <w:t xml:space="preserve"> </w:t>
      </w:r>
      <w:r>
        <w:t xml:space="preserve">“</w:t>
      </w:r>
      <w:r>
        <w:t xml:space="preserve">equipment</w:t>
      </w:r>
      <w:r>
        <w:t xml:space="preserve">”</w:t>
      </w:r>
      <w:r>
        <w:t xml:space="preserve"> </w:t>
      </w:r>
      <w:r>
        <w:t xml:space="preserve">sector of Volume I, Part VI).</w:t>
      </w:r>
    </w:p>
    <w:p>
      <w:pPr>
        <w:pStyle w:val="Compact"/>
        <w:numPr>
          <w:ilvl w:val="0"/>
          <w:numId w:val="1035"/>
        </w:numPr>
      </w:pPr>
      <w:r>
        <w:rPr>
          <w:b/>
          <w:bCs/>
        </w:rPr>
        <w:t xml:space="preserve">From Uber:</w:t>
      </w:r>
      <w:r>
        <w:t xml:space="preserve"> </w:t>
      </w:r>
      <w:r>
        <w:t xml:space="preserve">urgent dispatch of repair technicians.</w:t>
      </w:r>
    </w:p>
    <w:p>
      <w:pPr>
        <w:pStyle w:val="Compact"/>
        <w:numPr>
          <w:ilvl w:val="0"/>
          <w:numId w:val="1035"/>
        </w:numPr>
      </w:pPr>
      <w:r>
        <w:rPr>
          <w:b/>
          <w:bCs/>
        </w:rPr>
        <w:t xml:space="preserve">From Urban Company:</w:t>
      </w:r>
      <w:r>
        <w:t xml:space="preserve"> </w:t>
      </w:r>
      <w:r>
        <w:t xml:space="preserve">standardizing quality, tools and prices for skilled trades.</w:t>
      </w:r>
    </w:p>
    <w:p>
      <w:pPr>
        <w:pStyle w:val="Compact"/>
        <w:numPr>
          <w:ilvl w:val="0"/>
          <w:numId w:val="1035"/>
        </w:numPr>
      </w:pPr>
      <w:r>
        <w:rPr>
          <w:b/>
          <w:bCs/>
        </w:rPr>
        <w:t xml:space="preserve">Links</w:t>
      </w:r>
      <w:r>
        <w:t xml:space="preserve"> </w:t>
      </w:r>
      <w:r>
        <w:t xml:space="preserve">to Guildhall (training machinists), RemoteHands (robot parts) and HarvestGrid (farm machinery).</w:t>
      </w:r>
    </w:p>
    <w:p>
      <w:pPr>
        <w:pStyle w:val="Compact"/>
        <w:numPr>
          <w:ilvl w:val="0"/>
          <w:numId w:val="1035"/>
        </w:numPr>
      </w:pPr>
      <w:r>
        <w:rPr>
          <w:b/>
          <w:bCs/>
        </w:rPr>
        <w:t xml:space="preserve">Inverts:</w:t>
      </w:r>
      <w:r>
        <w:t xml:space="preserve"> </w:t>
      </w:r>
      <w:r>
        <w:t xml:space="preserve">from importing finished goods to making locally, with royalties flowing to designers and manufacturers that license their files.</w:t>
      </w:r>
    </w:p>
    <w:p>
      <w:pPr>
        <w:pStyle w:val="FirstParagraph"/>
      </w:pPr>
      <w:r>
        <w:rPr>
          <w:b/>
          <w:bCs/>
        </w:rPr>
        <w:t xml:space="preserve">How it works</w:t>
      </w:r>
    </w:p>
    <w:p>
      <w:pPr>
        <w:pStyle w:val="Compact"/>
        <w:numPr>
          <w:ilvl w:val="0"/>
          <w:numId w:val="1036"/>
        </w:numPr>
      </w:pPr>
      <w:r>
        <w:rPr>
          <w:b/>
          <w:bCs/>
        </w:rPr>
        <w:t xml:space="preserve">Request.</w:t>
      </w:r>
      <w:r>
        <w:t xml:space="preserve"> </w:t>
      </w:r>
      <w:r>
        <w:t xml:space="preserve">A customer photographs or scans the broken part, or enters a model number. AI identifies the part.</w:t>
      </w:r>
    </w:p>
    <w:p>
      <w:pPr>
        <w:pStyle w:val="Compact"/>
        <w:numPr>
          <w:ilvl w:val="0"/>
          <w:numId w:val="1036"/>
        </w:numPr>
      </w:pPr>
      <w:r>
        <w:rPr>
          <w:b/>
          <w:bCs/>
        </w:rPr>
        <w:t xml:space="preserve">Library.</w:t>
      </w:r>
      <w:r>
        <w:t xml:space="preserve"> </w:t>
      </w:r>
      <w:r>
        <w:t xml:space="preserve">The platform finds a licensed manufacturer file, an open design, or commissions reverse-engineering by a certified designer.</w:t>
      </w:r>
    </w:p>
    <w:p>
      <w:pPr>
        <w:pStyle w:val="Compact"/>
        <w:numPr>
          <w:ilvl w:val="0"/>
          <w:numId w:val="1036"/>
        </w:numPr>
      </w:pPr>
      <w:r>
        <w:rPr>
          <w:b/>
          <w:bCs/>
        </w:rPr>
        <w:t xml:space="preserve">Match.</w:t>
      </w:r>
      <w:r>
        <w:t xml:space="preserve"> </w:t>
      </w:r>
      <w:r>
        <w:t xml:space="preserve">The nearest certified workshop with the right machines, materials and quality tier gets the job.</w:t>
      </w:r>
    </w:p>
    <w:p>
      <w:pPr>
        <w:pStyle w:val="Compact"/>
        <w:numPr>
          <w:ilvl w:val="0"/>
          <w:numId w:val="1036"/>
        </w:numPr>
      </w:pPr>
      <w:r>
        <w:rPr>
          <w:b/>
          <w:bCs/>
        </w:rPr>
        <w:t xml:space="preserve">Make and verify.</w:t>
      </w:r>
      <w:r>
        <w:t xml:space="preserve"> </w:t>
      </w:r>
      <w:r>
        <w:t xml:space="preserve">The part is made and checked against its dimensions by 3D scan. Safety-critical parts require higher certification tiers.</w:t>
      </w:r>
    </w:p>
    <w:p>
      <w:pPr>
        <w:pStyle w:val="Compact"/>
        <w:numPr>
          <w:ilvl w:val="0"/>
          <w:numId w:val="1036"/>
        </w:numPr>
      </w:pPr>
      <w:r>
        <w:rPr>
          <w:b/>
          <w:bCs/>
        </w:rPr>
        <w:t xml:space="preserve">Deliver and install.</w:t>
      </w:r>
      <w:r>
        <w:t xml:space="preserve"> </w:t>
      </w:r>
      <w:r>
        <w:t xml:space="preserve">A verified technician installs the part. Payment is held in escrow until the customer confirms.</w:t>
      </w:r>
    </w:p>
    <w:p>
      <w:pPr>
        <w:pStyle w:val="Compact"/>
        <w:numPr>
          <w:ilvl w:val="0"/>
          <w:numId w:val="1036"/>
        </w:numPr>
      </w:pPr>
      <w:r>
        <w:rPr>
          <w:b/>
          <w:bCs/>
        </w:rPr>
        <w:t xml:space="preserve">Upgrade workshops.</w:t>
      </w:r>
      <w:r>
        <w:t xml:space="preserve"> </w:t>
      </w:r>
      <w:r>
        <w:t xml:space="preserve">Financing for new machines and training (with Guildhall) raises quality over time.</w:t>
      </w:r>
    </w:p>
    <w:p>
      <w:pPr>
        <w:pStyle w:val="Compact"/>
        <w:numPr>
          <w:ilvl w:val="0"/>
          <w:numId w:val="1036"/>
        </w:numPr>
      </w:pPr>
      <w:r>
        <w:rPr>
          <w:b/>
          <w:bCs/>
        </w:rPr>
        <w:t xml:space="preserve">Learn.</w:t>
      </w:r>
      <w:r>
        <w:t xml:space="preserve"> </w:t>
      </w:r>
      <w:r>
        <w:t xml:space="preserve">Failure data informs predictive maintenance and local spare-parts stocking.</w:t>
      </w:r>
    </w:p>
    <w:p>
      <w:pPr>
        <w:pStyle w:val="FirstParagraph"/>
      </w:pPr>
      <w:r>
        <w:rPr>
          <w:b/>
          <w:bCs/>
        </w:rPr>
        <w:t xml:space="preserve">System dynamics</w:t>
      </w:r>
    </w:p>
    <w:p>
      <w:pPr>
        <w:pStyle w:val="Compact"/>
        <w:numPr>
          <w:ilvl w:val="0"/>
          <w:numId w:val="1037"/>
        </w:numPr>
      </w:pPr>
      <w:r>
        <w:rPr>
          <w:b/>
          <w:bCs/>
        </w:rPr>
        <w:t xml:space="preserve">R1, the capability loop:</w:t>
      </w:r>
      <w:r>
        <w:t xml:space="preserve"> </w:t>
      </w:r>
      <w:r>
        <w:t xml:space="preserve">jobs → workshop income → machine upgrades and skills → better quality → more jobs.</w:t>
      </w:r>
    </w:p>
    <w:p>
      <w:pPr>
        <w:pStyle w:val="Compact"/>
        <w:numPr>
          <w:ilvl w:val="0"/>
          <w:numId w:val="1037"/>
        </w:numPr>
      </w:pPr>
      <w:r>
        <w:rPr>
          <w:b/>
          <w:bCs/>
        </w:rPr>
        <w:t xml:space="preserve">R2, the library loop:</w:t>
      </w:r>
      <w:r>
        <w:t xml:space="preserve"> </w:t>
      </w:r>
      <w:r>
        <w:t xml:space="preserve">more parts digitized → faster fulfilment → more users → more digitization.</w:t>
      </w:r>
    </w:p>
    <w:p>
      <w:pPr>
        <w:pStyle w:val="Compact"/>
        <w:numPr>
          <w:ilvl w:val="0"/>
          <w:numId w:val="1037"/>
        </w:numPr>
      </w:pPr>
      <w:r>
        <w:rPr>
          <w:b/>
          <w:bCs/>
        </w:rPr>
        <w:t xml:space="preserve">B1, quality failures:</w:t>
      </w:r>
      <w:r>
        <w:t xml:space="preserve"> </w:t>
      </w:r>
      <w:r>
        <w:t xml:space="preserve">a failed part damages trust; certification tiers and guarantees contain it.</w:t>
      </w:r>
    </w:p>
    <w:p>
      <w:pPr>
        <w:pStyle w:val="Compact"/>
        <w:numPr>
          <w:ilvl w:val="0"/>
          <w:numId w:val="1037"/>
        </w:numPr>
      </w:pPr>
      <w:r>
        <w:rPr>
          <w:b/>
          <w:bCs/>
        </w:rPr>
        <w:t xml:space="preserve">B2, intellectual-property conflict:</w:t>
      </w:r>
      <w:r>
        <w:t xml:space="preserve"> </w:t>
      </w:r>
      <w:r>
        <w:t xml:space="preserve">manufacturers may resist; licensing with royalties turns them into partners.</w:t>
      </w:r>
    </w:p>
    <w:p>
      <w:pPr>
        <w:pStyle w:val="Compact"/>
        <w:numPr>
          <w:ilvl w:val="0"/>
          <w:numId w:val="1037"/>
        </w:numPr>
      </w:pPr>
      <w:r>
        <w:rPr>
          <w:b/>
          <w:bCs/>
        </w:rPr>
        <w:t xml:space="preserve">Leverage point:</w:t>
      </w:r>
      <w:r>
        <w:t xml:space="preserve"> </w:t>
      </w:r>
      <w:r>
        <w:t xml:space="preserve">information flows (digital part files), rules (right to repair) and self-organization (industrial clusters).</w:t>
      </w:r>
    </w:p>
    <w:p>
      <w:pPr>
        <w:pStyle w:val="FirstParagraph"/>
      </w:pPr>
      <w:r>
        <w:rPr>
          <w:b/>
          <w:bCs/>
        </w:rPr>
        <w:t xml:space="preserve">Design thinking</w:t>
      </w:r>
    </w:p>
    <w:p>
      <w:pPr>
        <w:pStyle w:val="Compact"/>
        <w:numPr>
          <w:ilvl w:val="0"/>
          <w:numId w:val="1038"/>
        </w:numPr>
      </w:pPr>
      <w:r>
        <w:rPr>
          <w:i/>
          <w:iCs/>
        </w:rPr>
        <w:t xml:space="preserve">Personas:</w:t>
      </w:r>
      <w:r>
        <w:t xml:space="preserve"> </w:t>
      </w:r>
      <w:r>
        <w:rPr>
          <w:b/>
          <w:bCs/>
        </w:rPr>
        <w:t xml:space="preserve">Mr Okonkwo</w:t>
      </w:r>
      <w:r>
        <w:t xml:space="preserve">, whose rice mill in Ebonyi stopped for want of a small bearing housing.</w:t>
      </w:r>
      <w:r>
        <w:t xml:space="preserve"> </w:t>
      </w:r>
      <w:r>
        <w:rPr>
          <w:b/>
          <w:bCs/>
        </w:rPr>
        <w:t xml:space="preserve">Kwame</w:t>
      </w:r>
      <w:r>
        <w:t xml:space="preserve">, a machinist in Suame Magazine with an idle lathe.</w:t>
      </w:r>
      <w:r>
        <w:t xml:space="preserve"> </w:t>
      </w:r>
      <w:r>
        <w:rPr>
          <w:b/>
          <w:bCs/>
        </w:rPr>
        <w:t xml:space="preserve">A biomedical engineer</w:t>
      </w:r>
      <w:r>
        <w:t xml:space="preserve"> </w:t>
      </w:r>
      <w:r>
        <w:t xml:space="preserve">at a hospital in Kampala with three broken infusion pumps.</w:t>
      </w:r>
    </w:p>
    <w:p>
      <w:pPr>
        <w:pStyle w:val="Compact"/>
        <w:numPr>
          <w:ilvl w:val="0"/>
          <w:numId w:val="1038"/>
        </w:numPr>
      </w:pPr>
      <w:r>
        <w:rPr>
          <w:i/>
          <w:iCs/>
        </w:rPr>
        <w:t xml:space="preserve">How might</w:t>
      </w:r>
      <w:r>
        <w:t xml:space="preserve"> </w:t>
      </w:r>
      <w:r>
        <w:t xml:space="preserve">a broken machine anywhere be fixed within 48 hours by makers nearby?</w:t>
      </w:r>
    </w:p>
    <w:p>
      <w:pPr>
        <w:pStyle w:val="Compact"/>
        <w:numPr>
          <w:ilvl w:val="0"/>
          <w:numId w:val="1038"/>
        </w:numPr>
      </w:pPr>
      <w:r>
        <w:rPr>
          <w:i/>
          <w:iCs/>
        </w:rPr>
        <w:t xml:space="preserve">Moment of truth:</w:t>
      </w:r>
      <w:r>
        <w:t xml:space="preserve"> </w:t>
      </w:r>
      <w:r>
        <w:t xml:space="preserve">the rice mill runs again the next day with a locally made, certified part.</w:t>
      </w:r>
    </w:p>
    <w:p>
      <w:pPr>
        <w:pStyle w:val="FirstParagraph"/>
      </w:pPr>
      <w:r>
        <w:rPr>
          <w:b/>
          <w:bCs/>
        </w:rPr>
        <w:t xml:space="preserve">Business and ownership model.</w:t>
      </w:r>
      <w:r>
        <w:t xml:space="preserve"> </w:t>
      </w:r>
      <w:r>
        <w:t xml:space="preserve">A transaction fee of about 10–15%; library licensing royalties shared with designers and manufacturers; certification fees; workshop financing; enterprise maintenance contracts (hospitals, agribusiness, utilities). Workshops co-own the cooperative.</w:t>
      </w:r>
    </w:p>
    <w:p>
      <w:pPr>
        <w:pStyle w:val="BodyText"/>
      </w:pPr>
      <w:r>
        <w:rPr>
          <w:b/>
          <w:bCs/>
        </w:rPr>
        <w:t xml:space="preserve">Future potential</w:t>
      </w:r>
    </w:p>
    <w:tbl>
      <w:tblPr>
        <w:tblStyle w:val="Table"/>
        <w:tblW w:w="9360" w:type="dxa"/>
        <w:jc w:val="left"/>
        <w:tblLayout w:type="fixed"/>
        <w:tblLook w:firstRow="1" w:lastRow="0" w:firstColumn="0" w:lastColumn="0" w:noHBand="0" w:noVBand="0" w:val="0020"/>
      </w:tblPr>
      <w:tblGrid>
        <w:gridCol w:w="1011"/>
        <w:gridCol w:w="8349"/>
      </w:tblGrid>
      <w:tr>
        <w:trPr>
          <w:cantSplit/>
          <w:tblHeader w:val="true"/>
        </w:trPr>
        <w:tc>
          <w:tcPr>
            <w:tcW w:w="1011" w:type="dxa"/>
          </w:tcPr>
          <w:p>
            <w:pPr>
              <w:pStyle w:val="TableText"/>
              <w:jc w:val="left"/>
            </w:pPr>
            <w:r>
              <w:t xml:space="preserve">Horizon</w:t>
            </w:r>
          </w:p>
        </w:tc>
        <w:tc>
          <w:tcPr>
            <w:tcW w:w="8349" w:type="dxa"/>
          </w:tcPr>
          <w:p>
            <w:pPr>
              <w:pStyle w:val="TableText"/>
              <w:jc w:val="left"/>
            </w:pPr>
            <w:r>
              <w:t xml:space="preserve">What it becomes</w:t>
            </w:r>
          </w:p>
        </w:tc>
      </w:tr>
      <w:tr>
        <w:trPr>
          <w:cantSplit/>
        </w:trPr>
        <w:tc>
          <w:tcPr>
            <w:tcW w:w="1011" w:type="dxa"/>
          </w:tcPr>
          <w:p>
            <w:pPr>
              <w:pStyle w:val="TableText"/>
              <w:jc w:val="left"/>
            </w:pPr>
            <w:r>
              <w:t xml:space="preserve">2030</w:t>
            </w:r>
          </w:p>
        </w:tc>
        <w:tc>
          <w:tcPr>
            <w:tcW w:w="8349" w:type="dxa"/>
          </w:tcPr>
          <w:p>
            <w:pPr>
              <w:pStyle w:val="TableText"/>
              <w:jc w:val="left"/>
            </w:pPr>
            <w:r>
              <w:t xml:space="preserve">1,000 certified workshops in three cities; agricultural, generator and medical parts</w:t>
            </w:r>
          </w:p>
        </w:tc>
      </w:tr>
      <w:tr>
        <w:trPr>
          <w:cantSplit/>
        </w:trPr>
        <w:tc>
          <w:tcPr>
            <w:tcW w:w="1011" w:type="dxa"/>
          </w:tcPr>
          <w:p>
            <w:pPr>
              <w:pStyle w:val="TableText"/>
              <w:jc w:val="left"/>
            </w:pPr>
            <w:r>
              <w:t xml:space="preserve">2035</w:t>
            </w:r>
          </w:p>
        </w:tc>
        <w:tc>
          <w:tcPr>
            <w:tcW w:w="8349" w:type="dxa"/>
          </w:tcPr>
          <w:p>
            <w:pPr>
              <w:pStyle w:val="TableText"/>
              <w:jc w:val="left"/>
            </w:pPr>
            <w:r>
              <w:t xml:space="preserve">A network spanning the African Continental Free Trade Area; manufacturer licensing partnerships</w:t>
            </w:r>
          </w:p>
        </w:tc>
      </w:tr>
      <w:tr>
        <w:trPr>
          <w:cantSplit/>
        </w:trPr>
        <w:tc>
          <w:tcPr>
            <w:tcW w:w="1011" w:type="dxa"/>
          </w:tcPr>
          <w:p>
            <w:pPr>
              <w:pStyle w:val="TableText"/>
              <w:jc w:val="left"/>
            </w:pPr>
            <w:r>
              <w:t xml:space="preserve">2040–2050</w:t>
            </w:r>
          </w:p>
        </w:tc>
        <w:tc>
          <w:tcPr>
            <w:tcW w:w="8349" w:type="dxa"/>
          </w:tcPr>
          <w:p>
            <w:pPr>
              <w:pStyle w:val="TableText"/>
              <w:jc w:val="left"/>
            </w:pPr>
            <w:r>
              <w:t xml:space="preserve">A</w:t>
            </w:r>
            <w:r>
              <w:t xml:space="preserve"> </w:t>
            </w:r>
            <w:r>
              <w:t xml:space="preserve">“</w:t>
            </w:r>
            <w:r>
              <w:t xml:space="preserve">make it local</w:t>
            </w:r>
            <w:r>
              <w:t xml:space="preserve">”</w:t>
            </w:r>
            <w:r>
              <w:t xml:space="preserve"> </w:t>
            </w:r>
            <w:r>
              <w:t xml:space="preserve">commons: distributed manufacturing for repair, robots and renewable-energy equipment</w:t>
            </w:r>
          </w:p>
        </w:tc>
      </w:tr>
    </w:tbl>
    <w:p/>
    <w:tbl>
      <w:tblPr>
        <w:tblStyle w:val="Table"/>
        <w:tblW w:w="9360" w:type="dxa"/>
        <w:jc w:val="left"/>
        <w:tblLayout w:type="fixed"/>
        <w:tblLook w:firstRow="1" w:lastRow="0" w:firstColumn="0" w:lastColumn="0" w:noHBand="0" w:noVBand="0" w:val="0020"/>
      </w:tblPr>
      <w:tblGrid>
        <w:gridCol w:w="2817"/>
        <w:gridCol w:w="6543"/>
      </w:tblGrid>
      <w:tr>
        <w:trPr>
          <w:cantSplit/>
          <w:tblHeader w:val="true"/>
        </w:trPr>
        <w:tc>
          <w:tcPr>
            <w:tcW w:w="2817" w:type="dxa"/>
          </w:tcPr>
          <w:p>
            <w:pPr>
              <w:pStyle w:val="TableText"/>
              <w:jc w:val="left"/>
            </w:pPr>
            <w:r>
              <w:t xml:space="preserve">Risk</w:t>
            </w:r>
          </w:p>
        </w:tc>
        <w:tc>
          <w:tcPr>
            <w:tcW w:w="6543" w:type="dxa"/>
          </w:tcPr>
          <w:p>
            <w:pPr>
              <w:pStyle w:val="TableText"/>
              <w:jc w:val="left"/>
            </w:pPr>
            <w:r>
              <w:t xml:space="preserve">Safeguard</w:t>
            </w:r>
          </w:p>
        </w:tc>
      </w:tr>
      <w:tr>
        <w:trPr>
          <w:cantSplit/>
        </w:trPr>
        <w:tc>
          <w:tcPr>
            <w:tcW w:w="2817" w:type="dxa"/>
          </w:tcPr>
          <w:p>
            <w:pPr>
              <w:pStyle w:val="TableText"/>
              <w:jc w:val="left"/>
            </w:pPr>
            <w:r>
              <w:t xml:space="preserve">Liability for failed parts</w:t>
            </w:r>
          </w:p>
        </w:tc>
        <w:tc>
          <w:tcPr>
            <w:tcW w:w="6543" w:type="dxa"/>
          </w:tcPr>
          <w:p>
            <w:pPr>
              <w:pStyle w:val="TableText"/>
              <w:jc w:val="left"/>
            </w:pPr>
            <w:r>
              <w:t xml:space="preserve">Certification tiers; safety-critical exclusions; insurance; traceability</w:t>
            </w:r>
          </w:p>
        </w:tc>
      </w:tr>
      <w:tr>
        <w:trPr>
          <w:cantSplit/>
        </w:trPr>
        <w:tc>
          <w:tcPr>
            <w:tcW w:w="2817" w:type="dxa"/>
          </w:tcPr>
          <w:p>
            <w:pPr>
              <w:pStyle w:val="TableText"/>
              <w:jc w:val="left"/>
            </w:pPr>
            <w:r>
              <w:t xml:space="preserve">Intellectual property</w:t>
            </w:r>
          </w:p>
        </w:tc>
        <w:tc>
          <w:tcPr>
            <w:tcW w:w="6543" w:type="dxa"/>
          </w:tcPr>
          <w:p>
            <w:pPr>
              <w:pStyle w:val="TableText"/>
              <w:jc w:val="left"/>
            </w:pPr>
            <w:r>
              <w:t xml:space="preserve">Licensed libraries with royalties; open designs where possible</w:t>
            </w:r>
          </w:p>
        </w:tc>
      </w:tr>
      <w:tr>
        <w:trPr>
          <w:cantSplit/>
        </w:trPr>
        <w:tc>
          <w:tcPr>
            <w:tcW w:w="2817" w:type="dxa"/>
          </w:tcPr>
          <w:p>
            <w:pPr>
              <w:pStyle w:val="TableText"/>
              <w:jc w:val="left"/>
            </w:pPr>
            <w:r>
              <w:t xml:space="preserve">Inconsistent quality</w:t>
            </w:r>
          </w:p>
        </w:tc>
        <w:tc>
          <w:tcPr>
            <w:tcW w:w="6543" w:type="dxa"/>
          </w:tcPr>
          <w:p>
            <w:pPr>
              <w:pStyle w:val="TableText"/>
              <w:jc w:val="left"/>
            </w:pPr>
            <w:r>
              <w:t xml:space="preserve">Scanning and inspection; ratings; training</w:t>
            </w:r>
          </w:p>
        </w:tc>
      </w:tr>
      <w:tr>
        <w:trPr>
          <w:cantSplit/>
        </w:trPr>
        <w:tc>
          <w:tcPr>
            <w:tcW w:w="2817" w:type="dxa"/>
          </w:tcPr>
          <w:p>
            <w:pPr>
              <w:pStyle w:val="TableText"/>
              <w:jc w:val="left"/>
            </w:pPr>
            <w:r>
              <w:t xml:space="preserve">Unreliable power for workshops</w:t>
            </w:r>
          </w:p>
        </w:tc>
        <w:tc>
          <w:tcPr>
            <w:tcW w:w="6543" w:type="dxa"/>
          </w:tcPr>
          <w:p>
            <w:pPr>
              <w:pStyle w:val="TableText"/>
              <w:jc w:val="left"/>
            </w:pPr>
            <w:r>
              <w:t xml:space="preserve">Solar and second-life storage (SecondCell)</w:t>
            </w:r>
          </w:p>
        </w:tc>
      </w:tr>
    </w:tbl>
    <w:p>
      <w:pPr>
        <w:pStyle w:val="BodyText"/>
        <w:spacing w:before="160"/>
      </w:pPr>
      <w:r>
        <w:rPr>
          <w:b/>
          <w:bCs/>
        </w:rPr>
        <w:t xml:space="preserve">First 100 days.</w:t>
      </w:r>
      <w:r>
        <w:t xml:space="preserve"> </w:t>
      </w:r>
      <w:r>
        <w:t xml:space="preserve">Lagos (Ladipo and Ikeja) and Kumasi (Suame Magazine); 50 workshops; agricultural machinery and generator parts; 300 jobs completed with measured downtime saved.</w:t>
      </w:r>
    </w:p>
    <w:p>
      <w:pPr>
        <w:pStyle w:val="BodyText"/>
      </w:pPr>
      <w:r>
        <w:rPr>
          <w:b/>
          <w:bCs/>
        </w:rPr>
        <w:t xml:space="preserve">Double Decagon score: 84/100 (future-fit).</w:t>
      </w:r>
      <w:r>
        <w:t xml:space="preserve"> </w:t>
      </w:r>
      <w:r>
        <w:t xml:space="preserve">Inner Decagon 43/50 (V1 5 · V2 5 · V3 4 · V4 4 · V5 4 · V6 4 · V7 4 · V8 5 · V9 4 · V10 4). Future-Fitness 41/50 (F1 3 · F2 4 · F3 4 · F4 4 · F5 4 · F6 5 · F7 5 · F8 4 · F9 4 · F10 4).</w:t>
      </w:r>
    </w:p>
    <w:bookmarkEnd w:id="60"/>
    <w:bookmarkStart w:id="61" w:name="X1636b98bd29ae18f0fae4079e2d1626f750d8f8"/>
    <w:p>
      <w:pPr>
        <w:pStyle w:val="Heading2"/>
      </w:pPr>
      <w:r>
        <w:t xml:space="preserve">Venture 7: SURGENET, the crisis surge-capacity network</w:t>
      </w:r>
    </w:p>
    <w:p>
      <w:pPr>
        <w:pStyle w:val="BlockText"/>
      </w:pPr>
      <w:r>
        <w:rPr>
          <w:b/>
          <w:bCs/>
        </w:rPr>
        <w:t xml:space="preserve">Thesis.</w:t>
      </w:r>
      <w:r>
        <w:t xml:space="preserve"> </w:t>
      </w:r>
      <w:r>
        <w:t xml:space="preserve">Every crisis (a pandemic, an outbreak, a mass-casualty event) needs capacity that sits idle in normal times: laboratory machines, cold storage, retired clinicians, hotel rooms and transport. SurgeNet keeps that latent capacity registered, trained, verified and contract-ready, so it can be switched on within hours. It is an Airbnb for crisis capacity with an Uber-style dispatch layer, governed as a public–private mutual.</w:t>
      </w:r>
    </w:p>
    <w:tbl>
      <w:tblPr>
        <w:tblStyle w:val="Table"/>
        <w:tblW w:w="9360" w:type="dxa"/>
        <w:jc w:val="left"/>
        <w:tblLayout w:type="fixed"/>
        <w:tblLook w:firstRow="1" w:lastRow="0" w:firstColumn="0" w:lastColumn="0" w:noHBand="0" w:noVBand="0" w:val="0020"/>
      </w:tblPr>
      <w:tblGrid>
        <w:gridCol w:w="1179"/>
        <w:gridCol w:w="8181"/>
      </w:tblGrid>
      <w:tr>
        <w:trPr>
          <w:cantSplit/>
          <w:tblHeader w:val="true"/>
        </w:trPr>
        <w:tc>
          <w:tcPr>
            <w:tcW w:w="1179" w:type="dxa"/>
          </w:tcPr>
          <w:p>
            <w:pPr>
              <w:pStyle w:val="TableText"/>
              <w:jc w:val="left"/>
            </w:pPr>
            <w:r>
              <w:t xml:space="preserve">Gene</w:t>
            </w:r>
          </w:p>
        </w:tc>
        <w:tc>
          <w:tcPr>
            <w:tcW w:w="8181" w:type="dxa"/>
          </w:tcPr>
          <w:p>
            <w:pPr>
              <w:pStyle w:val="TableText"/>
              <w:jc w:val="left"/>
            </w:pPr>
            <w:r>
              <w:t xml:space="preserve">Value</w:t>
            </w:r>
          </w:p>
        </w:tc>
      </w:tr>
      <w:tr>
        <w:trPr>
          <w:cantSplit/>
        </w:trPr>
        <w:tc>
          <w:tcPr>
            <w:tcW w:w="1179" w:type="dxa"/>
          </w:tcPr>
          <w:p>
            <w:pPr>
              <w:pStyle w:val="TableText"/>
              <w:jc w:val="left"/>
            </w:pPr>
            <w:r>
              <w:t xml:space="preserve">Problem domain</w:t>
            </w:r>
          </w:p>
        </w:tc>
        <w:tc>
          <w:tcPr>
            <w:tcW w:w="8181" w:type="dxa"/>
          </w:tcPr>
          <w:p>
            <w:pPr>
              <w:pStyle w:val="TableText"/>
              <w:jc w:val="left"/>
            </w:pPr>
            <w:r>
              <w:t xml:space="preserve">D3 Care, health and longevity</w:t>
            </w:r>
          </w:p>
        </w:tc>
      </w:tr>
      <w:tr>
        <w:trPr>
          <w:cantSplit/>
        </w:trPr>
        <w:tc>
          <w:tcPr>
            <w:tcW w:w="1179" w:type="dxa"/>
          </w:tcPr>
          <w:p>
            <w:pPr>
              <w:pStyle w:val="TableText"/>
              <w:jc w:val="left"/>
            </w:pPr>
            <w:r>
              <w:t xml:space="preserve">Latent capacity</w:t>
            </w:r>
          </w:p>
        </w:tc>
        <w:tc>
          <w:tcPr>
            <w:tcW w:w="8181" w:type="dxa"/>
          </w:tcPr>
          <w:p>
            <w:pPr>
              <w:pStyle w:val="TableText"/>
              <w:jc w:val="left"/>
            </w:pPr>
            <w:r>
              <w:t xml:space="preserve">L4 idle lab equipment (including PCR machines left after COVID-19); L2 idle skills (retired and part-time clinicians); L3 idle rooms; idle cold chains</w:t>
            </w:r>
          </w:p>
        </w:tc>
      </w:tr>
      <w:tr>
        <w:trPr>
          <w:cantSplit/>
        </w:trPr>
        <w:tc>
          <w:tcPr>
            <w:tcW w:w="1179" w:type="dxa"/>
          </w:tcPr>
          <w:p>
            <w:pPr>
              <w:pStyle w:val="TableText"/>
              <w:jc w:val="left"/>
            </w:pPr>
            <w:r>
              <w:t xml:space="preserve">Archetype</w:t>
            </w:r>
          </w:p>
        </w:tc>
        <w:tc>
          <w:tcPr>
            <w:tcW w:w="8181" w:type="dxa"/>
          </w:tcPr>
          <w:p>
            <w:pPr>
              <w:pStyle w:val="TableText"/>
              <w:jc w:val="left"/>
            </w:pPr>
            <w:r>
              <w:t xml:space="preserve">A2 idle-asset marketplace + A6 mutual (pre-paid readiness) + A1 dispatch</w:t>
            </w:r>
          </w:p>
        </w:tc>
      </w:tr>
      <w:tr>
        <w:trPr>
          <w:cantSplit/>
        </w:trPr>
        <w:tc>
          <w:tcPr>
            <w:tcW w:w="1179" w:type="dxa"/>
          </w:tcPr>
          <w:p>
            <w:pPr>
              <w:pStyle w:val="TableText"/>
              <w:jc w:val="left"/>
            </w:pPr>
            <w:r>
              <w:t xml:space="preserve">Technology waves</w:t>
            </w:r>
          </w:p>
        </w:tc>
        <w:tc>
          <w:tcPr>
            <w:tcW w:w="8181" w:type="dxa"/>
          </w:tcPr>
          <w:p>
            <w:pPr>
              <w:pStyle w:val="TableText"/>
              <w:jc w:val="left"/>
            </w:pPr>
            <w:r>
              <w:t xml:space="preserve">T-f digital twins and outbreak simulation; T-c verifiable credentials; T-e genomic and wastewater surveillance</w:t>
            </w:r>
          </w:p>
        </w:tc>
      </w:tr>
      <w:tr>
        <w:trPr>
          <w:cantSplit/>
        </w:trPr>
        <w:tc>
          <w:tcPr>
            <w:tcW w:w="1179" w:type="dxa"/>
          </w:tcPr>
          <w:p>
            <w:pPr>
              <w:pStyle w:val="TableText"/>
              <w:jc w:val="left"/>
            </w:pPr>
            <w:r>
              <w:t xml:space="preserve">Governance</w:t>
            </w:r>
          </w:p>
        </w:tc>
        <w:tc>
          <w:tcPr>
            <w:tcW w:w="8181" w:type="dxa"/>
          </w:tcPr>
          <w:p>
            <w:pPr>
              <w:pStyle w:val="TableText"/>
              <w:jc w:val="left"/>
            </w:pPr>
            <w:r>
              <w:t xml:space="preserve">Public–private–commons partnership</w:t>
            </w:r>
          </w:p>
        </w:tc>
      </w:tr>
      <w:tr>
        <w:trPr>
          <w:cantSplit/>
        </w:trPr>
        <w:tc>
          <w:tcPr>
            <w:tcW w:w="1179" w:type="dxa"/>
          </w:tcPr>
          <w:p>
            <w:pPr>
              <w:pStyle w:val="TableText"/>
              <w:jc w:val="left"/>
            </w:pPr>
            <w:r>
              <w:t xml:space="preserve">Foothold</w:t>
            </w:r>
          </w:p>
        </w:tc>
        <w:tc>
          <w:tcPr>
            <w:tcW w:w="8181" w:type="dxa"/>
          </w:tcPr>
          <w:p>
            <w:pPr>
              <w:pStyle w:val="TableText"/>
              <w:jc w:val="left"/>
            </w:pPr>
            <w:r>
              <w:t xml:space="preserve">Crisis window</w:t>
            </w:r>
          </w:p>
        </w:tc>
      </w:tr>
    </w:tbl>
    <w:p>
      <w:pPr>
        <w:pStyle w:val="BodyText"/>
        <w:spacing w:before="160"/>
      </w:pPr>
      <w:r>
        <w:rPr>
          <w:b/>
          <w:bCs/>
        </w:rPr>
        <w:t xml:space="preserve">The new problem</w:t>
      </w:r>
    </w:p>
    <w:p>
      <w:pPr>
        <w:pStyle w:val="Compact"/>
        <w:numPr>
          <w:ilvl w:val="0"/>
          <w:numId w:val="1039"/>
        </w:numPr>
      </w:pPr>
      <w:r>
        <w:t xml:space="preserve">Antimicrobial resistance is projected to cause more than 39 million deaths between 2025 and 2050 without further action (GRAM study,</w:t>
      </w:r>
      <w:r>
        <w:t xml:space="preserve"> </w:t>
      </w:r>
      <w:r>
        <w:rPr>
          <w:i/>
          <w:iCs/>
        </w:rPr>
        <w:t xml:space="preserve">The Lancet</w:t>
      </w:r>
      <w:r>
        <w:t xml:space="preserve">, 2024).</w:t>
      </w:r>
    </w:p>
    <w:p>
      <w:pPr>
        <w:pStyle w:val="Compact"/>
        <w:numPr>
          <w:ilvl w:val="0"/>
          <w:numId w:val="1039"/>
        </w:numPr>
      </w:pPr>
      <w:r>
        <w:t xml:space="preserve">WHO member states adopted a Pandemic Agreement in 2025, but agreements need operational capacity behind them.</w:t>
      </w:r>
    </w:p>
    <w:p>
      <w:pPr>
        <w:pStyle w:val="Compact"/>
        <w:numPr>
          <w:ilvl w:val="0"/>
          <w:numId w:val="1039"/>
        </w:numPr>
      </w:pPr>
      <w:r>
        <w:t xml:space="preserve">COVID-19 revealed systematic surge failures: too few labs, too few staff, nowhere to isolate. After the pandemic, much of the emergency testing capacity built then sits under-used.</w:t>
      </w:r>
    </w:p>
    <w:p>
      <w:pPr>
        <w:pStyle w:val="Compact"/>
        <w:numPr>
          <w:ilvl w:val="0"/>
          <w:numId w:val="1039"/>
        </w:numPr>
      </w:pPr>
      <w:r>
        <w:t xml:space="preserve">Endemic outbreaks continue, such as Lassa fever in Nigeria. They regularly overwhelm local testing.</w:t>
      </w:r>
    </w:p>
    <w:p>
      <w:pPr>
        <w:pStyle w:val="Compact"/>
        <w:numPr>
          <w:ilvl w:val="0"/>
          <w:numId w:val="1039"/>
        </w:numPr>
      </w:pPr>
      <w:r>
        <w:t xml:space="preserve">Preparedness suffers from the</w:t>
      </w:r>
      <w:r>
        <w:t xml:space="preserve"> </w:t>
      </w:r>
      <w:r>
        <w:t xml:space="preserve">“</w:t>
      </w:r>
      <w:r>
        <w:t xml:space="preserve">panic–neglect cycle</w:t>
      </w:r>
      <w:r>
        <w:t xml:space="preserve">”</w:t>
      </w:r>
      <w:r>
        <w:t xml:space="preserve">: funding surges during crises and collapses afterwards.</w:t>
      </w:r>
    </w:p>
    <w:p>
      <w:pPr>
        <w:pStyle w:val="FirstParagraph"/>
      </w:pPr>
      <w:r>
        <w:rPr>
          <w:b/>
          <w:bCs/>
        </w:rPr>
        <w:t xml:space="preserve">Benchmarks: borrowed and inverted</w:t>
      </w:r>
    </w:p>
    <w:p>
      <w:pPr>
        <w:pStyle w:val="Compact"/>
        <w:numPr>
          <w:ilvl w:val="0"/>
          <w:numId w:val="1040"/>
        </w:numPr>
      </w:pPr>
      <w:r>
        <w:rPr>
          <w:b/>
          <w:bCs/>
        </w:rPr>
        <w:t xml:space="preserve">From Airbnb.org:</w:t>
      </w:r>
      <w:r>
        <w:t xml:space="preserve"> </w:t>
      </w:r>
      <w:r>
        <w:t xml:space="preserve">private space opened in emergencies.</w:t>
      </w:r>
    </w:p>
    <w:p>
      <w:pPr>
        <w:pStyle w:val="Compact"/>
        <w:numPr>
          <w:ilvl w:val="0"/>
          <w:numId w:val="1040"/>
        </w:numPr>
      </w:pPr>
      <w:r>
        <w:rPr>
          <w:b/>
          <w:bCs/>
        </w:rPr>
        <w:t xml:space="preserve">From Uber Health:</w:t>
      </w:r>
      <w:r>
        <w:t xml:space="preserve"> </w:t>
      </w:r>
      <w:r>
        <w:t xml:space="preserve">medical transport.</w:t>
      </w:r>
    </w:p>
    <w:p>
      <w:pPr>
        <w:pStyle w:val="Compact"/>
        <w:numPr>
          <w:ilvl w:val="0"/>
          <w:numId w:val="1040"/>
        </w:numPr>
      </w:pPr>
      <w:r>
        <w:rPr>
          <w:b/>
          <w:bCs/>
        </w:rPr>
        <w:t xml:space="preserve">From Bastion</w:t>
      </w:r>
      <w:r>
        <w:t xml:space="preserve"> </w:t>
      </w:r>
      <w:r>
        <w:t xml:space="preserve">(Volume I): mutual readiness.</w:t>
      </w:r>
    </w:p>
    <w:p>
      <w:pPr>
        <w:pStyle w:val="Compact"/>
        <w:numPr>
          <w:ilvl w:val="0"/>
          <w:numId w:val="1040"/>
        </w:numPr>
      </w:pPr>
      <w:r>
        <w:rPr>
          <w:b/>
          <w:bCs/>
        </w:rPr>
        <w:t xml:space="preserve">Links</w:t>
      </w:r>
      <w:r>
        <w:t xml:space="preserve"> </w:t>
      </w:r>
      <w:r>
        <w:t xml:space="preserve">to KinGrid (care circles during outbreaks), HarvestGrid (cold chains) and GroundTruth (verifying outbreak reports).</w:t>
      </w:r>
    </w:p>
    <w:p>
      <w:pPr>
        <w:pStyle w:val="Compact"/>
        <w:numPr>
          <w:ilvl w:val="0"/>
          <w:numId w:val="1040"/>
        </w:numPr>
      </w:pPr>
      <w:r>
        <w:rPr>
          <w:b/>
          <w:bCs/>
        </w:rPr>
        <w:t xml:space="preserve">Inverts:</w:t>
      </w:r>
      <w:r>
        <w:t xml:space="preserve"> </w:t>
      </w:r>
      <w:r>
        <w:t xml:space="preserve">capacity is</w:t>
      </w:r>
      <w:r>
        <w:t xml:space="preserve"> </w:t>
      </w:r>
      <w:r>
        <w:rPr>
          <w:i/>
          <w:iCs/>
        </w:rPr>
        <w:t xml:space="preserve">reserved in calm times</w:t>
      </w:r>
      <w:r>
        <w:t xml:space="preserve"> </w:t>
      </w:r>
      <w:r>
        <w:t xml:space="preserve">through readiness contracts, instead of scrambled for in a crisis.</w:t>
      </w:r>
    </w:p>
    <w:p>
      <w:pPr>
        <w:pStyle w:val="FirstParagraph"/>
      </w:pPr>
      <w:r>
        <w:rPr>
          <w:b/>
          <w:bCs/>
        </w:rPr>
        <w:t xml:space="preserve">How it works</w:t>
      </w:r>
    </w:p>
    <w:p>
      <w:pPr>
        <w:pStyle w:val="Compact"/>
        <w:numPr>
          <w:ilvl w:val="0"/>
          <w:numId w:val="1041"/>
        </w:numPr>
      </w:pPr>
      <w:r>
        <w:rPr>
          <w:b/>
          <w:bCs/>
        </w:rPr>
        <w:t xml:space="preserve">Registry.</w:t>
      </w:r>
      <w:r>
        <w:t xml:space="preserve"> </w:t>
      </w:r>
      <w:r>
        <w:t xml:space="preserve">Labs, equipment, cold chains, clinicians (credentials verified, with refresher training), rooms for isolation, and transport.</w:t>
      </w:r>
    </w:p>
    <w:p>
      <w:pPr>
        <w:pStyle w:val="Compact"/>
        <w:numPr>
          <w:ilvl w:val="0"/>
          <w:numId w:val="1041"/>
        </w:numPr>
      </w:pPr>
      <w:r>
        <w:rPr>
          <w:b/>
          <w:bCs/>
        </w:rPr>
        <w:t xml:space="preserve">Readiness contracts.</w:t>
      </w:r>
      <w:r>
        <w:t xml:space="preserve"> </w:t>
      </w:r>
      <w:r>
        <w:t xml:space="preserve">Governments, development banks and insurers pay modest retainers for guaranteed availability, like options.</w:t>
      </w:r>
    </w:p>
    <w:p>
      <w:pPr>
        <w:pStyle w:val="Compact"/>
        <w:numPr>
          <w:ilvl w:val="0"/>
          <w:numId w:val="1041"/>
        </w:numPr>
      </w:pPr>
      <w:r>
        <w:rPr>
          <w:b/>
          <w:bCs/>
        </w:rPr>
        <w:t xml:space="preserve">Drills.</w:t>
      </w:r>
      <w:r>
        <w:t xml:space="preserve"> </w:t>
      </w:r>
      <w:r>
        <w:t xml:space="preserve">Regular simulations and digital-twin exercises test activation times.</w:t>
      </w:r>
    </w:p>
    <w:p>
      <w:pPr>
        <w:pStyle w:val="Compact"/>
        <w:numPr>
          <w:ilvl w:val="0"/>
          <w:numId w:val="1041"/>
        </w:numPr>
      </w:pPr>
      <w:r>
        <w:rPr>
          <w:b/>
          <w:bCs/>
        </w:rPr>
        <w:t xml:space="preserve">Activation.</w:t>
      </w:r>
      <w:r>
        <w:t xml:space="preserve"> </w:t>
      </w:r>
      <w:r>
        <w:t xml:space="preserve">When surveillance signals cross thresholds, samples are routed to idle labs, specimens are transported, clinicians deployed and rooms booked.</w:t>
      </w:r>
    </w:p>
    <w:p>
      <w:pPr>
        <w:pStyle w:val="Compact"/>
        <w:numPr>
          <w:ilvl w:val="0"/>
          <w:numId w:val="1041"/>
        </w:numPr>
      </w:pPr>
      <w:r>
        <w:rPr>
          <w:b/>
          <w:bCs/>
        </w:rPr>
        <w:t xml:space="preserve">Peacetime dual use.</w:t>
      </w:r>
      <w:r>
        <w:t xml:space="preserve"> </w:t>
      </w:r>
      <w:r>
        <w:t xml:space="preserve">Between crises, registered capacity earns revenue from routine testing backlogs and antimicrobial-resistance surveillance, so it stays funded and skilled.</w:t>
      </w:r>
    </w:p>
    <w:p>
      <w:pPr>
        <w:pStyle w:val="Compact"/>
        <w:numPr>
          <w:ilvl w:val="0"/>
          <w:numId w:val="1041"/>
        </w:numPr>
      </w:pPr>
      <w:r>
        <w:rPr>
          <w:b/>
          <w:bCs/>
        </w:rPr>
        <w:t xml:space="preserve">Capacity map.</w:t>
      </w:r>
      <w:r>
        <w:t xml:space="preserve"> </w:t>
      </w:r>
      <w:r>
        <w:t xml:space="preserve">Health authorities see a live map of available surge capacity.</w:t>
      </w:r>
    </w:p>
    <w:p>
      <w:pPr>
        <w:pStyle w:val="FirstParagraph"/>
      </w:pPr>
      <w:r>
        <w:rPr>
          <w:b/>
          <w:bCs/>
        </w:rPr>
        <w:t xml:space="preserve">System dynamics</w:t>
      </w:r>
    </w:p>
    <w:p>
      <w:pPr>
        <w:pStyle w:val="Compact"/>
        <w:numPr>
          <w:ilvl w:val="0"/>
          <w:numId w:val="1042"/>
        </w:numPr>
      </w:pPr>
      <w:r>
        <w:rPr>
          <w:b/>
          <w:bCs/>
        </w:rPr>
        <w:t xml:space="preserve">R1, the readiness loop:</w:t>
      </w:r>
      <w:r>
        <w:t xml:space="preserve"> </w:t>
      </w:r>
      <w:r>
        <w:t xml:space="preserve">drills → reliable activation → trust → more retainers → more registered capacity.</w:t>
      </w:r>
    </w:p>
    <w:p>
      <w:pPr>
        <w:pStyle w:val="Compact"/>
        <w:numPr>
          <w:ilvl w:val="0"/>
          <w:numId w:val="1042"/>
        </w:numPr>
      </w:pPr>
      <w:r>
        <w:rPr>
          <w:b/>
          <w:bCs/>
        </w:rPr>
        <w:t xml:space="preserve">B1, the panic–neglect cycle:</w:t>
      </w:r>
      <w:r>
        <w:t xml:space="preserve"> </w:t>
      </w:r>
      <w:r>
        <w:t xml:space="preserve">calm years erode budgets. Peacetime dual-use revenue keeps the network alive.</w:t>
      </w:r>
    </w:p>
    <w:p>
      <w:pPr>
        <w:pStyle w:val="Compact"/>
        <w:numPr>
          <w:ilvl w:val="0"/>
          <w:numId w:val="1042"/>
        </w:numPr>
      </w:pPr>
      <w:r>
        <w:rPr>
          <w:b/>
          <w:bCs/>
        </w:rPr>
        <w:t xml:space="preserve">B2, cross-jurisdiction friction:</w:t>
      </w:r>
      <w:r>
        <w:t xml:space="preserve"> </w:t>
      </w:r>
      <w:r>
        <w:t xml:space="preserve">credentials and liability across borders; pre-agreed frameworks contain it.</w:t>
      </w:r>
    </w:p>
    <w:p>
      <w:pPr>
        <w:pStyle w:val="Compact"/>
        <w:numPr>
          <w:ilvl w:val="0"/>
          <w:numId w:val="1042"/>
        </w:numPr>
      </w:pPr>
      <w:r>
        <w:rPr>
          <w:b/>
          <w:bCs/>
        </w:rPr>
        <w:t xml:space="preserve">Leverage point:</w:t>
      </w:r>
      <w:r>
        <w:t xml:space="preserve"> </w:t>
      </w:r>
      <w:r>
        <w:t xml:space="preserve">delays (activation time), rules (pre-agreed contracts) and paradigm (preparedness as standing infrastructure, not emergency spending).</w:t>
      </w:r>
    </w:p>
    <w:p>
      <w:pPr>
        <w:pStyle w:val="FirstParagraph"/>
      </w:pPr>
      <w:r>
        <w:rPr>
          <w:b/>
          <w:bCs/>
        </w:rPr>
        <w:t xml:space="preserve">Design thinking</w:t>
      </w:r>
    </w:p>
    <w:p>
      <w:pPr>
        <w:pStyle w:val="Compact"/>
        <w:numPr>
          <w:ilvl w:val="0"/>
          <w:numId w:val="1043"/>
        </w:numPr>
      </w:pPr>
      <w:r>
        <w:rPr>
          <w:i/>
          <w:iCs/>
        </w:rPr>
        <w:t xml:space="preserve">Personas:</w:t>
      </w:r>
      <w:r>
        <w:t xml:space="preserve"> </w:t>
      </w:r>
      <w:r>
        <w:rPr>
          <w:b/>
          <w:bCs/>
        </w:rPr>
        <w:t xml:space="preserve">Dr Ngozi</w:t>
      </w:r>
      <w:r>
        <w:t xml:space="preserve">, a retired epidemiologist in Enugu who wants to help.</w:t>
      </w:r>
      <w:r>
        <w:t xml:space="preserve"> </w:t>
      </w:r>
      <w:r>
        <w:rPr>
          <w:b/>
          <w:bCs/>
        </w:rPr>
        <w:t xml:space="preserve">A lab manager</w:t>
      </w:r>
      <w:r>
        <w:t xml:space="preserve"> </w:t>
      </w:r>
      <w:r>
        <w:t xml:space="preserve">in Ibadan whose PCR machines run at a fraction of capacity.</w:t>
      </w:r>
      <w:r>
        <w:t xml:space="preserve"> </w:t>
      </w:r>
      <w:r>
        <w:rPr>
          <w:b/>
          <w:bCs/>
        </w:rPr>
        <w:t xml:space="preserve">A state health commissioner</w:t>
      </w:r>
      <w:r>
        <w:t xml:space="preserve"> </w:t>
      </w:r>
      <w:r>
        <w:t xml:space="preserve">facing a Lassa fever outbreak.</w:t>
      </w:r>
    </w:p>
    <w:p>
      <w:pPr>
        <w:pStyle w:val="Compact"/>
        <w:numPr>
          <w:ilvl w:val="0"/>
          <w:numId w:val="1043"/>
        </w:numPr>
      </w:pPr>
      <w:r>
        <w:rPr>
          <w:i/>
          <w:iCs/>
        </w:rPr>
        <w:t xml:space="preserve">How might</w:t>
      </w:r>
      <w:r>
        <w:t xml:space="preserve"> </w:t>
      </w:r>
      <w:r>
        <w:t xml:space="preserve">a city have its crisis capacity ready before the crisis?</w:t>
      </w:r>
    </w:p>
    <w:p>
      <w:pPr>
        <w:pStyle w:val="Compact"/>
        <w:numPr>
          <w:ilvl w:val="0"/>
          <w:numId w:val="1043"/>
        </w:numPr>
      </w:pPr>
      <w:r>
        <w:rPr>
          <w:i/>
          <w:iCs/>
        </w:rPr>
        <w:t xml:space="preserve">Moment of truth:</w:t>
      </w:r>
      <w:r>
        <w:t xml:space="preserve"> </w:t>
      </w:r>
      <w:r>
        <w:t xml:space="preserve">within 24 hours of an outbreak signal, samples are routed to three idle labs, with results in 48 hours instead of a week.</w:t>
      </w:r>
    </w:p>
    <w:p>
      <w:pPr>
        <w:pStyle w:val="FirstParagraph"/>
      </w:pPr>
      <w:r>
        <w:rPr>
          <w:b/>
          <w:bCs/>
        </w:rPr>
        <w:t xml:space="preserve">Business and ownership model.</w:t>
      </w:r>
      <w:r>
        <w:t xml:space="preserve"> </w:t>
      </w:r>
      <w:r>
        <w:t xml:space="preserve">Readiness retainers (governments, development banks, insurers and outbreak-financing instruments); per-activation fees; peacetime testing services; training and certification.</w:t>
      </w:r>
    </w:p>
    <w:p>
      <w:pPr>
        <w:pStyle w:val="BodyText"/>
      </w:pPr>
      <w:r>
        <w:rPr>
          <w:b/>
          <w:bCs/>
        </w:rPr>
        <w:t xml:space="preserve">Future potential</w:t>
      </w:r>
    </w:p>
    <w:tbl>
      <w:tblPr>
        <w:tblStyle w:val="Table"/>
        <w:tblW w:w="9360" w:type="dxa"/>
        <w:jc w:val="left"/>
        <w:tblLayout w:type="fixed"/>
        <w:tblLook w:firstRow="1" w:lastRow="0" w:firstColumn="0" w:lastColumn="0" w:noHBand="0" w:noVBand="0" w:val="0020"/>
      </w:tblPr>
      <w:tblGrid>
        <w:gridCol w:w="1011"/>
        <w:gridCol w:w="8349"/>
      </w:tblGrid>
      <w:tr>
        <w:trPr>
          <w:cantSplit/>
          <w:tblHeader w:val="true"/>
        </w:trPr>
        <w:tc>
          <w:tcPr>
            <w:tcW w:w="1011" w:type="dxa"/>
          </w:tcPr>
          <w:p>
            <w:pPr>
              <w:pStyle w:val="TableText"/>
              <w:jc w:val="left"/>
            </w:pPr>
            <w:r>
              <w:t xml:space="preserve">Horizon</w:t>
            </w:r>
          </w:p>
        </w:tc>
        <w:tc>
          <w:tcPr>
            <w:tcW w:w="8349" w:type="dxa"/>
          </w:tcPr>
          <w:p>
            <w:pPr>
              <w:pStyle w:val="TableText"/>
              <w:jc w:val="left"/>
            </w:pPr>
            <w:r>
              <w:t xml:space="preserve">What it becomes</w:t>
            </w:r>
          </w:p>
        </w:tc>
      </w:tr>
      <w:tr>
        <w:trPr>
          <w:cantSplit/>
        </w:trPr>
        <w:tc>
          <w:tcPr>
            <w:tcW w:w="1011" w:type="dxa"/>
          </w:tcPr>
          <w:p>
            <w:pPr>
              <w:pStyle w:val="TableText"/>
              <w:jc w:val="left"/>
            </w:pPr>
            <w:r>
              <w:t xml:space="preserve">2030</w:t>
            </w:r>
          </w:p>
        </w:tc>
        <w:tc>
          <w:tcPr>
            <w:tcW w:w="8349" w:type="dxa"/>
          </w:tcPr>
          <w:p>
            <w:pPr>
              <w:pStyle w:val="TableText"/>
              <w:jc w:val="left"/>
            </w:pPr>
            <w:r>
              <w:t xml:space="preserve">National surge networks in three countries, linked to public-health institutes</w:t>
            </w:r>
          </w:p>
        </w:tc>
      </w:tr>
      <w:tr>
        <w:trPr>
          <w:cantSplit/>
        </w:trPr>
        <w:tc>
          <w:tcPr>
            <w:tcW w:w="1011" w:type="dxa"/>
          </w:tcPr>
          <w:p>
            <w:pPr>
              <w:pStyle w:val="TableText"/>
              <w:jc w:val="left"/>
            </w:pPr>
            <w:r>
              <w:t xml:space="preserve">2035</w:t>
            </w:r>
          </w:p>
        </w:tc>
        <w:tc>
          <w:tcPr>
            <w:tcW w:w="8349" w:type="dxa"/>
          </w:tcPr>
          <w:p>
            <w:pPr>
              <w:pStyle w:val="TableText"/>
              <w:jc w:val="left"/>
            </w:pPr>
            <w:r>
              <w:t xml:space="preserve">Regional integration (e.g., with continental disease-control bodies); routine antimicrobial-resistance surveillance</w:t>
            </w:r>
          </w:p>
        </w:tc>
      </w:tr>
      <w:tr>
        <w:trPr>
          <w:cantSplit/>
        </w:trPr>
        <w:tc>
          <w:tcPr>
            <w:tcW w:w="1011" w:type="dxa"/>
          </w:tcPr>
          <w:p>
            <w:pPr>
              <w:pStyle w:val="TableText"/>
              <w:jc w:val="left"/>
            </w:pPr>
            <w:r>
              <w:t xml:space="preserve">2040–2050</w:t>
            </w:r>
          </w:p>
        </w:tc>
        <w:tc>
          <w:tcPr>
            <w:tcW w:w="8349" w:type="dxa"/>
          </w:tcPr>
          <w:p>
            <w:pPr>
              <w:pStyle w:val="TableText"/>
              <w:jc w:val="left"/>
            </w:pPr>
            <w:r>
              <w:t xml:space="preserve">A global mutual for surge capacity, activated in hours for any outbreak</w:t>
            </w:r>
          </w:p>
        </w:tc>
      </w:tr>
    </w:tbl>
    <w:p/>
    <w:tbl>
      <w:tblPr>
        <w:tblStyle w:val="Table"/>
        <w:tblW w:w="9360" w:type="dxa"/>
        <w:jc w:val="left"/>
        <w:tblLayout w:type="fixed"/>
        <w:tblLook w:firstRow="1" w:lastRow="0" w:firstColumn="0" w:lastColumn="0" w:noHBand="0" w:noVBand="0" w:val="0020"/>
      </w:tblPr>
      <w:tblGrid>
        <w:gridCol w:w="3646"/>
        <w:gridCol w:w="5714"/>
      </w:tblGrid>
      <w:tr>
        <w:trPr>
          <w:cantSplit/>
          <w:tblHeader w:val="true"/>
        </w:trPr>
        <w:tc>
          <w:tcPr>
            <w:tcW w:w="3646" w:type="dxa"/>
          </w:tcPr>
          <w:p>
            <w:pPr>
              <w:pStyle w:val="TableText"/>
              <w:jc w:val="left"/>
            </w:pPr>
            <w:r>
              <w:t xml:space="preserve">Risk</w:t>
            </w:r>
          </w:p>
        </w:tc>
        <w:tc>
          <w:tcPr>
            <w:tcW w:w="5714" w:type="dxa"/>
          </w:tcPr>
          <w:p>
            <w:pPr>
              <w:pStyle w:val="TableText"/>
              <w:jc w:val="left"/>
            </w:pPr>
            <w:r>
              <w:t xml:space="preserve">Safeguard</w:t>
            </w:r>
          </w:p>
        </w:tc>
      </w:tr>
      <w:tr>
        <w:trPr>
          <w:cantSplit/>
        </w:trPr>
        <w:tc>
          <w:tcPr>
            <w:tcW w:w="3646" w:type="dxa"/>
          </w:tcPr>
          <w:p>
            <w:pPr>
              <w:pStyle w:val="TableText"/>
              <w:jc w:val="left"/>
            </w:pPr>
            <w:r>
              <w:t xml:space="preserve">Under-funding between crises</w:t>
            </w:r>
          </w:p>
        </w:tc>
        <w:tc>
          <w:tcPr>
            <w:tcW w:w="5714" w:type="dxa"/>
          </w:tcPr>
          <w:p>
            <w:pPr>
              <w:pStyle w:val="TableText"/>
              <w:jc w:val="left"/>
            </w:pPr>
            <w:r>
              <w:t xml:space="preserve">Peacetime dual-use revenue; multi-year retainers</w:t>
            </w:r>
          </w:p>
        </w:tc>
      </w:tr>
      <w:tr>
        <w:trPr>
          <w:cantSplit/>
        </w:trPr>
        <w:tc>
          <w:tcPr>
            <w:tcW w:w="3646" w:type="dxa"/>
          </w:tcPr>
          <w:p>
            <w:pPr>
              <w:pStyle w:val="TableText"/>
              <w:jc w:val="left"/>
            </w:pPr>
            <w:r>
              <w:t xml:space="preserve">Quality and biosafety</w:t>
            </w:r>
          </w:p>
        </w:tc>
        <w:tc>
          <w:tcPr>
            <w:tcW w:w="5714" w:type="dxa"/>
          </w:tcPr>
          <w:p>
            <w:pPr>
              <w:pStyle w:val="TableText"/>
              <w:jc w:val="left"/>
            </w:pPr>
            <w:r>
              <w:t xml:space="preserve">Accreditation; audits; tiered tasks</w:t>
            </w:r>
          </w:p>
        </w:tc>
      </w:tr>
      <w:tr>
        <w:trPr>
          <w:cantSplit/>
        </w:trPr>
        <w:tc>
          <w:tcPr>
            <w:tcW w:w="3646" w:type="dxa"/>
          </w:tcPr>
          <w:p>
            <w:pPr>
              <w:pStyle w:val="TableText"/>
              <w:jc w:val="left"/>
            </w:pPr>
            <w:r>
              <w:t xml:space="preserve">Data-sharing politics</w:t>
            </w:r>
          </w:p>
        </w:tc>
        <w:tc>
          <w:tcPr>
            <w:tcW w:w="5714" w:type="dxa"/>
          </w:tcPr>
          <w:p>
            <w:pPr>
              <w:pStyle w:val="TableText"/>
              <w:jc w:val="left"/>
            </w:pPr>
            <w:r>
              <w:t xml:space="preserve">Clear data governance; national ownership of data</w:t>
            </w:r>
          </w:p>
        </w:tc>
      </w:tr>
      <w:tr>
        <w:trPr>
          <w:cantSplit/>
        </w:trPr>
        <w:tc>
          <w:tcPr>
            <w:tcW w:w="3646" w:type="dxa"/>
          </w:tcPr>
          <w:p>
            <w:pPr>
              <w:pStyle w:val="TableText"/>
              <w:jc w:val="left"/>
            </w:pPr>
            <w:r>
              <w:t xml:space="preserve">Liability for deployed clinicians</w:t>
            </w:r>
          </w:p>
        </w:tc>
        <w:tc>
          <w:tcPr>
            <w:tcW w:w="5714" w:type="dxa"/>
          </w:tcPr>
          <w:p>
            <w:pPr>
              <w:pStyle w:val="TableText"/>
              <w:jc w:val="left"/>
            </w:pPr>
            <w:r>
              <w:t xml:space="preserve">Pre-agreed indemnities; credential verification</w:t>
            </w:r>
          </w:p>
        </w:tc>
      </w:tr>
    </w:tbl>
    <w:p>
      <w:pPr>
        <w:pStyle w:val="BodyText"/>
        <w:spacing w:before="160"/>
      </w:pPr>
      <w:r>
        <w:rPr>
          <w:b/>
          <w:bCs/>
        </w:rPr>
        <w:t xml:space="preserve">First 100 days.</w:t>
      </w:r>
      <w:r>
        <w:t xml:space="preserve"> </w:t>
      </w:r>
      <w:r>
        <w:t xml:space="preserve">One Nigerian state; register 20 labs and 200 clinicians; run a simulation exercise; pilot during the Lassa fever season.</w:t>
      </w:r>
    </w:p>
    <w:p>
      <w:pPr>
        <w:pStyle w:val="BodyText"/>
      </w:pPr>
      <w:r>
        <w:rPr>
          <w:b/>
          <w:bCs/>
        </w:rPr>
        <w:t xml:space="preserve">Double Decagon score: 83/100 (future-fit).</w:t>
      </w:r>
      <w:r>
        <w:t xml:space="preserve"> </w:t>
      </w:r>
      <w:r>
        <w:t xml:space="preserve">Inner Decagon 43/50 (V1 5 · V2 4 · V3 4 · V4 3 · V5 4 · V6 4 · V7 5 · V8 5 · V9 4 · V10 5). Future-Fitness 40/50 (F1 3 · F2 4 · F3 4 · F4 4 · F5 4 · F6 4 · F7 4 · F8 4 · F9 5 · F10 4).</w:t>
      </w:r>
    </w:p>
    <w:bookmarkEnd w:id="61"/>
    <w:bookmarkStart w:id="62" w:name="X2c5913cb1b1767bfff76c5448cac72d5bbfd1a8"/>
    <w:p>
      <w:pPr>
        <w:pStyle w:val="Heading2"/>
      </w:pPr>
      <w:r>
        <w:t xml:space="preserve">Venture 8: WILDLEDGER, the community nature-stewardship marketplace</w:t>
      </w:r>
    </w:p>
    <w:p>
      <w:pPr>
        <w:pStyle w:val="BlockText"/>
      </w:pPr>
      <w:r>
        <w:rPr>
          <w:b/>
          <w:bCs/>
        </w:rPr>
        <w:t xml:space="preserve">Thesis.</w:t>
      </w:r>
      <w:r>
        <w:t xml:space="preserve"> </w:t>
      </w:r>
      <w:r>
        <w:t xml:space="preserve">The world has promised to protect 30% of land and sea by 2030 and to mobilize hundreds of billions of dollars a year for nature. Yet the money rarely reaches the communities who actually steward forests, rivers and wildlife, and nature credits face a crisis of trust. WildLedger pays communities for</w:t>
      </w:r>
      <w:r>
        <w:t xml:space="preserve"> </w:t>
      </w:r>
      <w:r>
        <w:rPr>
          <w:i/>
          <w:iCs/>
        </w:rPr>
        <w:t xml:space="preserve">verified stewardship</w:t>
      </w:r>
      <w:r>
        <w:t xml:space="preserve">, using satellites, acoustic sensors, environmental DNA and independent local verifiers. It applies Airbnb’s host model to guardianship of nature.</w:t>
      </w:r>
    </w:p>
    <w:tbl>
      <w:tblPr>
        <w:tblStyle w:val="Table"/>
        <w:tblW w:w="9360" w:type="dxa"/>
        <w:jc w:val="left"/>
        <w:tblLayout w:type="fixed"/>
        <w:tblLook w:firstRow="1" w:lastRow="0" w:firstColumn="0" w:lastColumn="0" w:noHBand="0" w:noVBand="0" w:val="0020"/>
      </w:tblPr>
      <w:tblGrid>
        <w:gridCol w:w="1212"/>
        <w:gridCol w:w="8148"/>
      </w:tblGrid>
      <w:tr>
        <w:trPr>
          <w:cantSplit/>
          <w:tblHeader w:val="true"/>
        </w:trPr>
        <w:tc>
          <w:tcPr>
            <w:tcW w:w="1212" w:type="dxa"/>
          </w:tcPr>
          <w:p>
            <w:pPr>
              <w:pStyle w:val="TableText"/>
              <w:jc w:val="left"/>
            </w:pPr>
            <w:r>
              <w:t xml:space="preserve">Gene</w:t>
            </w:r>
          </w:p>
        </w:tc>
        <w:tc>
          <w:tcPr>
            <w:tcW w:w="8148" w:type="dxa"/>
          </w:tcPr>
          <w:p>
            <w:pPr>
              <w:pStyle w:val="TableText"/>
              <w:jc w:val="left"/>
            </w:pPr>
            <w:r>
              <w:t xml:space="preserve">Value</w:t>
            </w:r>
          </w:p>
        </w:tc>
      </w:tr>
      <w:tr>
        <w:trPr>
          <w:cantSplit/>
        </w:trPr>
        <w:tc>
          <w:tcPr>
            <w:tcW w:w="1212" w:type="dxa"/>
          </w:tcPr>
          <w:p>
            <w:pPr>
              <w:pStyle w:val="TableText"/>
              <w:jc w:val="left"/>
            </w:pPr>
            <w:r>
              <w:t xml:space="preserve">Problem domain</w:t>
            </w:r>
          </w:p>
        </w:tc>
        <w:tc>
          <w:tcPr>
            <w:tcW w:w="8148" w:type="dxa"/>
          </w:tcPr>
          <w:p>
            <w:pPr>
              <w:pStyle w:val="TableText"/>
              <w:jc w:val="left"/>
            </w:pPr>
            <w:r>
              <w:t xml:space="preserve">D8 Nature and biodiversity</w:t>
            </w:r>
          </w:p>
        </w:tc>
      </w:tr>
      <w:tr>
        <w:trPr>
          <w:cantSplit/>
        </w:trPr>
        <w:tc>
          <w:tcPr>
            <w:tcW w:w="1212" w:type="dxa"/>
          </w:tcPr>
          <w:p>
            <w:pPr>
              <w:pStyle w:val="TableText"/>
              <w:jc w:val="left"/>
            </w:pPr>
            <w:r>
              <w:t xml:space="preserve">Latent capacity</w:t>
            </w:r>
          </w:p>
        </w:tc>
        <w:tc>
          <w:tcPr>
            <w:tcW w:w="8148" w:type="dxa"/>
          </w:tcPr>
          <w:p>
            <w:pPr>
              <w:pStyle w:val="TableText"/>
              <w:jc w:val="left"/>
            </w:pPr>
            <w:r>
              <w:t xml:space="preserve">L13 community stewardship capacity and knowledge; L10 idle trust (community institutions)</w:t>
            </w:r>
          </w:p>
        </w:tc>
      </w:tr>
      <w:tr>
        <w:trPr>
          <w:cantSplit/>
        </w:trPr>
        <w:tc>
          <w:tcPr>
            <w:tcW w:w="1212" w:type="dxa"/>
          </w:tcPr>
          <w:p>
            <w:pPr>
              <w:pStyle w:val="TableText"/>
              <w:jc w:val="left"/>
            </w:pPr>
            <w:r>
              <w:t xml:space="preserve">Archetype</w:t>
            </w:r>
          </w:p>
        </w:tc>
        <w:tc>
          <w:tcPr>
            <w:tcW w:w="8148" w:type="dxa"/>
          </w:tcPr>
          <w:p>
            <w:pPr>
              <w:pStyle w:val="TableText"/>
              <w:jc w:val="left"/>
            </w:pPr>
            <w:r>
              <w:t xml:space="preserve">A2 marketplace + A1 verifier dispatch + A7 data trust + A8 protocol</w:t>
            </w:r>
          </w:p>
        </w:tc>
      </w:tr>
      <w:tr>
        <w:trPr>
          <w:cantSplit/>
        </w:trPr>
        <w:tc>
          <w:tcPr>
            <w:tcW w:w="1212" w:type="dxa"/>
          </w:tcPr>
          <w:p>
            <w:pPr>
              <w:pStyle w:val="TableText"/>
              <w:jc w:val="left"/>
            </w:pPr>
            <w:r>
              <w:t xml:space="preserve">Technology waves</w:t>
            </w:r>
          </w:p>
        </w:tc>
        <w:tc>
          <w:tcPr>
            <w:tcW w:w="8148" w:type="dxa"/>
          </w:tcPr>
          <w:p>
            <w:pPr>
              <w:pStyle w:val="TableText"/>
              <w:jc w:val="left"/>
            </w:pPr>
            <w:r>
              <w:t xml:space="preserve">T-e earth observation, bioacoustics and environmental DNA; T-c verifiable credentials; T-d programmable money</w:t>
            </w:r>
          </w:p>
        </w:tc>
      </w:tr>
      <w:tr>
        <w:trPr>
          <w:cantSplit/>
        </w:trPr>
        <w:tc>
          <w:tcPr>
            <w:tcW w:w="1212" w:type="dxa"/>
          </w:tcPr>
          <w:p>
            <w:pPr>
              <w:pStyle w:val="TableText"/>
              <w:jc w:val="left"/>
            </w:pPr>
            <w:r>
              <w:t xml:space="preserve">Governance</w:t>
            </w:r>
          </w:p>
        </w:tc>
        <w:tc>
          <w:tcPr>
            <w:tcW w:w="8148" w:type="dxa"/>
          </w:tcPr>
          <w:p>
            <w:pPr>
              <w:pStyle w:val="TableText"/>
              <w:jc w:val="left"/>
            </w:pPr>
            <w:r>
              <w:t xml:space="preserve">Community land and data trusts with a protocol foundation</w:t>
            </w:r>
          </w:p>
        </w:tc>
      </w:tr>
      <w:tr>
        <w:trPr>
          <w:cantSplit/>
        </w:trPr>
        <w:tc>
          <w:tcPr>
            <w:tcW w:w="1212" w:type="dxa"/>
          </w:tcPr>
          <w:p>
            <w:pPr>
              <w:pStyle w:val="TableText"/>
              <w:jc w:val="left"/>
            </w:pPr>
            <w:r>
              <w:t xml:space="preserve">Foothold</w:t>
            </w:r>
          </w:p>
        </w:tc>
        <w:tc>
          <w:tcPr>
            <w:tcW w:w="8148" w:type="dxa"/>
          </w:tcPr>
          <w:p>
            <w:pPr>
              <w:pStyle w:val="TableText"/>
              <w:jc w:val="left"/>
            </w:pPr>
            <w:r>
              <w:t xml:space="preserve">Regulatory window (global biodiversity targets; nature-related corporate disclosure)</w:t>
            </w:r>
          </w:p>
        </w:tc>
      </w:tr>
    </w:tbl>
    <w:p>
      <w:pPr>
        <w:pStyle w:val="BodyText"/>
        <w:spacing w:before="160"/>
      </w:pPr>
      <w:r>
        <w:rPr>
          <w:b/>
          <w:bCs/>
        </w:rPr>
        <w:t xml:space="preserve">The new problem</w:t>
      </w:r>
    </w:p>
    <w:p>
      <w:pPr>
        <w:pStyle w:val="Compact"/>
        <w:numPr>
          <w:ilvl w:val="0"/>
          <w:numId w:val="1044"/>
        </w:numPr>
      </w:pPr>
      <w:r>
        <w:t xml:space="preserve">Monitored wildlife populations declined by an average of 73% between 1970 and 2020 (WWF</w:t>
      </w:r>
      <w:r>
        <w:t xml:space="preserve"> </w:t>
      </w:r>
      <w:r>
        <w:rPr>
          <w:i/>
          <w:iCs/>
        </w:rPr>
        <w:t xml:space="preserve">Living Planet Report</w:t>
      </w:r>
      <w:r>
        <w:t xml:space="preserve">, 2024), and by 76% in Africa.</w:t>
      </w:r>
    </w:p>
    <w:p>
      <w:pPr>
        <w:pStyle w:val="Compact"/>
        <w:numPr>
          <w:ilvl w:val="0"/>
          <w:numId w:val="1044"/>
        </w:numPr>
      </w:pPr>
      <w:r>
        <w:t xml:space="preserve">The Kunming–Montreal Global Biodiversity Framework (2022) commits countries to protect 30% of land and sea by 2030 and to mobilize at least $200bn a year for biodiversity.</w:t>
      </w:r>
    </w:p>
    <w:p>
      <w:pPr>
        <w:pStyle w:val="Compact"/>
        <w:numPr>
          <w:ilvl w:val="0"/>
          <w:numId w:val="1044"/>
        </w:numPr>
      </w:pPr>
      <w:r>
        <w:t xml:space="preserve">Investigations in 2023 questioned the integrity of many forest carbon credits, damaging trust in nature finance.</w:t>
      </w:r>
    </w:p>
    <w:p>
      <w:pPr>
        <w:pStyle w:val="Compact"/>
        <w:numPr>
          <w:ilvl w:val="0"/>
          <w:numId w:val="1044"/>
        </w:numPr>
      </w:pPr>
      <w:r>
        <w:t xml:space="preserve">Indigenous peoples and local communities manage a large share of the world’s land and much of its remaining biodiversity, but receive a small share of the money.</w:t>
      </w:r>
    </w:p>
    <w:p>
      <w:pPr>
        <w:pStyle w:val="FirstParagraph"/>
      </w:pPr>
      <w:r>
        <w:rPr>
          <w:b/>
          <w:bCs/>
        </w:rPr>
        <w:t xml:space="preserve">Benchmarks: borrowed and inverted</w:t>
      </w:r>
    </w:p>
    <w:p>
      <w:pPr>
        <w:pStyle w:val="Compact"/>
        <w:numPr>
          <w:ilvl w:val="0"/>
          <w:numId w:val="1045"/>
        </w:numPr>
      </w:pPr>
      <w:r>
        <w:rPr>
          <w:b/>
          <w:bCs/>
        </w:rPr>
        <w:t xml:space="preserve">From Airbnb:</w:t>
      </w:r>
      <w:r>
        <w:t xml:space="preserve"> </w:t>
      </w:r>
      <w:r>
        <w:t xml:space="preserve">hosts become</w:t>
      </w:r>
      <w:r>
        <w:t xml:space="preserve"> </w:t>
      </w:r>
      <w:r>
        <w:rPr>
          <w:i/>
          <w:iCs/>
        </w:rPr>
        <w:t xml:space="preserve">stewards</w:t>
      </w:r>
      <w:r>
        <w:t xml:space="preserve">; reviews become</w:t>
      </w:r>
      <w:r>
        <w:t xml:space="preserve"> </w:t>
      </w:r>
      <w:r>
        <w:rPr>
          <w:i/>
          <w:iCs/>
        </w:rPr>
        <w:t xml:space="preserve">verified ecological outcomes</w:t>
      </w:r>
      <w:r>
        <w:t xml:space="preserve">.</w:t>
      </w:r>
    </w:p>
    <w:p>
      <w:pPr>
        <w:pStyle w:val="Compact"/>
        <w:numPr>
          <w:ilvl w:val="0"/>
          <w:numId w:val="1045"/>
        </w:numPr>
      </w:pPr>
      <w:r>
        <w:rPr>
          <w:b/>
          <w:bCs/>
        </w:rPr>
        <w:t xml:space="preserve">From Uber:</w:t>
      </w:r>
      <w:r>
        <w:t xml:space="preserve"> </w:t>
      </w:r>
      <w:r>
        <w:t xml:space="preserve">dispatch of independent verifiers.</w:t>
      </w:r>
    </w:p>
    <w:p>
      <w:pPr>
        <w:pStyle w:val="Compact"/>
        <w:numPr>
          <w:ilvl w:val="0"/>
          <w:numId w:val="1045"/>
        </w:numPr>
      </w:pPr>
      <w:r>
        <w:rPr>
          <w:b/>
          <w:bCs/>
        </w:rPr>
        <w:t xml:space="preserve">Links</w:t>
      </w:r>
      <w:r>
        <w:t xml:space="preserve"> </w:t>
      </w:r>
      <w:r>
        <w:t xml:space="preserve">to DataGuild (community data trusts), GroundTruth (verification) and the LandLedger seed (land tenure).</w:t>
      </w:r>
    </w:p>
    <w:p>
      <w:pPr>
        <w:pStyle w:val="Compact"/>
        <w:numPr>
          <w:ilvl w:val="0"/>
          <w:numId w:val="1045"/>
        </w:numPr>
      </w:pPr>
      <w:r>
        <w:rPr>
          <w:b/>
          <w:bCs/>
        </w:rPr>
        <w:t xml:space="preserve">Inverts:</w:t>
      </w:r>
      <w:r>
        <w:t xml:space="preserve"> </w:t>
      </w:r>
      <w:r>
        <w:t xml:space="preserve">value flows to stewards rather than intermediaries. Payments reward stewardship</w:t>
      </w:r>
      <w:r>
        <w:t xml:space="preserve"> </w:t>
      </w:r>
      <w:r>
        <w:rPr>
          <w:i/>
          <w:iCs/>
        </w:rPr>
        <w:t xml:space="preserve">services</w:t>
      </w:r>
      <w:r>
        <w:t xml:space="preserve">; they do not buy nature itself. This respects Polanyi’s warning about land as a fictitious commodity and Heidegger’s warning about nature as standing-reserve.</w:t>
      </w:r>
    </w:p>
    <w:p>
      <w:pPr>
        <w:pStyle w:val="FirstParagraph"/>
      </w:pPr>
      <w:r>
        <w:rPr>
          <w:b/>
          <w:bCs/>
        </w:rPr>
        <w:t xml:space="preserve">How it works</w:t>
      </w:r>
    </w:p>
    <w:p>
      <w:pPr>
        <w:pStyle w:val="Compact"/>
        <w:numPr>
          <w:ilvl w:val="0"/>
          <w:numId w:val="1046"/>
        </w:numPr>
      </w:pPr>
      <w:r>
        <w:rPr>
          <w:b/>
          <w:bCs/>
        </w:rPr>
        <w:t xml:space="preserve">Consent and mapping.</w:t>
      </w:r>
      <w:r>
        <w:t xml:space="preserve"> </w:t>
      </w:r>
      <w:r>
        <w:t xml:space="preserve">Communities enrol only with free, prior and informed consent. Land and tenure are mapped.</w:t>
      </w:r>
    </w:p>
    <w:p>
      <w:pPr>
        <w:pStyle w:val="Compact"/>
        <w:numPr>
          <w:ilvl w:val="0"/>
          <w:numId w:val="1046"/>
        </w:numPr>
      </w:pPr>
      <w:r>
        <w:rPr>
          <w:b/>
          <w:bCs/>
        </w:rPr>
        <w:t xml:space="preserve">Baseline.</w:t>
      </w:r>
      <w:r>
        <w:t xml:space="preserve"> </w:t>
      </w:r>
      <w:r>
        <w:t xml:space="preserve">Satellite imagery, acoustic monitors and environmental DNA samples set a baseline of habitat and species.</w:t>
      </w:r>
    </w:p>
    <w:p>
      <w:pPr>
        <w:pStyle w:val="Compact"/>
        <w:numPr>
          <w:ilvl w:val="0"/>
          <w:numId w:val="1046"/>
        </w:numPr>
      </w:pPr>
      <w:r>
        <w:rPr>
          <w:b/>
          <w:bCs/>
        </w:rPr>
        <w:t xml:space="preserve">Stewardship actions.</w:t>
      </w:r>
      <w:r>
        <w:t xml:space="preserve"> </w:t>
      </w:r>
      <w:r>
        <w:t xml:space="preserve">Community rangers log patrols, restoration and fire prevention.</w:t>
      </w:r>
    </w:p>
    <w:p>
      <w:pPr>
        <w:pStyle w:val="Compact"/>
        <w:numPr>
          <w:ilvl w:val="0"/>
          <w:numId w:val="1046"/>
        </w:numPr>
      </w:pPr>
      <w:r>
        <w:rPr>
          <w:b/>
          <w:bCs/>
        </w:rPr>
        <w:t xml:space="preserve">Independent verification.</w:t>
      </w:r>
      <w:r>
        <w:t xml:space="preserve"> </w:t>
      </w:r>
      <w:r>
        <w:t xml:space="preserve">Verifiers are dispatched at random, and results are cross-checked with remote sensing.</w:t>
      </w:r>
    </w:p>
    <w:p>
      <w:pPr>
        <w:pStyle w:val="Compact"/>
        <w:numPr>
          <w:ilvl w:val="0"/>
          <w:numId w:val="1046"/>
        </w:numPr>
      </w:pPr>
      <w:r>
        <w:rPr>
          <w:b/>
          <w:bCs/>
        </w:rPr>
        <w:t xml:space="preserve">Outcome payments.</w:t>
      </w:r>
      <w:r>
        <w:t xml:space="preserve"> </w:t>
      </w:r>
      <w:r>
        <w:t xml:space="preserve">Buyers (companies with nature commitments, governments, philanthropies) pay for verified outcomes. Payments go to community accounts by mobile money, with public ledgers.</w:t>
      </w:r>
    </w:p>
    <w:p>
      <w:pPr>
        <w:pStyle w:val="Compact"/>
        <w:numPr>
          <w:ilvl w:val="0"/>
          <w:numId w:val="1046"/>
        </w:numPr>
      </w:pPr>
      <w:r>
        <w:rPr>
          <w:b/>
          <w:bCs/>
        </w:rPr>
        <w:t xml:space="preserve">Community data trust.</w:t>
      </w:r>
      <w:r>
        <w:t xml:space="preserve"> </w:t>
      </w:r>
      <w:r>
        <w:t xml:space="preserve">Communities own their data and decide how it is used.</w:t>
      </w:r>
    </w:p>
    <w:p>
      <w:pPr>
        <w:pStyle w:val="Compact"/>
        <w:numPr>
          <w:ilvl w:val="0"/>
          <w:numId w:val="1046"/>
        </w:numPr>
      </w:pPr>
      <w:r>
        <w:rPr>
          <w:b/>
          <w:bCs/>
        </w:rPr>
        <w:t xml:space="preserve">Benefit-sharing rules.</w:t>
      </w:r>
      <w:r>
        <w:t xml:space="preserve"> </w:t>
      </w:r>
      <w:r>
        <w:t xml:space="preserve">Communities set distribution rules, following Ostrom’s principles, with representation for women and youth.</w:t>
      </w:r>
    </w:p>
    <w:p>
      <w:pPr>
        <w:pStyle w:val="FirstParagraph"/>
      </w:pPr>
      <w:r>
        <w:rPr>
          <w:b/>
          <w:bCs/>
        </w:rPr>
        <w:t xml:space="preserve">System dynamics</w:t>
      </w:r>
    </w:p>
    <w:p>
      <w:pPr>
        <w:pStyle w:val="Compact"/>
        <w:numPr>
          <w:ilvl w:val="0"/>
          <w:numId w:val="1047"/>
        </w:numPr>
      </w:pPr>
      <w:r>
        <w:rPr>
          <w:b/>
          <w:bCs/>
        </w:rPr>
        <w:t xml:space="preserve">R1, the stewardship loop:</w:t>
      </w:r>
      <w:r>
        <w:t xml:space="preserve"> </w:t>
      </w:r>
      <w:r>
        <w:t xml:space="preserve">payments → patrols and restoration → better outcomes → buyer trust → more payments.</w:t>
      </w:r>
    </w:p>
    <w:p>
      <w:pPr>
        <w:pStyle w:val="Compact"/>
        <w:numPr>
          <w:ilvl w:val="0"/>
          <w:numId w:val="1047"/>
        </w:numPr>
      </w:pPr>
      <w:r>
        <w:rPr>
          <w:b/>
          <w:bCs/>
        </w:rPr>
        <w:t xml:space="preserve">B1, integrity doubts:</w:t>
      </w:r>
      <w:r>
        <w:t xml:space="preserve"> </w:t>
      </w:r>
      <w:r>
        <w:t xml:space="preserve">questions about leakage or additionality. Conservative baselines and independent verification contain them.</w:t>
      </w:r>
    </w:p>
    <w:p>
      <w:pPr>
        <w:pStyle w:val="Compact"/>
        <w:numPr>
          <w:ilvl w:val="0"/>
          <w:numId w:val="1047"/>
        </w:numPr>
      </w:pPr>
      <w:r>
        <w:rPr>
          <w:b/>
          <w:bCs/>
        </w:rPr>
        <w:t xml:space="preserve">B2, elite capture:</w:t>
      </w:r>
      <w:r>
        <w:t xml:space="preserve"> </w:t>
      </w:r>
      <w:r>
        <w:t xml:space="preserve">benefits captured by a few. Transparent ledgers and inclusive governance contain it.</w:t>
      </w:r>
    </w:p>
    <w:p>
      <w:pPr>
        <w:pStyle w:val="Compact"/>
        <w:numPr>
          <w:ilvl w:val="0"/>
          <w:numId w:val="1047"/>
        </w:numPr>
      </w:pPr>
      <w:r>
        <w:rPr>
          <w:b/>
          <w:bCs/>
        </w:rPr>
        <w:t xml:space="preserve">Leverage point:</w:t>
      </w:r>
      <w:r>
        <w:t xml:space="preserve"> </w:t>
      </w:r>
      <w:r>
        <w:t xml:space="preserve">rules (benefit and tenure rights), information (verification) and paradigm (nature as a living partner).</w:t>
      </w:r>
    </w:p>
    <w:p>
      <w:pPr>
        <w:pStyle w:val="FirstParagraph"/>
      </w:pPr>
      <w:r>
        <w:rPr>
          <w:b/>
          <w:bCs/>
        </w:rPr>
        <w:t xml:space="preserve">Design thinking</w:t>
      </w:r>
    </w:p>
    <w:p>
      <w:pPr>
        <w:pStyle w:val="Compact"/>
        <w:numPr>
          <w:ilvl w:val="0"/>
          <w:numId w:val="1048"/>
        </w:numPr>
      </w:pPr>
      <w:r>
        <w:rPr>
          <w:i/>
          <w:iCs/>
        </w:rPr>
        <w:t xml:space="preserve">Personas:</w:t>
      </w:r>
      <w:r>
        <w:t xml:space="preserve"> </w:t>
      </w:r>
      <w:r>
        <w:rPr>
          <w:b/>
          <w:bCs/>
        </w:rPr>
        <w:t xml:space="preserve">Chief Ekpo</w:t>
      </w:r>
      <w:r>
        <w:t xml:space="preserve">, a community leader near Cross River National Park in Nigeria.</w:t>
      </w:r>
      <w:r>
        <w:t xml:space="preserve"> </w:t>
      </w:r>
      <w:r>
        <w:rPr>
          <w:b/>
          <w:bCs/>
        </w:rPr>
        <w:t xml:space="preserve">Blessing</w:t>
      </w:r>
      <w:r>
        <w:t xml:space="preserve">, a young community ranger.</w:t>
      </w:r>
      <w:r>
        <w:t xml:space="preserve"> </w:t>
      </w:r>
      <w:r>
        <w:rPr>
          <w:b/>
          <w:bCs/>
        </w:rPr>
        <w:t xml:space="preserve">A sustainability lead</w:t>
      </w:r>
      <w:r>
        <w:t xml:space="preserve"> </w:t>
      </w:r>
      <w:r>
        <w:t xml:space="preserve">at a food company with deforestation-free commitments.</w:t>
      </w:r>
    </w:p>
    <w:p>
      <w:pPr>
        <w:pStyle w:val="Compact"/>
        <w:numPr>
          <w:ilvl w:val="0"/>
          <w:numId w:val="1048"/>
        </w:numPr>
      </w:pPr>
      <w:r>
        <w:rPr>
          <w:i/>
          <w:iCs/>
        </w:rPr>
        <w:t xml:space="preserve">How might</w:t>
      </w:r>
      <w:r>
        <w:t xml:space="preserve"> </w:t>
      </w:r>
      <w:r>
        <w:t xml:space="preserve">the people who protect nature be paid as reliably as those who destroy it?</w:t>
      </w:r>
    </w:p>
    <w:p>
      <w:pPr>
        <w:pStyle w:val="Compact"/>
        <w:numPr>
          <w:ilvl w:val="0"/>
          <w:numId w:val="1048"/>
        </w:numPr>
      </w:pPr>
      <w:r>
        <w:rPr>
          <w:i/>
          <w:iCs/>
        </w:rPr>
        <w:t xml:space="preserve">Moment of truth:</w:t>
      </w:r>
      <w:r>
        <w:t xml:space="preserve"> </w:t>
      </w:r>
      <w:r>
        <w:t xml:space="preserve">the first quarterly stewardship payment arrives in community accounts, verified, with a public dashboard anyone can inspect.</w:t>
      </w:r>
    </w:p>
    <w:p>
      <w:pPr>
        <w:pStyle w:val="FirstParagraph"/>
      </w:pPr>
      <w:r>
        <w:rPr>
          <w:b/>
          <w:bCs/>
        </w:rPr>
        <w:t xml:space="preserve">Business and ownership model.</w:t>
      </w:r>
      <w:r>
        <w:t xml:space="preserve"> </w:t>
      </w:r>
      <w:r>
        <w:t xml:space="preserve">A platform fee of at most 10% on outcome payments; monitoring services; consent-based data licensing; nature-disclosure reporting services for companies. Communities own their data and a share of the protocol foundation.</w:t>
      </w:r>
    </w:p>
    <w:p>
      <w:pPr>
        <w:pStyle w:val="BodyText"/>
      </w:pPr>
      <w:r>
        <w:rPr>
          <w:b/>
          <w:bCs/>
        </w:rPr>
        <w:t xml:space="preserve">Future potential</w:t>
      </w:r>
    </w:p>
    <w:tbl>
      <w:tblPr>
        <w:tblStyle w:val="Table"/>
        <w:tblW w:w="9360" w:type="dxa"/>
        <w:jc w:val="left"/>
        <w:tblLayout w:type="fixed"/>
        <w:tblLook w:firstRow="1" w:lastRow="0" w:firstColumn="0" w:lastColumn="0" w:noHBand="0" w:noVBand="0" w:val="0020"/>
      </w:tblPr>
      <w:tblGrid>
        <w:gridCol w:w="1206"/>
        <w:gridCol w:w="8154"/>
      </w:tblGrid>
      <w:tr>
        <w:trPr>
          <w:cantSplit/>
          <w:tblHeader w:val="true"/>
        </w:trPr>
        <w:tc>
          <w:tcPr>
            <w:tcW w:w="1206" w:type="dxa"/>
          </w:tcPr>
          <w:p>
            <w:pPr>
              <w:pStyle w:val="TableText"/>
              <w:jc w:val="left"/>
            </w:pPr>
            <w:r>
              <w:t xml:space="preserve">Horizon</w:t>
            </w:r>
          </w:p>
        </w:tc>
        <w:tc>
          <w:tcPr>
            <w:tcW w:w="8154" w:type="dxa"/>
          </w:tcPr>
          <w:p>
            <w:pPr>
              <w:pStyle w:val="TableText"/>
              <w:jc w:val="left"/>
            </w:pPr>
            <w:r>
              <w:t xml:space="preserve">What it becomes</w:t>
            </w:r>
          </w:p>
        </w:tc>
      </w:tr>
      <w:tr>
        <w:trPr>
          <w:cantSplit/>
        </w:trPr>
        <w:tc>
          <w:tcPr>
            <w:tcW w:w="1206" w:type="dxa"/>
          </w:tcPr>
          <w:p>
            <w:pPr>
              <w:pStyle w:val="TableText"/>
              <w:jc w:val="left"/>
            </w:pPr>
            <w:r>
              <w:t xml:space="preserve">2030</w:t>
            </w:r>
          </w:p>
        </w:tc>
        <w:tc>
          <w:tcPr>
            <w:tcW w:w="8154" w:type="dxa"/>
          </w:tcPr>
          <w:p>
            <w:pPr>
              <w:pStyle w:val="TableText"/>
              <w:jc w:val="left"/>
            </w:pPr>
            <w:r>
              <w:t xml:space="preserve">Fifty communities in several countries with verified stewardship payments</w:t>
            </w:r>
          </w:p>
        </w:tc>
      </w:tr>
      <w:tr>
        <w:trPr>
          <w:cantSplit/>
        </w:trPr>
        <w:tc>
          <w:tcPr>
            <w:tcW w:w="1206" w:type="dxa"/>
          </w:tcPr>
          <w:p>
            <w:pPr>
              <w:pStyle w:val="TableText"/>
              <w:jc w:val="left"/>
            </w:pPr>
            <w:r>
              <w:t xml:space="preserve">2035</w:t>
            </w:r>
          </w:p>
        </w:tc>
        <w:tc>
          <w:tcPr>
            <w:tcW w:w="8154" w:type="dxa"/>
          </w:tcPr>
          <w:p>
            <w:pPr>
              <w:pStyle w:val="TableText"/>
              <w:jc w:val="left"/>
            </w:pPr>
            <w:r>
              <w:t xml:space="preserve">National programmes using WildLedger for biodiversity finance and reporting</w:t>
            </w:r>
          </w:p>
        </w:tc>
      </w:tr>
      <w:tr>
        <w:trPr>
          <w:cantSplit/>
        </w:trPr>
        <w:tc>
          <w:tcPr>
            <w:tcW w:w="1206" w:type="dxa"/>
          </w:tcPr>
          <w:p>
            <w:pPr>
              <w:pStyle w:val="TableText"/>
              <w:jc w:val="left"/>
            </w:pPr>
            <w:r>
              <w:t xml:space="preserve">2040–2050</w:t>
            </w:r>
          </w:p>
        </w:tc>
        <w:tc>
          <w:tcPr>
            <w:tcW w:w="8154" w:type="dxa"/>
          </w:tcPr>
          <w:p>
            <w:pPr>
              <w:pStyle w:val="TableText"/>
              <w:jc w:val="left"/>
            </w:pPr>
            <w:r>
              <w:t xml:space="preserve">A planetary</w:t>
            </w:r>
            <w:r>
              <w:t xml:space="preserve"> </w:t>
            </w:r>
            <w:r>
              <w:t xml:space="preserve">“</w:t>
            </w:r>
            <w:r>
              <w:t xml:space="preserve">stewardship payroll</w:t>
            </w:r>
            <w:r>
              <w:t xml:space="preserve">”</w:t>
            </w:r>
            <w:r>
              <w:t xml:space="preserve"> </w:t>
            </w:r>
            <w:r>
              <w:t xml:space="preserve">that rewards the people who keep ecosystems alive</w:t>
            </w:r>
          </w:p>
        </w:tc>
      </w:tr>
    </w:tbl>
    <w:p/>
    <w:tbl>
      <w:tblPr>
        <w:tblStyle w:val="Table"/>
        <w:tblW w:w="9360" w:type="dxa"/>
        <w:jc w:val="left"/>
        <w:tblLayout w:type="fixed"/>
        <w:tblLook w:firstRow="1" w:lastRow="0" w:firstColumn="0" w:lastColumn="0" w:noHBand="0" w:noVBand="0" w:val="0020"/>
      </w:tblPr>
      <w:tblGrid>
        <w:gridCol w:w="2100"/>
        <w:gridCol w:w="7260"/>
      </w:tblGrid>
      <w:tr>
        <w:trPr>
          <w:cantSplit/>
          <w:tblHeader w:val="true"/>
        </w:trPr>
        <w:tc>
          <w:tcPr>
            <w:tcW w:w="2100" w:type="dxa"/>
          </w:tcPr>
          <w:p>
            <w:pPr>
              <w:pStyle w:val="TableText"/>
              <w:jc w:val="left"/>
            </w:pPr>
            <w:r>
              <w:t xml:space="preserve">Risk</w:t>
            </w:r>
          </w:p>
        </w:tc>
        <w:tc>
          <w:tcPr>
            <w:tcW w:w="7260" w:type="dxa"/>
          </w:tcPr>
          <w:p>
            <w:pPr>
              <w:pStyle w:val="TableText"/>
              <w:jc w:val="left"/>
            </w:pPr>
            <w:r>
              <w:t xml:space="preserve">Safeguard</w:t>
            </w:r>
          </w:p>
        </w:tc>
      </w:tr>
      <w:tr>
        <w:trPr>
          <w:cantSplit/>
        </w:trPr>
        <w:tc>
          <w:tcPr>
            <w:tcW w:w="2100" w:type="dxa"/>
          </w:tcPr>
          <w:p>
            <w:pPr>
              <w:pStyle w:val="TableText"/>
              <w:jc w:val="left"/>
            </w:pPr>
            <w:r>
              <w:t xml:space="preserve">Commodifying nature</w:t>
            </w:r>
          </w:p>
        </w:tc>
        <w:tc>
          <w:tcPr>
            <w:tcW w:w="7260" w:type="dxa"/>
          </w:tcPr>
          <w:p>
            <w:pPr>
              <w:pStyle w:val="TableText"/>
              <w:jc w:val="left"/>
            </w:pPr>
            <w:r>
              <w:t xml:space="preserve">Pay for stewardship services, not nature itself; no offset claims without high integrity</w:t>
            </w:r>
          </w:p>
        </w:tc>
      </w:tr>
      <w:tr>
        <w:trPr>
          <w:cantSplit/>
        </w:trPr>
        <w:tc>
          <w:tcPr>
            <w:tcW w:w="2100" w:type="dxa"/>
          </w:tcPr>
          <w:p>
            <w:pPr>
              <w:pStyle w:val="TableText"/>
              <w:jc w:val="left"/>
            </w:pPr>
            <w:r>
              <w:t xml:space="preserve">Greenwashing by buyers</w:t>
            </w:r>
          </w:p>
        </w:tc>
        <w:tc>
          <w:tcPr>
            <w:tcW w:w="7260" w:type="dxa"/>
          </w:tcPr>
          <w:p>
            <w:pPr>
              <w:pStyle w:val="TableText"/>
              <w:jc w:val="left"/>
            </w:pPr>
            <w:r>
              <w:t xml:space="preserve">Disclosure rules; no claims beyond verified outcomes</w:t>
            </w:r>
          </w:p>
        </w:tc>
      </w:tr>
      <w:tr>
        <w:trPr>
          <w:cantSplit/>
        </w:trPr>
        <w:tc>
          <w:tcPr>
            <w:tcW w:w="2100" w:type="dxa"/>
          </w:tcPr>
          <w:p>
            <w:pPr>
              <w:pStyle w:val="TableText"/>
              <w:jc w:val="left"/>
            </w:pPr>
            <w:r>
              <w:t xml:space="preserve">Community conflict</w:t>
            </w:r>
          </w:p>
        </w:tc>
        <w:tc>
          <w:tcPr>
            <w:tcW w:w="7260" w:type="dxa"/>
          </w:tcPr>
          <w:p>
            <w:pPr>
              <w:pStyle w:val="TableText"/>
              <w:jc w:val="left"/>
            </w:pPr>
            <w:r>
              <w:t xml:space="preserve">Consent; grievance mechanisms; transparent ledgers</w:t>
            </w:r>
          </w:p>
        </w:tc>
      </w:tr>
      <w:tr>
        <w:trPr>
          <w:cantSplit/>
        </w:trPr>
        <w:tc>
          <w:tcPr>
            <w:tcW w:w="2100" w:type="dxa"/>
          </w:tcPr>
          <w:p>
            <w:pPr>
              <w:pStyle w:val="TableText"/>
              <w:jc w:val="left"/>
            </w:pPr>
            <w:r>
              <w:t xml:space="preserve">Measurement uncertainty</w:t>
            </w:r>
          </w:p>
        </w:tc>
        <w:tc>
          <w:tcPr>
            <w:tcW w:w="7260" w:type="dxa"/>
          </w:tcPr>
          <w:p>
            <w:pPr>
              <w:pStyle w:val="TableText"/>
              <w:jc w:val="left"/>
            </w:pPr>
            <w:r>
              <w:t xml:space="preserve">Multiple methods; conservative crediting</w:t>
            </w:r>
          </w:p>
        </w:tc>
      </w:tr>
    </w:tbl>
    <w:p>
      <w:pPr>
        <w:pStyle w:val="BodyText"/>
        <w:spacing w:before="160"/>
      </w:pPr>
      <w:r>
        <w:rPr>
          <w:b/>
          <w:bCs/>
        </w:rPr>
        <w:t xml:space="preserve">First 100 days.</w:t>
      </w:r>
      <w:r>
        <w:t xml:space="preserve"> </w:t>
      </w:r>
      <w:r>
        <w:t xml:space="preserve">Three communities near Cross River National Park; baseline monitoring; one buyer; first verified payments.</w:t>
      </w:r>
    </w:p>
    <w:p>
      <w:pPr>
        <w:pStyle w:val="BodyText"/>
      </w:pPr>
      <w:r>
        <w:rPr>
          <w:b/>
          <w:bCs/>
        </w:rPr>
        <w:t xml:space="preserve">Double Decagon score: 85/100 (future-defining).</w:t>
      </w:r>
      <w:r>
        <w:t xml:space="preserve"> </w:t>
      </w:r>
      <w:r>
        <w:t xml:space="preserve">Inner Decagon 43/50 (V1 5 · V2 4 · V3 5 · V4 3 · V5 4 · V6 5 · V7 4 · V8 5 · V9 4 · V10 4). Future-Fitness 42/50 (F1 3 · F2 4 · F3 5 · F4 4 · F5 4 · F6 4 · F7 4 · F8 4 · F9 5 · F10 5).</w:t>
      </w:r>
    </w:p>
    <w:bookmarkEnd w:id="62"/>
    <w:bookmarkStart w:id="63" w:name="X42fde4b4b336ca602f721a54271e252135036af"/>
    <w:p>
      <w:pPr>
        <w:pStyle w:val="Heading2"/>
      </w:pPr>
      <w:r>
        <w:t xml:space="preserve">Venture 9: BUILDBRIDGE, verified diaspora and incremental building</w:t>
      </w:r>
    </w:p>
    <w:p>
      <w:pPr>
        <w:pStyle w:val="BlockText"/>
      </w:pPr>
      <w:r>
        <w:rPr>
          <w:b/>
          <w:bCs/>
        </w:rPr>
        <w:t xml:space="preserve">Thesis.</w:t>
      </w:r>
      <w:r>
        <w:t xml:space="preserve"> </w:t>
      </w:r>
      <w:r>
        <w:t xml:space="preserve">Millions of families build their homes step by step, and diaspora families send billions home to build. Yet fraud, cost overruns and abandoned projects are common. BuildBridge makes building at a distance trustworthy: verified artisans and suppliers, escrowed stage payments released only after independent verification, and transparent material prices. It turns remittances into finished homes.</w:t>
      </w:r>
    </w:p>
    <w:tbl>
      <w:tblPr>
        <w:tblStyle w:val="Table"/>
        <w:tblW w:w="9360" w:type="dxa"/>
        <w:jc w:val="left"/>
        <w:tblLayout w:type="fixed"/>
        <w:tblLook w:firstRow="1" w:lastRow="0" w:firstColumn="0" w:lastColumn="0" w:noHBand="0" w:noVBand="0" w:val="0020"/>
      </w:tblPr>
      <w:tblGrid>
        <w:gridCol w:w="1259"/>
        <w:gridCol w:w="8101"/>
      </w:tblGrid>
      <w:tr>
        <w:trPr>
          <w:cantSplit/>
          <w:tblHeader w:val="true"/>
        </w:trPr>
        <w:tc>
          <w:tcPr>
            <w:tcW w:w="1259" w:type="dxa"/>
          </w:tcPr>
          <w:p>
            <w:pPr>
              <w:pStyle w:val="TableText"/>
              <w:jc w:val="left"/>
            </w:pPr>
            <w:r>
              <w:t xml:space="preserve">Gene</w:t>
            </w:r>
          </w:p>
        </w:tc>
        <w:tc>
          <w:tcPr>
            <w:tcW w:w="8101" w:type="dxa"/>
          </w:tcPr>
          <w:p>
            <w:pPr>
              <w:pStyle w:val="TableText"/>
              <w:jc w:val="left"/>
            </w:pPr>
            <w:r>
              <w:t xml:space="preserve">Value</w:t>
            </w:r>
          </w:p>
        </w:tc>
      </w:tr>
      <w:tr>
        <w:trPr>
          <w:cantSplit/>
        </w:trPr>
        <w:tc>
          <w:tcPr>
            <w:tcW w:w="1259" w:type="dxa"/>
          </w:tcPr>
          <w:p>
            <w:pPr>
              <w:pStyle w:val="TableText"/>
              <w:jc w:val="left"/>
            </w:pPr>
            <w:r>
              <w:t xml:space="preserve">Problem domain</w:t>
            </w:r>
          </w:p>
        </w:tc>
        <w:tc>
          <w:tcPr>
            <w:tcW w:w="8101" w:type="dxa"/>
          </w:tcPr>
          <w:p>
            <w:pPr>
              <w:pStyle w:val="TableText"/>
              <w:jc w:val="left"/>
            </w:pPr>
            <w:r>
              <w:t xml:space="preserve">D7 Cities, housing and mobility</w:t>
            </w:r>
          </w:p>
        </w:tc>
      </w:tr>
      <w:tr>
        <w:trPr>
          <w:cantSplit/>
        </w:trPr>
        <w:tc>
          <w:tcPr>
            <w:tcW w:w="1259" w:type="dxa"/>
          </w:tcPr>
          <w:p>
            <w:pPr>
              <w:pStyle w:val="TableText"/>
              <w:jc w:val="left"/>
            </w:pPr>
            <w:r>
              <w:t xml:space="preserve">Latent capacity</w:t>
            </w:r>
          </w:p>
        </w:tc>
        <w:tc>
          <w:tcPr>
            <w:tcW w:w="8101" w:type="dxa"/>
          </w:tcPr>
          <w:p>
            <w:pPr>
              <w:pStyle w:val="TableText"/>
              <w:jc w:val="left"/>
            </w:pPr>
            <w:r>
              <w:t xml:space="preserve">L10 idle trust; L9 idle capital (diaspora savings); L2 idle skills (artisans without proof of quality)</w:t>
            </w:r>
          </w:p>
        </w:tc>
      </w:tr>
      <w:tr>
        <w:trPr>
          <w:cantSplit/>
        </w:trPr>
        <w:tc>
          <w:tcPr>
            <w:tcW w:w="1259" w:type="dxa"/>
          </w:tcPr>
          <w:p>
            <w:pPr>
              <w:pStyle w:val="TableText"/>
              <w:jc w:val="left"/>
            </w:pPr>
            <w:r>
              <w:t xml:space="preserve">Archetype</w:t>
            </w:r>
          </w:p>
        </w:tc>
        <w:tc>
          <w:tcPr>
            <w:tcW w:w="8101" w:type="dxa"/>
          </w:tcPr>
          <w:p>
            <w:pPr>
              <w:pStyle w:val="TableText"/>
              <w:jc w:val="left"/>
            </w:pPr>
            <w:r>
              <w:t xml:space="preserve">A3 skills marketplace + A2 escrow marketplace + A1 verifier dispatch</w:t>
            </w:r>
          </w:p>
        </w:tc>
      </w:tr>
      <w:tr>
        <w:trPr>
          <w:cantSplit/>
        </w:trPr>
        <w:tc>
          <w:tcPr>
            <w:tcW w:w="1259" w:type="dxa"/>
          </w:tcPr>
          <w:p>
            <w:pPr>
              <w:pStyle w:val="TableText"/>
              <w:jc w:val="left"/>
            </w:pPr>
            <w:r>
              <w:t xml:space="preserve">Technology waves</w:t>
            </w:r>
          </w:p>
        </w:tc>
        <w:tc>
          <w:tcPr>
            <w:tcW w:w="8101" w:type="dxa"/>
          </w:tcPr>
          <w:p>
            <w:pPr>
              <w:pStyle w:val="TableText"/>
              <w:jc w:val="left"/>
            </w:pPr>
            <w:r>
              <w:t xml:space="preserve">T-c verifiable credentials; T-e drone and photo verification (with GroundTruth); T-d programmable escrow</w:t>
            </w:r>
          </w:p>
        </w:tc>
      </w:tr>
      <w:tr>
        <w:trPr>
          <w:cantSplit/>
        </w:trPr>
        <w:tc>
          <w:tcPr>
            <w:tcW w:w="1259" w:type="dxa"/>
          </w:tcPr>
          <w:p>
            <w:pPr>
              <w:pStyle w:val="TableText"/>
              <w:jc w:val="left"/>
            </w:pPr>
            <w:r>
              <w:t xml:space="preserve">Governance</w:t>
            </w:r>
          </w:p>
        </w:tc>
        <w:tc>
          <w:tcPr>
            <w:tcW w:w="8101" w:type="dxa"/>
          </w:tcPr>
          <w:p>
            <w:pPr>
              <w:pStyle w:val="TableText"/>
              <w:jc w:val="left"/>
            </w:pPr>
            <w:r>
              <w:t xml:space="preserve">Steward-owned company</w:t>
            </w:r>
          </w:p>
        </w:tc>
      </w:tr>
      <w:tr>
        <w:trPr>
          <w:cantSplit/>
        </w:trPr>
        <w:tc>
          <w:tcPr>
            <w:tcW w:w="1259" w:type="dxa"/>
          </w:tcPr>
          <w:p>
            <w:pPr>
              <w:pStyle w:val="TableText"/>
              <w:jc w:val="left"/>
            </w:pPr>
            <w:r>
              <w:t xml:space="preserve">Foothold</w:t>
            </w:r>
          </w:p>
        </w:tc>
        <w:tc>
          <w:tcPr>
            <w:tcW w:w="8101" w:type="dxa"/>
          </w:tcPr>
          <w:p>
            <w:pPr>
              <w:pStyle w:val="TableText"/>
              <w:jc w:val="left"/>
            </w:pPr>
            <w:r>
              <w:t xml:space="preserve">Non-consumption (diaspora families who cannot build safely today); Global South leapfrog</w:t>
            </w:r>
          </w:p>
        </w:tc>
      </w:tr>
    </w:tbl>
    <w:p>
      <w:pPr>
        <w:pStyle w:val="BodyText"/>
        <w:spacing w:before="160"/>
      </w:pPr>
      <w:r>
        <w:rPr>
          <w:b/>
          <w:bCs/>
        </w:rPr>
        <w:t xml:space="preserve">The new problem</w:t>
      </w:r>
    </w:p>
    <w:p>
      <w:pPr>
        <w:pStyle w:val="Compact"/>
        <w:numPr>
          <w:ilvl w:val="0"/>
          <w:numId w:val="1049"/>
        </w:numPr>
      </w:pPr>
      <w:r>
        <w:t xml:space="preserve">Nigeria’s housing deficit is commonly estimated at 17–28 million homes. Most urban housing in many African cities is built incrementally by owners.</w:t>
      </w:r>
    </w:p>
    <w:p>
      <w:pPr>
        <w:pStyle w:val="Compact"/>
        <w:numPr>
          <w:ilvl w:val="0"/>
          <w:numId w:val="1049"/>
        </w:numPr>
      </w:pPr>
      <w:r>
        <w:t xml:space="preserve">Officially recorded remittances to low- and middle-income countries reached an estimated $685bn in 2024 (World Bank). Much of it goes into building.</w:t>
      </w:r>
    </w:p>
    <w:p>
      <w:pPr>
        <w:pStyle w:val="Compact"/>
        <w:numPr>
          <w:ilvl w:val="0"/>
          <w:numId w:val="1049"/>
        </w:numPr>
      </w:pPr>
      <w:r>
        <w:t xml:space="preserve">Families abroad routinely lose money to contractors who inflate costs, use substandard materials or abandon projects, and to relatives or agents who misreport progress.</w:t>
      </w:r>
    </w:p>
    <w:p>
      <w:pPr>
        <w:pStyle w:val="FirstParagraph"/>
      </w:pPr>
      <w:r>
        <w:rPr>
          <w:b/>
          <w:bCs/>
        </w:rPr>
        <w:t xml:space="preserve">Benchmarks: borrowed and inverted</w:t>
      </w:r>
    </w:p>
    <w:p>
      <w:pPr>
        <w:pStyle w:val="Compact"/>
        <w:numPr>
          <w:ilvl w:val="0"/>
          <w:numId w:val="1050"/>
        </w:numPr>
      </w:pPr>
      <w:r>
        <w:rPr>
          <w:b/>
          <w:bCs/>
        </w:rPr>
        <w:t xml:space="preserve">From Airbnb:</w:t>
      </w:r>
      <w:r>
        <w:t xml:space="preserve"> </w:t>
      </w:r>
      <w:r>
        <w:t xml:space="preserve">escrow that releases payment only after check-in, here only after a</w:t>
      </w:r>
      <w:r>
        <w:t xml:space="preserve"> </w:t>
      </w:r>
      <w:r>
        <w:rPr>
          <w:i/>
          <w:iCs/>
        </w:rPr>
        <w:t xml:space="preserve">verified building stage</w:t>
      </w:r>
      <w:r>
        <w:t xml:space="preserve">.</w:t>
      </w:r>
    </w:p>
    <w:p>
      <w:pPr>
        <w:pStyle w:val="Compact"/>
        <w:numPr>
          <w:ilvl w:val="0"/>
          <w:numId w:val="1050"/>
        </w:numPr>
      </w:pPr>
      <w:r>
        <w:rPr>
          <w:b/>
          <w:bCs/>
        </w:rPr>
        <w:t xml:space="preserve">From Airbnb:</w:t>
      </w:r>
      <w:r>
        <w:t xml:space="preserve"> </w:t>
      </w:r>
      <w:r>
        <w:t xml:space="preserve">verified identity and reviews, here for artisans and suppliers.</w:t>
      </w:r>
    </w:p>
    <w:p>
      <w:pPr>
        <w:pStyle w:val="Compact"/>
        <w:numPr>
          <w:ilvl w:val="0"/>
          <w:numId w:val="1050"/>
        </w:numPr>
      </w:pPr>
      <w:r>
        <w:rPr>
          <w:b/>
          <w:bCs/>
        </w:rPr>
        <w:t xml:space="preserve">From Uber:</w:t>
      </w:r>
      <w:r>
        <w:t xml:space="preserve"> </w:t>
      </w:r>
      <w:r>
        <w:t xml:space="preserve">dispatch of independent inspectors and witnesses.</w:t>
      </w:r>
    </w:p>
    <w:p>
      <w:pPr>
        <w:pStyle w:val="Compact"/>
        <w:numPr>
          <w:ilvl w:val="0"/>
          <w:numId w:val="1050"/>
        </w:numPr>
      </w:pPr>
      <w:r>
        <w:rPr>
          <w:b/>
          <w:bCs/>
        </w:rPr>
        <w:t xml:space="preserve">Fills</w:t>
      </w:r>
      <w:r>
        <w:t xml:space="preserve"> </w:t>
      </w:r>
      <w:r>
        <w:t xml:space="preserve">the construction gap identified in Volume I, Part VI, and</w:t>
      </w:r>
      <w:r>
        <w:t xml:space="preserve"> </w:t>
      </w:r>
      <w:r>
        <w:rPr>
          <w:b/>
          <w:bCs/>
        </w:rPr>
        <w:t xml:space="preserve">links</w:t>
      </w:r>
      <w:r>
        <w:t xml:space="preserve"> </w:t>
      </w:r>
      <w:r>
        <w:t xml:space="preserve">to Hearth (housing supply) and GroundTruth (verification).</w:t>
      </w:r>
    </w:p>
    <w:p>
      <w:pPr>
        <w:pStyle w:val="Compact"/>
        <w:numPr>
          <w:ilvl w:val="0"/>
          <w:numId w:val="1050"/>
        </w:numPr>
      </w:pPr>
      <w:r>
        <w:rPr>
          <w:b/>
          <w:bCs/>
        </w:rPr>
        <w:t xml:space="preserve">Inverts:</w:t>
      </w:r>
      <w:r>
        <w:t xml:space="preserve"> </w:t>
      </w:r>
      <w:r>
        <w:t xml:space="preserve">trust in the building trade moves from personal connections to verifiable evidence.</w:t>
      </w:r>
    </w:p>
    <w:p>
      <w:pPr>
        <w:pStyle w:val="FirstParagraph"/>
      </w:pPr>
      <w:r>
        <w:rPr>
          <w:b/>
          <w:bCs/>
        </w:rPr>
        <w:t xml:space="preserve">How it works</w:t>
      </w:r>
    </w:p>
    <w:p>
      <w:pPr>
        <w:pStyle w:val="Compact"/>
        <w:numPr>
          <w:ilvl w:val="0"/>
          <w:numId w:val="1051"/>
        </w:numPr>
      </w:pPr>
      <w:r>
        <w:rPr>
          <w:b/>
          <w:bCs/>
        </w:rPr>
        <w:t xml:space="preserve">Set up.</w:t>
      </w:r>
      <w:r>
        <w:t xml:space="preserve"> </w:t>
      </w:r>
      <w:r>
        <w:t xml:space="preserve">Land-title checks, a choice of pre-approved designs, and an AI-estimated bill of quantities with transparent material prices.</w:t>
      </w:r>
    </w:p>
    <w:p>
      <w:pPr>
        <w:pStyle w:val="Compact"/>
        <w:numPr>
          <w:ilvl w:val="0"/>
          <w:numId w:val="1051"/>
        </w:numPr>
      </w:pPr>
      <w:r>
        <w:rPr>
          <w:b/>
          <w:bCs/>
        </w:rPr>
        <w:t xml:space="preserve">Verified contractors and artisans.</w:t>
      </w:r>
      <w:r>
        <w:t xml:space="preserve"> </w:t>
      </w:r>
      <w:r>
        <w:t xml:space="preserve">ID, references and past projects are checked; ratings come only from verified completed stages.</w:t>
      </w:r>
    </w:p>
    <w:p>
      <w:pPr>
        <w:pStyle w:val="Compact"/>
        <w:numPr>
          <w:ilvl w:val="0"/>
          <w:numId w:val="1051"/>
        </w:numPr>
      </w:pPr>
      <w:r>
        <w:rPr>
          <w:b/>
          <w:bCs/>
        </w:rPr>
        <w:t xml:space="preserve">Materials.</w:t>
      </w:r>
      <w:r>
        <w:t xml:space="preserve"> </w:t>
      </w:r>
      <w:r>
        <w:t xml:space="preserve">Suppliers deliver at published prices; deliveries are tracked and photographed.</w:t>
      </w:r>
    </w:p>
    <w:p>
      <w:pPr>
        <w:pStyle w:val="Compact"/>
        <w:numPr>
          <w:ilvl w:val="0"/>
          <w:numId w:val="1051"/>
        </w:numPr>
      </w:pPr>
      <w:r>
        <w:rPr>
          <w:b/>
          <w:bCs/>
        </w:rPr>
        <w:t xml:space="preserve">Stage-gated escrow.</w:t>
      </w:r>
      <w:r>
        <w:t xml:space="preserve"> </w:t>
      </w:r>
      <w:r>
        <w:t xml:space="preserve">Funds are released only after each stage is verified by an inspector</w:t>
      </w:r>
      <w:r>
        <w:t xml:space="preserve"> </w:t>
      </w:r>
      <w:r>
        <w:rPr>
          <w:i/>
          <w:iCs/>
        </w:rPr>
        <w:t xml:space="preserve">and</w:t>
      </w:r>
      <w:r>
        <w:t xml:space="preserve"> </w:t>
      </w:r>
      <w:r>
        <w:t xml:space="preserve">independent witnesses, with drone or photo evidence carrying content credentials.</w:t>
      </w:r>
    </w:p>
    <w:p>
      <w:pPr>
        <w:pStyle w:val="Compact"/>
        <w:numPr>
          <w:ilvl w:val="0"/>
          <w:numId w:val="1051"/>
        </w:numPr>
      </w:pPr>
      <w:r>
        <w:rPr>
          <w:b/>
          <w:bCs/>
        </w:rPr>
        <w:t xml:space="preserve">Owner dashboard.</w:t>
      </w:r>
      <w:r>
        <w:t xml:space="preserve"> </w:t>
      </w:r>
      <w:r>
        <w:t xml:space="preserve">Families abroad see video walkthroughs, costs and progress in real time.</w:t>
      </w:r>
    </w:p>
    <w:p>
      <w:pPr>
        <w:pStyle w:val="Compact"/>
        <w:numPr>
          <w:ilvl w:val="0"/>
          <w:numId w:val="1051"/>
        </w:numPr>
      </w:pPr>
      <w:r>
        <w:rPr>
          <w:b/>
          <w:bCs/>
        </w:rPr>
        <w:t xml:space="preserve">Disputes.</w:t>
      </w:r>
      <w:r>
        <w:t xml:space="preserve"> </w:t>
      </w:r>
      <w:r>
        <w:t xml:space="preserve">Mediation and a guarantee fund protect both sides.</w:t>
      </w:r>
    </w:p>
    <w:p>
      <w:pPr>
        <w:pStyle w:val="Compact"/>
        <w:numPr>
          <w:ilvl w:val="0"/>
          <w:numId w:val="1051"/>
        </w:numPr>
      </w:pPr>
      <w:r>
        <w:rPr>
          <w:b/>
          <w:bCs/>
        </w:rPr>
        <w:t xml:space="preserve">Finance.</w:t>
      </w:r>
      <w:r>
        <w:t xml:space="preserve"> </w:t>
      </w:r>
      <w:r>
        <w:t xml:space="preserve">Diaspora savings plans, mortgages and incremental-building loans.</w:t>
      </w:r>
    </w:p>
    <w:p>
      <w:pPr>
        <w:pStyle w:val="FirstParagraph"/>
      </w:pPr>
      <w:r>
        <w:rPr>
          <w:b/>
          <w:bCs/>
        </w:rPr>
        <w:t xml:space="preserve">System dynamics</w:t>
      </w:r>
    </w:p>
    <w:p>
      <w:pPr>
        <w:pStyle w:val="Compact"/>
        <w:numPr>
          <w:ilvl w:val="0"/>
          <w:numId w:val="1052"/>
        </w:numPr>
      </w:pPr>
      <w:r>
        <w:rPr>
          <w:b/>
          <w:bCs/>
        </w:rPr>
        <w:t xml:space="preserve">R1, the trust loop:</w:t>
      </w:r>
      <w:r>
        <w:t xml:space="preserve"> </w:t>
      </w:r>
      <w:r>
        <w:t xml:space="preserve">completed homes → testimonials in diaspora communities → more clients → more vetted contractors.</w:t>
      </w:r>
    </w:p>
    <w:p>
      <w:pPr>
        <w:pStyle w:val="Compact"/>
        <w:numPr>
          <w:ilvl w:val="0"/>
          <w:numId w:val="1052"/>
        </w:numPr>
      </w:pPr>
      <w:r>
        <w:rPr>
          <w:b/>
          <w:bCs/>
        </w:rPr>
        <w:t xml:space="preserve">B1, contractor resistance:</w:t>
      </w:r>
      <w:r>
        <w:t xml:space="preserve"> </w:t>
      </w:r>
      <w:r>
        <w:t xml:space="preserve">some contractors resist transparency. Guaranteed, prompt payment for verified work makes BuildBridge attractive to honest ones.</w:t>
      </w:r>
    </w:p>
    <w:p>
      <w:pPr>
        <w:pStyle w:val="Compact"/>
        <w:numPr>
          <w:ilvl w:val="0"/>
          <w:numId w:val="1052"/>
        </w:numPr>
      </w:pPr>
      <w:r>
        <w:rPr>
          <w:b/>
          <w:bCs/>
        </w:rPr>
        <w:t xml:space="preserve">B2, land-title risk:</w:t>
      </w:r>
      <w:r>
        <w:t xml:space="preserve"> </w:t>
      </w:r>
      <w:r>
        <w:t xml:space="preserve">disputes over land; pre-checks and registry integration contain it.</w:t>
      </w:r>
    </w:p>
    <w:p>
      <w:pPr>
        <w:pStyle w:val="Compact"/>
        <w:numPr>
          <w:ilvl w:val="0"/>
          <w:numId w:val="1052"/>
        </w:numPr>
      </w:pPr>
      <w:r>
        <w:rPr>
          <w:b/>
          <w:bCs/>
        </w:rPr>
        <w:t xml:space="preserve">Leverage point:</w:t>
      </w:r>
      <w:r>
        <w:t xml:space="preserve"> </w:t>
      </w:r>
      <w:r>
        <w:t xml:space="preserve">information flows (transparency) and delays (prompt payment for verified work).</w:t>
      </w:r>
    </w:p>
    <w:p>
      <w:pPr>
        <w:pStyle w:val="FirstParagraph"/>
      </w:pPr>
      <w:r>
        <w:rPr>
          <w:b/>
          <w:bCs/>
        </w:rPr>
        <w:t xml:space="preserve">Design thinking</w:t>
      </w:r>
    </w:p>
    <w:p>
      <w:pPr>
        <w:pStyle w:val="Compact"/>
        <w:numPr>
          <w:ilvl w:val="0"/>
          <w:numId w:val="1053"/>
        </w:numPr>
      </w:pPr>
      <w:r>
        <w:rPr>
          <w:i/>
          <w:iCs/>
        </w:rPr>
        <w:t xml:space="preserve">Personas:</w:t>
      </w:r>
      <w:r>
        <w:t xml:space="preserve"> </w:t>
      </w:r>
      <w:r>
        <w:rPr>
          <w:b/>
          <w:bCs/>
        </w:rPr>
        <w:t xml:space="preserve">Tunde and Kemi</w:t>
      </w:r>
      <w:r>
        <w:t xml:space="preserve">, nurses in Houston, building in Ibadan after being cheated once already.</w:t>
      </w:r>
      <w:r>
        <w:t xml:space="preserve"> </w:t>
      </w:r>
      <w:r>
        <w:rPr>
          <w:b/>
          <w:bCs/>
        </w:rPr>
        <w:t xml:space="preserve">Musa</w:t>
      </w:r>
      <w:r>
        <w:t xml:space="preserve">, a mason in Abuja whose excellent work goes unrecognized.</w:t>
      </w:r>
      <w:r>
        <w:t xml:space="preserve"> </w:t>
      </w:r>
      <w:r>
        <w:rPr>
          <w:b/>
          <w:bCs/>
        </w:rPr>
        <w:t xml:space="preserve">Mama Funke</w:t>
      </w:r>
      <w:r>
        <w:t xml:space="preserve">, who supervises the site but cannot judge quality.</w:t>
      </w:r>
    </w:p>
    <w:p>
      <w:pPr>
        <w:pStyle w:val="Compact"/>
        <w:numPr>
          <w:ilvl w:val="0"/>
          <w:numId w:val="1053"/>
        </w:numPr>
      </w:pPr>
      <w:r>
        <w:rPr>
          <w:i/>
          <w:iCs/>
        </w:rPr>
        <w:t xml:space="preserve">How might</w:t>
      </w:r>
      <w:r>
        <w:t xml:space="preserve"> </w:t>
      </w:r>
      <w:r>
        <w:t xml:space="preserve">building a home from abroad be as safe as booking an Airbnb?</w:t>
      </w:r>
    </w:p>
    <w:p>
      <w:pPr>
        <w:pStyle w:val="Compact"/>
        <w:numPr>
          <w:ilvl w:val="0"/>
          <w:numId w:val="1053"/>
        </w:numPr>
      </w:pPr>
      <w:r>
        <w:rPr>
          <w:i/>
          <w:iCs/>
        </w:rPr>
        <w:t xml:space="preserve">Moment of truth:</w:t>
      </w:r>
      <w:r>
        <w:t xml:space="preserve"> </w:t>
      </w:r>
      <w:r>
        <w:t xml:space="preserve">Kemi watches the roof go on by video, and the money is released only after an inspector and two witnesses confirm it.</w:t>
      </w:r>
    </w:p>
    <w:p>
      <w:pPr>
        <w:pStyle w:val="FirstParagraph"/>
      </w:pPr>
      <w:r>
        <w:rPr>
          <w:b/>
          <w:bCs/>
        </w:rPr>
        <w:t xml:space="preserve">Business and ownership model.</w:t>
      </w:r>
      <w:r>
        <w:t xml:space="preserve"> </w:t>
      </w:r>
      <w:r>
        <w:t xml:space="preserve">A project-management fee (about 5–8% of build cost); a materials margin; verification fees; a financing spread; construction insurance.</w:t>
      </w:r>
    </w:p>
    <w:p>
      <w:pPr>
        <w:pStyle w:val="BodyText"/>
      </w:pPr>
      <w:r>
        <w:rPr>
          <w:b/>
          <w:bCs/>
        </w:rPr>
        <w:t xml:space="preserve">Future potential</w:t>
      </w:r>
    </w:p>
    <w:tbl>
      <w:tblPr>
        <w:tblStyle w:val="Table"/>
        <w:tblW w:w="9360" w:type="dxa"/>
        <w:jc w:val="left"/>
        <w:tblLayout w:type="fixed"/>
        <w:tblLook w:firstRow="1" w:lastRow="0" w:firstColumn="0" w:lastColumn="0" w:noHBand="0" w:noVBand="0" w:val="0020"/>
      </w:tblPr>
      <w:tblGrid>
        <w:gridCol w:w="1206"/>
        <w:gridCol w:w="8154"/>
      </w:tblGrid>
      <w:tr>
        <w:trPr>
          <w:cantSplit/>
          <w:tblHeader w:val="true"/>
        </w:trPr>
        <w:tc>
          <w:tcPr>
            <w:tcW w:w="1206" w:type="dxa"/>
          </w:tcPr>
          <w:p>
            <w:pPr>
              <w:pStyle w:val="TableText"/>
              <w:jc w:val="left"/>
            </w:pPr>
            <w:r>
              <w:t xml:space="preserve">Horizon</w:t>
            </w:r>
          </w:p>
        </w:tc>
        <w:tc>
          <w:tcPr>
            <w:tcW w:w="8154" w:type="dxa"/>
          </w:tcPr>
          <w:p>
            <w:pPr>
              <w:pStyle w:val="TableText"/>
              <w:jc w:val="left"/>
            </w:pPr>
            <w:r>
              <w:t xml:space="preserve">What it becomes</w:t>
            </w:r>
          </w:p>
        </w:tc>
      </w:tr>
      <w:tr>
        <w:trPr>
          <w:cantSplit/>
        </w:trPr>
        <w:tc>
          <w:tcPr>
            <w:tcW w:w="1206" w:type="dxa"/>
          </w:tcPr>
          <w:p>
            <w:pPr>
              <w:pStyle w:val="TableText"/>
              <w:jc w:val="left"/>
            </w:pPr>
            <w:r>
              <w:t xml:space="preserve">2030</w:t>
            </w:r>
          </w:p>
        </w:tc>
        <w:tc>
          <w:tcPr>
            <w:tcW w:w="8154" w:type="dxa"/>
          </w:tcPr>
          <w:p>
            <w:pPr>
              <w:pStyle w:val="TableText"/>
              <w:jc w:val="left"/>
            </w:pPr>
            <w:r>
              <w:t xml:space="preserve">10,000 homes built or completed through BuildBridge for diaspora and local families</w:t>
            </w:r>
          </w:p>
        </w:tc>
      </w:tr>
      <w:tr>
        <w:trPr>
          <w:cantSplit/>
        </w:trPr>
        <w:tc>
          <w:tcPr>
            <w:tcW w:w="1206" w:type="dxa"/>
          </w:tcPr>
          <w:p>
            <w:pPr>
              <w:pStyle w:val="TableText"/>
              <w:jc w:val="left"/>
            </w:pPr>
            <w:r>
              <w:t xml:space="preserve">2035</w:t>
            </w:r>
          </w:p>
        </w:tc>
        <w:tc>
          <w:tcPr>
            <w:tcW w:w="8154" w:type="dxa"/>
          </w:tcPr>
          <w:p>
            <w:pPr>
              <w:pStyle w:val="TableText"/>
              <w:jc w:val="left"/>
            </w:pPr>
            <w:r>
              <w:t xml:space="preserve">Incremental-building finance at scale; city partnerships for pre-approved plans</w:t>
            </w:r>
          </w:p>
        </w:tc>
      </w:tr>
      <w:tr>
        <w:trPr>
          <w:cantSplit/>
        </w:trPr>
        <w:tc>
          <w:tcPr>
            <w:tcW w:w="1206" w:type="dxa"/>
          </w:tcPr>
          <w:p>
            <w:pPr>
              <w:pStyle w:val="TableText"/>
              <w:jc w:val="left"/>
            </w:pPr>
            <w:r>
              <w:t xml:space="preserve">2040–2050</w:t>
            </w:r>
          </w:p>
        </w:tc>
        <w:tc>
          <w:tcPr>
            <w:tcW w:w="8154" w:type="dxa"/>
          </w:tcPr>
          <w:p>
            <w:pPr>
              <w:pStyle w:val="TableText"/>
              <w:jc w:val="left"/>
            </w:pPr>
            <w:r>
              <w:t xml:space="preserve">The default rails for diaspora investment in housing and small businesses</w:t>
            </w:r>
          </w:p>
        </w:tc>
      </w:tr>
    </w:tbl>
    <w:p/>
    <w:tbl>
      <w:tblPr>
        <w:tblStyle w:val="Table"/>
        <w:tblW w:w="9360" w:type="dxa"/>
        <w:jc w:val="left"/>
        <w:tblLayout w:type="fixed"/>
        <w:tblLook w:firstRow="1" w:lastRow="0" w:firstColumn="0" w:lastColumn="0" w:noHBand="0" w:noVBand="0" w:val="0020"/>
      </w:tblPr>
      <w:tblGrid>
        <w:gridCol w:w="2250"/>
        <w:gridCol w:w="7110"/>
      </w:tblGrid>
      <w:tr>
        <w:trPr>
          <w:cantSplit/>
          <w:tblHeader w:val="true"/>
        </w:trPr>
        <w:tc>
          <w:tcPr>
            <w:tcW w:w="2250" w:type="dxa"/>
          </w:tcPr>
          <w:p>
            <w:pPr>
              <w:pStyle w:val="TableText"/>
              <w:jc w:val="left"/>
            </w:pPr>
            <w:r>
              <w:t xml:space="preserve">Risk</w:t>
            </w:r>
          </w:p>
        </w:tc>
        <w:tc>
          <w:tcPr>
            <w:tcW w:w="7110" w:type="dxa"/>
          </w:tcPr>
          <w:p>
            <w:pPr>
              <w:pStyle w:val="TableText"/>
              <w:jc w:val="left"/>
            </w:pPr>
            <w:r>
              <w:t xml:space="preserve">Safeguard</w:t>
            </w:r>
          </w:p>
        </w:tc>
      </w:tr>
      <w:tr>
        <w:trPr>
          <w:cantSplit/>
        </w:trPr>
        <w:tc>
          <w:tcPr>
            <w:tcW w:w="2250" w:type="dxa"/>
          </w:tcPr>
          <w:p>
            <w:pPr>
              <w:pStyle w:val="TableText"/>
              <w:jc w:val="left"/>
            </w:pPr>
            <w:r>
              <w:t xml:space="preserve">Land disputes</w:t>
            </w:r>
          </w:p>
        </w:tc>
        <w:tc>
          <w:tcPr>
            <w:tcW w:w="7110" w:type="dxa"/>
          </w:tcPr>
          <w:p>
            <w:pPr>
              <w:pStyle w:val="TableText"/>
              <w:jc w:val="left"/>
            </w:pPr>
            <w:r>
              <w:t xml:space="preserve">Title checks; registry integration; title insurance where available</w:t>
            </w:r>
          </w:p>
        </w:tc>
      </w:tr>
      <w:tr>
        <w:trPr>
          <w:cantSplit/>
        </w:trPr>
        <w:tc>
          <w:tcPr>
            <w:tcW w:w="2250" w:type="dxa"/>
          </w:tcPr>
          <w:p>
            <w:pPr>
              <w:pStyle w:val="TableText"/>
              <w:jc w:val="left"/>
            </w:pPr>
            <w:r>
              <w:t xml:space="preserve">Corrupt inspectors</w:t>
            </w:r>
          </w:p>
        </w:tc>
        <w:tc>
          <w:tcPr>
            <w:tcW w:w="7110" w:type="dxa"/>
          </w:tcPr>
          <w:p>
            <w:pPr>
              <w:pStyle w:val="TableText"/>
              <w:jc w:val="left"/>
            </w:pPr>
            <w:r>
              <w:t xml:space="preserve">Random assignment; dual verification by witnesses; audits</w:t>
            </w:r>
          </w:p>
        </w:tc>
      </w:tr>
      <w:tr>
        <w:trPr>
          <w:cantSplit/>
        </w:trPr>
        <w:tc>
          <w:tcPr>
            <w:tcW w:w="2250" w:type="dxa"/>
          </w:tcPr>
          <w:p>
            <w:pPr>
              <w:pStyle w:val="TableText"/>
              <w:jc w:val="left"/>
            </w:pPr>
            <w:r>
              <w:t xml:space="preserve">Currency volatility</w:t>
            </w:r>
          </w:p>
        </w:tc>
        <w:tc>
          <w:tcPr>
            <w:tcW w:w="7110" w:type="dxa"/>
          </w:tcPr>
          <w:p>
            <w:pPr>
              <w:pStyle w:val="TableText"/>
              <w:jc w:val="left"/>
            </w:pPr>
            <w:r>
              <w:t xml:space="preserve">Staged conversion; hedging options</w:t>
            </w:r>
          </w:p>
        </w:tc>
      </w:tr>
      <w:tr>
        <w:trPr>
          <w:cantSplit/>
        </w:trPr>
        <w:tc>
          <w:tcPr>
            <w:tcW w:w="2250" w:type="dxa"/>
          </w:tcPr>
          <w:p>
            <w:pPr>
              <w:pStyle w:val="TableText"/>
              <w:jc w:val="left"/>
            </w:pPr>
            <w:r>
              <w:t xml:space="preserve">Construction defects</w:t>
            </w:r>
          </w:p>
        </w:tc>
        <w:tc>
          <w:tcPr>
            <w:tcW w:w="7110" w:type="dxa"/>
          </w:tcPr>
          <w:p>
            <w:pPr>
              <w:pStyle w:val="TableText"/>
              <w:jc w:val="left"/>
            </w:pPr>
            <w:r>
              <w:t xml:space="preserve">Standards; guarantee fund; warranties</w:t>
            </w:r>
          </w:p>
        </w:tc>
      </w:tr>
    </w:tbl>
    <w:p>
      <w:pPr>
        <w:pStyle w:val="BodyText"/>
        <w:spacing w:before="160"/>
      </w:pPr>
      <w:r>
        <w:rPr>
          <w:b/>
          <w:bCs/>
        </w:rPr>
        <w:t xml:space="preserve">First 100 days.</w:t>
      </w:r>
      <w:r>
        <w:t xml:space="preserve"> </w:t>
      </w:r>
      <w:r>
        <w:t xml:space="preserve">Lagos, Ibadan and Abuja; 30 projects for UK- and US-based diaspora families; 50 vetted contractors.</w:t>
      </w:r>
    </w:p>
    <w:p>
      <w:pPr>
        <w:pStyle w:val="BodyText"/>
      </w:pPr>
      <w:r>
        <w:rPr>
          <w:b/>
          <w:bCs/>
        </w:rPr>
        <w:t xml:space="preserve">Double Decagon score: 82/100 (future-fit).</w:t>
      </w:r>
      <w:r>
        <w:t xml:space="preserve"> </w:t>
      </w:r>
      <w:r>
        <w:t xml:space="preserve">Inner Decagon 42/50 (V1 4 · V2 5 · V3 5 · V4 3 · V5 4 · V6 4 · V7 4 · V8 4 · V9 5 · V10 4). Future-Fitness 40/50 (F1 3 · F2 4 · F3 4 · F4 4 · F5 4 · F6 4 · F7 5 · F8 3 · F9 4 · F10 5).</w:t>
      </w:r>
    </w:p>
    <w:bookmarkEnd w:id="63"/>
    <w:bookmarkStart w:id="64" w:name="Xb3fc5be67184cccd6a849a141389723b61ec153"/>
    <w:p>
      <w:pPr>
        <w:pStyle w:val="Heading2"/>
      </w:pPr>
      <w:r>
        <w:t xml:space="preserve">Venture 10: AQUAGRID, the urban water commons</w:t>
      </w:r>
    </w:p>
    <w:p>
      <w:pPr>
        <w:pStyle w:val="BlockText"/>
      </w:pPr>
      <w:r>
        <w:rPr>
          <w:b/>
          <w:bCs/>
        </w:rPr>
        <w:t xml:space="preserve">Thesis.</w:t>
      </w:r>
      <w:r>
        <w:t xml:space="preserve"> </w:t>
      </w:r>
      <w:r>
        <w:t xml:space="preserve">Fast-growing cities cannot build piped networks fast enough, and billions of people depend on tankers, kiosks and boreholes of unknown quality at high prices. AquaGrid makes informal water safe and fair. It combines tanker dispatch with metered prices and quality testing, shared storage, rainwater harvesting, leak detection and community water credits. It is an Uber for water delivery and an Airbnb for boreholes and storage, governed with the community and the utility.</w:t>
      </w:r>
    </w:p>
    <w:tbl>
      <w:tblPr>
        <w:tblStyle w:val="Table"/>
        <w:tblW w:w="9360" w:type="dxa"/>
        <w:jc w:val="left"/>
        <w:tblLayout w:type="fixed"/>
        <w:tblLook w:firstRow="1" w:lastRow="0" w:firstColumn="0" w:lastColumn="0" w:noHBand="0" w:noVBand="0" w:val="0020"/>
      </w:tblPr>
      <w:tblGrid>
        <w:gridCol w:w="1212"/>
        <w:gridCol w:w="8148"/>
      </w:tblGrid>
      <w:tr>
        <w:trPr>
          <w:cantSplit/>
          <w:tblHeader w:val="true"/>
        </w:trPr>
        <w:tc>
          <w:tcPr>
            <w:tcW w:w="1212" w:type="dxa"/>
          </w:tcPr>
          <w:p>
            <w:pPr>
              <w:pStyle w:val="TableText"/>
              <w:jc w:val="left"/>
            </w:pPr>
            <w:r>
              <w:t xml:space="preserve">Gene</w:t>
            </w:r>
          </w:p>
        </w:tc>
        <w:tc>
          <w:tcPr>
            <w:tcW w:w="8148" w:type="dxa"/>
          </w:tcPr>
          <w:p>
            <w:pPr>
              <w:pStyle w:val="TableText"/>
              <w:jc w:val="left"/>
            </w:pPr>
            <w:r>
              <w:t xml:space="preserve">Value</w:t>
            </w:r>
          </w:p>
        </w:tc>
      </w:tr>
      <w:tr>
        <w:trPr>
          <w:cantSplit/>
        </w:trPr>
        <w:tc>
          <w:tcPr>
            <w:tcW w:w="1212" w:type="dxa"/>
          </w:tcPr>
          <w:p>
            <w:pPr>
              <w:pStyle w:val="TableText"/>
              <w:jc w:val="left"/>
            </w:pPr>
            <w:r>
              <w:t xml:space="preserve">Problem domain</w:t>
            </w:r>
          </w:p>
        </w:tc>
        <w:tc>
          <w:tcPr>
            <w:tcW w:w="8148" w:type="dxa"/>
          </w:tcPr>
          <w:p>
            <w:pPr>
              <w:pStyle w:val="TableText"/>
              <w:jc w:val="left"/>
            </w:pPr>
            <w:r>
              <w:t xml:space="preserve">D6 Water and food</w:t>
            </w:r>
          </w:p>
        </w:tc>
      </w:tr>
      <w:tr>
        <w:trPr>
          <w:cantSplit/>
        </w:trPr>
        <w:tc>
          <w:tcPr>
            <w:tcW w:w="1212" w:type="dxa"/>
          </w:tcPr>
          <w:p>
            <w:pPr>
              <w:pStyle w:val="TableText"/>
              <w:jc w:val="left"/>
            </w:pPr>
            <w:r>
              <w:t xml:space="preserve">Latent capacity</w:t>
            </w:r>
          </w:p>
        </w:tc>
        <w:tc>
          <w:tcPr>
            <w:tcW w:w="8148" w:type="dxa"/>
          </w:tcPr>
          <w:p>
            <w:pPr>
              <w:pStyle w:val="TableText"/>
              <w:jc w:val="left"/>
            </w:pPr>
            <w:r>
              <w:t xml:space="preserve">L3 idle storage and rooftops; L4 idle boreholes; L5 idle tanker capacity</w:t>
            </w:r>
          </w:p>
        </w:tc>
      </w:tr>
      <w:tr>
        <w:trPr>
          <w:cantSplit/>
        </w:trPr>
        <w:tc>
          <w:tcPr>
            <w:tcW w:w="1212" w:type="dxa"/>
          </w:tcPr>
          <w:p>
            <w:pPr>
              <w:pStyle w:val="TableText"/>
              <w:jc w:val="left"/>
            </w:pPr>
            <w:r>
              <w:t xml:space="preserve">Archetype</w:t>
            </w:r>
          </w:p>
        </w:tc>
        <w:tc>
          <w:tcPr>
            <w:tcW w:w="8148" w:type="dxa"/>
          </w:tcPr>
          <w:p>
            <w:pPr>
              <w:pStyle w:val="TableText"/>
              <w:jc w:val="left"/>
            </w:pPr>
            <w:r>
              <w:t xml:space="preserve">A1 dispatch + A2 idle-asset marketplace + A6 mutual (water credits) + A8 protocol (open water-quality data)</w:t>
            </w:r>
          </w:p>
        </w:tc>
      </w:tr>
      <w:tr>
        <w:trPr>
          <w:cantSplit/>
        </w:trPr>
        <w:tc>
          <w:tcPr>
            <w:tcW w:w="1212" w:type="dxa"/>
          </w:tcPr>
          <w:p>
            <w:pPr>
              <w:pStyle w:val="TableText"/>
              <w:jc w:val="left"/>
            </w:pPr>
            <w:r>
              <w:t xml:space="preserve">Technology waves</w:t>
            </w:r>
          </w:p>
        </w:tc>
        <w:tc>
          <w:tcPr>
            <w:tcW w:w="8148" w:type="dxa"/>
          </w:tcPr>
          <w:p>
            <w:pPr>
              <w:pStyle w:val="TableText"/>
              <w:jc w:val="left"/>
            </w:pPr>
            <w:r>
              <w:t xml:space="preserve">T-e sensors and water-quality testing; T-d mobile money; T-f digital twins of supply networks</w:t>
            </w:r>
          </w:p>
        </w:tc>
      </w:tr>
      <w:tr>
        <w:trPr>
          <w:cantSplit/>
        </w:trPr>
        <w:tc>
          <w:tcPr>
            <w:tcW w:w="1212" w:type="dxa"/>
          </w:tcPr>
          <w:p>
            <w:pPr>
              <w:pStyle w:val="TableText"/>
              <w:jc w:val="left"/>
            </w:pPr>
            <w:r>
              <w:t xml:space="preserve">Governance</w:t>
            </w:r>
          </w:p>
        </w:tc>
        <w:tc>
          <w:tcPr>
            <w:tcW w:w="8148" w:type="dxa"/>
          </w:tcPr>
          <w:p>
            <w:pPr>
              <w:pStyle w:val="TableText"/>
              <w:jc w:val="left"/>
            </w:pPr>
            <w:r>
              <w:t xml:space="preserve">Public–private–commons partnership with utilities and community water committees</w:t>
            </w:r>
          </w:p>
        </w:tc>
      </w:tr>
      <w:tr>
        <w:trPr>
          <w:cantSplit/>
        </w:trPr>
        <w:tc>
          <w:tcPr>
            <w:tcW w:w="1212" w:type="dxa"/>
          </w:tcPr>
          <w:p>
            <w:pPr>
              <w:pStyle w:val="TableText"/>
              <w:jc w:val="left"/>
            </w:pPr>
            <w:r>
              <w:t xml:space="preserve">Foothold</w:t>
            </w:r>
          </w:p>
        </w:tc>
        <w:tc>
          <w:tcPr>
            <w:tcW w:w="8148" w:type="dxa"/>
          </w:tcPr>
          <w:p>
            <w:pPr>
              <w:pStyle w:val="TableText"/>
              <w:jc w:val="left"/>
            </w:pPr>
            <w:r>
              <w:t xml:space="preserve">Non-consumption (households without safe supply); Global South leapfrog</w:t>
            </w:r>
          </w:p>
        </w:tc>
      </w:tr>
    </w:tbl>
    <w:p>
      <w:pPr>
        <w:pStyle w:val="BodyText"/>
        <w:spacing w:before="160"/>
      </w:pPr>
      <w:r>
        <w:rPr>
          <w:b/>
          <w:bCs/>
        </w:rPr>
        <w:t xml:space="preserve">The new problem</w:t>
      </w:r>
    </w:p>
    <w:p>
      <w:pPr>
        <w:pStyle w:val="Compact"/>
        <w:numPr>
          <w:ilvl w:val="0"/>
          <w:numId w:val="1054"/>
        </w:numPr>
      </w:pPr>
      <w:r>
        <w:t xml:space="preserve">About 2.2 billion people lacked safely managed drinking water in 2022 (WHO/UNICEF).</w:t>
      </w:r>
    </w:p>
    <w:p>
      <w:pPr>
        <w:pStyle w:val="Compact"/>
        <w:numPr>
          <w:ilvl w:val="0"/>
          <w:numId w:val="1054"/>
        </w:numPr>
      </w:pPr>
      <w:r>
        <w:t xml:space="preserve">Around two-thirds of humanity is expected to live in cities by 2050 (UN), with the fastest growth in Africa and Asia, often in informal settlements that piped networks do not reach.</w:t>
      </w:r>
    </w:p>
    <w:p>
      <w:pPr>
        <w:pStyle w:val="Compact"/>
        <w:numPr>
          <w:ilvl w:val="0"/>
          <w:numId w:val="1054"/>
        </w:numPr>
      </w:pPr>
      <w:r>
        <w:t xml:space="preserve">People without piped water often pay far more per litre to tankers and vendors, with no guarantee of quality, and cholera outbreaks recur.</w:t>
      </w:r>
    </w:p>
    <w:p>
      <w:pPr>
        <w:pStyle w:val="Compact"/>
        <w:numPr>
          <w:ilvl w:val="0"/>
          <w:numId w:val="1054"/>
        </w:numPr>
      </w:pPr>
      <w:r>
        <w:t xml:space="preserve">Groundwater is being depleted by unregulated private boreholes: a classic tragedy of the commons.</w:t>
      </w:r>
    </w:p>
    <w:p>
      <w:pPr>
        <w:pStyle w:val="FirstParagraph"/>
      </w:pPr>
      <w:r>
        <w:rPr>
          <w:b/>
          <w:bCs/>
        </w:rPr>
        <w:t xml:space="preserve">Benchmarks: borrowed and inverted</w:t>
      </w:r>
    </w:p>
    <w:p>
      <w:pPr>
        <w:pStyle w:val="Compact"/>
        <w:numPr>
          <w:ilvl w:val="0"/>
          <w:numId w:val="1055"/>
        </w:numPr>
      </w:pPr>
      <w:r>
        <w:rPr>
          <w:b/>
          <w:bCs/>
        </w:rPr>
        <w:t xml:space="preserve">From Uber:</w:t>
      </w:r>
      <w:r>
        <w:t xml:space="preserve"> </w:t>
      </w:r>
      <w:r>
        <w:t xml:space="preserve">dispatch of the nearest certified tanker.</w:t>
      </w:r>
    </w:p>
    <w:p>
      <w:pPr>
        <w:pStyle w:val="Compact"/>
        <w:numPr>
          <w:ilvl w:val="0"/>
          <w:numId w:val="1055"/>
        </w:numPr>
      </w:pPr>
      <w:r>
        <w:rPr>
          <w:b/>
          <w:bCs/>
        </w:rPr>
        <w:t xml:space="preserve">From Airbnb:</w:t>
      </w:r>
      <w:r>
        <w:t xml:space="preserve"> </w:t>
      </w:r>
      <w:r>
        <w:t xml:space="preserve">owners of boreholes and storage listing capacity.</w:t>
      </w:r>
    </w:p>
    <w:p>
      <w:pPr>
        <w:pStyle w:val="Compact"/>
        <w:numPr>
          <w:ilvl w:val="0"/>
          <w:numId w:val="1055"/>
        </w:numPr>
      </w:pPr>
      <w:r>
        <w:rPr>
          <w:b/>
          <w:bCs/>
        </w:rPr>
        <w:t xml:space="preserve">From mutuals:</w:t>
      </w:r>
      <w:r>
        <w:t xml:space="preserve"> </w:t>
      </w:r>
      <w:r>
        <w:t xml:space="preserve">pooled water credits for low-income households.</w:t>
      </w:r>
    </w:p>
    <w:p>
      <w:pPr>
        <w:pStyle w:val="Compact"/>
        <w:numPr>
          <w:ilvl w:val="0"/>
          <w:numId w:val="1055"/>
        </w:numPr>
      </w:pPr>
      <w:r>
        <w:rPr>
          <w:b/>
          <w:bCs/>
        </w:rPr>
        <w:t xml:space="preserve">Extends</w:t>
      </w:r>
      <w:r>
        <w:t xml:space="preserve"> </w:t>
      </w:r>
      <w:r>
        <w:t xml:space="preserve">the</w:t>
      </w:r>
      <w:r>
        <w:t xml:space="preserve"> </w:t>
      </w:r>
      <w:r>
        <w:t xml:space="preserve">“</w:t>
      </w:r>
      <w:r>
        <w:t xml:space="preserve">energy and water</w:t>
      </w:r>
      <w:r>
        <w:t xml:space="preserve">”</w:t>
      </w:r>
      <w:r>
        <w:t xml:space="preserve"> </w:t>
      </w:r>
      <w:r>
        <w:t xml:space="preserve">sector of Volume I, Part VI, and</w:t>
      </w:r>
      <w:r>
        <w:t xml:space="preserve"> </w:t>
      </w:r>
      <w:r>
        <w:rPr>
          <w:b/>
          <w:bCs/>
        </w:rPr>
        <w:t xml:space="preserve">links</w:t>
      </w:r>
      <w:r>
        <w:t xml:space="preserve"> </w:t>
      </w:r>
      <w:r>
        <w:t xml:space="preserve">to Bastion (drought cover) and FluxCommons (pumping energy).</w:t>
      </w:r>
    </w:p>
    <w:p>
      <w:pPr>
        <w:pStyle w:val="Compact"/>
        <w:numPr>
          <w:ilvl w:val="0"/>
          <w:numId w:val="1055"/>
        </w:numPr>
      </w:pPr>
      <w:r>
        <w:rPr>
          <w:b/>
          <w:bCs/>
        </w:rPr>
        <w:t xml:space="preserve">Inverts:</w:t>
      </w:r>
      <w:r>
        <w:t xml:space="preserve"> </w:t>
      </w:r>
      <w:r>
        <w:t xml:space="preserve">Uber’s surge pricing caused outrage in emergencies (Volume I, Part II). AquaGrid</w:t>
      </w:r>
      <w:r>
        <w:t xml:space="preserve"> </w:t>
      </w:r>
      <w:r>
        <w:rPr>
          <w:b/>
          <w:bCs/>
        </w:rPr>
        <w:t xml:space="preserve">caps prices in scarcity</w:t>
      </w:r>
      <w:r>
        <w:t xml:space="preserve">, because water is a human right recognized by the UN in 2010.</w:t>
      </w:r>
    </w:p>
    <w:p>
      <w:pPr>
        <w:pStyle w:val="FirstParagraph"/>
      </w:pPr>
      <w:r>
        <w:rPr>
          <w:b/>
          <w:bCs/>
        </w:rPr>
        <w:t xml:space="preserve">How it works</w:t>
      </w:r>
    </w:p>
    <w:p>
      <w:pPr>
        <w:pStyle w:val="Compact"/>
        <w:numPr>
          <w:ilvl w:val="0"/>
          <w:numId w:val="1056"/>
        </w:numPr>
      </w:pPr>
      <w:r>
        <w:rPr>
          <w:b/>
          <w:bCs/>
        </w:rPr>
        <w:t xml:space="preserve">Map supply.</w:t>
      </w:r>
      <w:r>
        <w:t xml:space="preserve"> </w:t>
      </w:r>
      <w:r>
        <w:t xml:space="preserve">Utility points, tested boreholes, licensed tankers, kiosks and rainwater systems are mapped.</w:t>
      </w:r>
    </w:p>
    <w:p>
      <w:pPr>
        <w:pStyle w:val="Compact"/>
        <w:numPr>
          <w:ilvl w:val="0"/>
          <w:numId w:val="1056"/>
        </w:numPr>
      </w:pPr>
      <w:r>
        <w:rPr>
          <w:b/>
          <w:bCs/>
        </w:rPr>
        <w:t xml:space="preserve">Order.</w:t>
      </w:r>
      <w:r>
        <w:t xml:space="preserve"> </w:t>
      </w:r>
      <w:r>
        <w:t xml:space="preserve">By USSD, voice, app or local agent. The nearest certified tanker or kiosk is dispatched.</w:t>
      </w:r>
    </w:p>
    <w:p>
      <w:pPr>
        <w:pStyle w:val="Compact"/>
        <w:numPr>
          <w:ilvl w:val="0"/>
          <w:numId w:val="1056"/>
        </w:numPr>
      </w:pPr>
      <w:r>
        <w:rPr>
          <w:b/>
          <w:bCs/>
        </w:rPr>
        <w:t xml:space="preserve">Test.</w:t>
      </w:r>
      <w:r>
        <w:t xml:space="preserve"> </w:t>
      </w:r>
      <w:r>
        <w:t xml:space="preserve">Sources are tested and certified; results are public; sensors monitor key points.</w:t>
      </w:r>
    </w:p>
    <w:p>
      <w:pPr>
        <w:pStyle w:val="Compact"/>
        <w:numPr>
          <w:ilvl w:val="0"/>
          <w:numId w:val="1056"/>
        </w:numPr>
      </w:pPr>
      <w:r>
        <w:rPr>
          <w:b/>
          <w:bCs/>
        </w:rPr>
        <w:t xml:space="preserve">Price fairly.</w:t>
      </w:r>
      <w:r>
        <w:t xml:space="preserve"> </w:t>
      </w:r>
      <w:r>
        <w:t xml:space="preserve">Delivery is metered at transparent prices, with caps during droughts and outbreaks.</w:t>
      </w:r>
    </w:p>
    <w:p>
      <w:pPr>
        <w:pStyle w:val="Compact"/>
        <w:numPr>
          <w:ilvl w:val="0"/>
          <w:numId w:val="1056"/>
        </w:numPr>
      </w:pPr>
      <w:r>
        <w:rPr>
          <w:b/>
          <w:bCs/>
        </w:rPr>
        <w:t xml:space="preserve">Store and harvest.</w:t>
      </w:r>
      <w:r>
        <w:t xml:space="preserve"> </w:t>
      </w:r>
      <w:r>
        <w:t xml:space="preserve">Neighbourhood storage tanks and rainwater harvesting are installed, financed through water credits.</w:t>
      </w:r>
    </w:p>
    <w:p>
      <w:pPr>
        <w:pStyle w:val="Compact"/>
        <w:numPr>
          <w:ilvl w:val="0"/>
          <w:numId w:val="1056"/>
        </w:numPr>
      </w:pPr>
      <w:r>
        <w:rPr>
          <w:b/>
          <w:bCs/>
        </w:rPr>
        <w:t xml:space="preserve">Protect the aquifer.</w:t>
      </w:r>
      <w:r>
        <w:t xml:space="preserve"> </w:t>
      </w:r>
      <w:r>
        <w:t xml:space="preserve">Extraction and groundwater levels are monitored with utilities, and limits are agreed by community committees (Ostrom).</w:t>
      </w:r>
    </w:p>
    <w:p>
      <w:pPr>
        <w:pStyle w:val="Compact"/>
        <w:numPr>
          <w:ilvl w:val="0"/>
          <w:numId w:val="1056"/>
        </w:numPr>
      </w:pPr>
      <w:r>
        <w:rPr>
          <w:b/>
          <w:bCs/>
        </w:rPr>
        <w:t xml:space="preserve">Lifeline credits.</w:t>
      </w:r>
      <w:r>
        <w:t xml:space="preserve"> </w:t>
      </w:r>
      <w:r>
        <w:t xml:space="preserve">Low-income households receive a basic volume, funded by utilities and municipalities.</w:t>
      </w:r>
    </w:p>
    <w:p>
      <w:pPr>
        <w:pStyle w:val="FirstParagraph"/>
      </w:pPr>
      <w:r>
        <w:rPr>
          <w:b/>
          <w:bCs/>
        </w:rPr>
        <w:t xml:space="preserve">System dynamics</w:t>
      </w:r>
    </w:p>
    <w:p>
      <w:pPr>
        <w:pStyle w:val="Compact"/>
        <w:numPr>
          <w:ilvl w:val="0"/>
          <w:numId w:val="1057"/>
        </w:numPr>
      </w:pPr>
      <w:r>
        <w:rPr>
          <w:b/>
          <w:bCs/>
        </w:rPr>
        <w:t xml:space="preserve">R1, the quality-trust loop:</w:t>
      </w:r>
      <w:r>
        <w:t xml:space="preserve"> </w:t>
      </w:r>
      <w:r>
        <w:t xml:space="preserve">certified sources → safer water → fewer illnesses → trust and demand → more sources seek certification.</w:t>
      </w:r>
    </w:p>
    <w:p>
      <w:pPr>
        <w:pStyle w:val="Compact"/>
        <w:numPr>
          <w:ilvl w:val="0"/>
          <w:numId w:val="1057"/>
        </w:numPr>
      </w:pPr>
      <w:r>
        <w:rPr>
          <w:b/>
          <w:bCs/>
        </w:rPr>
        <w:t xml:space="preserve">B1, groundwater depletion:</w:t>
      </w:r>
      <w:r>
        <w:t xml:space="preserve"> </w:t>
      </w:r>
      <w:r>
        <w:t xml:space="preserve">over-extraction lowers water tables. Monitoring, limits and recharge contain it.</w:t>
      </w:r>
    </w:p>
    <w:p>
      <w:pPr>
        <w:pStyle w:val="Compact"/>
        <w:numPr>
          <w:ilvl w:val="0"/>
          <w:numId w:val="1057"/>
        </w:numPr>
      </w:pPr>
      <w:r>
        <w:rPr>
          <w:b/>
          <w:bCs/>
        </w:rPr>
        <w:t xml:space="preserve">B2, tanker-cartel resistance:</w:t>
      </w:r>
      <w:r>
        <w:t xml:space="preserve"> </w:t>
      </w:r>
      <w:r>
        <w:t xml:space="preserve">incumbent operators resist transparency. Bringing them in as members with steadier demand contains it.</w:t>
      </w:r>
    </w:p>
    <w:p>
      <w:pPr>
        <w:pStyle w:val="Compact"/>
        <w:numPr>
          <w:ilvl w:val="0"/>
          <w:numId w:val="1057"/>
        </w:numPr>
      </w:pPr>
      <w:r>
        <w:rPr>
          <w:b/>
          <w:bCs/>
        </w:rPr>
        <w:t xml:space="preserve">Leverage point:</w:t>
      </w:r>
      <w:r>
        <w:t xml:space="preserve"> </w:t>
      </w:r>
      <w:r>
        <w:t xml:space="preserve">information (quality and prices), rules (extraction limits and price caps) and self-organization (community water committees).</w:t>
      </w:r>
    </w:p>
    <w:p>
      <w:pPr>
        <w:pStyle w:val="FirstParagraph"/>
      </w:pPr>
      <w:r>
        <w:rPr>
          <w:b/>
          <w:bCs/>
        </w:rPr>
        <w:t xml:space="preserve">Design thinking</w:t>
      </w:r>
    </w:p>
    <w:p>
      <w:pPr>
        <w:pStyle w:val="Compact"/>
        <w:numPr>
          <w:ilvl w:val="0"/>
          <w:numId w:val="1058"/>
        </w:numPr>
      </w:pPr>
      <w:r>
        <w:rPr>
          <w:i/>
          <w:iCs/>
        </w:rPr>
        <w:t xml:space="preserve">Personas:</w:t>
      </w:r>
      <w:r>
        <w:t xml:space="preserve"> </w:t>
      </w:r>
      <w:r>
        <w:rPr>
          <w:b/>
          <w:bCs/>
        </w:rPr>
        <w:t xml:space="preserve">Mrs Adaeze</w:t>
      </w:r>
      <w:r>
        <w:t xml:space="preserve">, in Ajegunle, Lagos, buying jerrycans daily at high prices.</w:t>
      </w:r>
      <w:r>
        <w:t xml:space="preserve"> </w:t>
      </w:r>
      <w:r>
        <w:rPr>
          <w:b/>
          <w:bCs/>
        </w:rPr>
        <w:t xml:space="preserve">Ibrahim</w:t>
      </w:r>
      <w:r>
        <w:t xml:space="preserve">, a tanker owner who wants steadier business.</w:t>
      </w:r>
      <w:r>
        <w:t xml:space="preserve"> </w:t>
      </w:r>
      <w:r>
        <w:rPr>
          <w:b/>
          <w:bCs/>
        </w:rPr>
        <w:t xml:space="preserve">A utility planner</w:t>
      </w:r>
      <w:r>
        <w:t xml:space="preserve"> </w:t>
      </w:r>
      <w:r>
        <w:t xml:space="preserve">who cannot see where water is going.</w:t>
      </w:r>
    </w:p>
    <w:p>
      <w:pPr>
        <w:pStyle w:val="Compact"/>
        <w:numPr>
          <w:ilvl w:val="0"/>
          <w:numId w:val="1058"/>
        </w:numPr>
      </w:pPr>
      <w:r>
        <w:rPr>
          <w:i/>
          <w:iCs/>
        </w:rPr>
        <w:t xml:space="preserve">How might</w:t>
      </w:r>
      <w:r>
        <w:t xml:space="preserve"> </w:t>
      </w:r>
      <w:r>
        <w:t xml:space="preserve">every household know its water is safe and fairly priced?</w:t>
      </w:r>
    </w:p>
    <w:p>
      <w:pPr>
        <w:pStyle w:val="Compact"/>
        <w:numPr>
          <w:ilvl w:val="0"/>
          <w:numId w:val="1058"/>
        </w:numPr>
      </w:pPr>
      <w:r>
        <w:rPr>
          <w:i/>
          <w:iCs/>
        </w:rPr>
        <w:t xml:space="preserve">Moment of truth:</w:t>
      </w:r>
      <w:r>
        <w:t xml:space="preserve"> </w:t>
      </w:r>
      <w:r>
        <w:t xml:space="preserve">in cholera season, certified water is delivered, the quality result is on Mrs Adaeze’s phone, and the price is capped.</w:t>
      </w:r>
    </w:p>
    <w:p>
      <w:pPr>
        <w:pStyle w:val="FirstParagraph"/>
      </w:pPr>
      <w:r>
        <w:rPr>
          <w:b/>
          <w:bCs/>
        </w:rPr>
        <w:t xml:space="preserve">Business and ownership model.</w:t>
      </w:r>
      <w:r>
        <w:t xml:space="preserve"> </w:t>
      </w:r>
      <w:r>
        <w:t xml:space="preserve">A dispatch take rate of about 8–12%; source-certification fees; storage and rainwater financing; analytics contracts for utilities; administration of lifeline subsidies.</w:t>
      </w:r>
    </w:p>
    <w:p>
      <w:pPr>
        <w:pStyle w:val="BodyText"/>
      </w:pPr>
      <w:r>
        <w:rPr>
          <w:b/>
          <w:bCs/>
        </w:rPr>
        <w:t xml:space="preserve">Future potential</w:t>
      </w:r>
    </w:p>
    <w:tbl>
      <w:tblPr>
        <w:tblStyle w:val="Table"/>
        <w:tblW w:w="9360" w:type="dxa"/>
        <w:jc w:val="left"/>
        <w:tblLayout w:type="fixed"/>
        <w:tblLook w:firstRow="1" w:lastRow="0" w:firstColumn="0" w:lastColumn="0" w:noHBand="0" w:noVBand="0" w:val="0020"/>
      </w:tblPr>
      <w:tblGrid>
        <w:gridCol w:w="1206"/>
        <w:gridCol w:w="8154"/>
      </w:tblGrid>
      <w:tr>
        <w:trPr>
          <w:cantSplit/>
          <w:tblHeader w:val="true"/>
        </w:trPr>
        <w:tc>
          <w:tcPr>
            <w:tcW w:w="1206" w:type="dxa"/>
          </w:tcPr>
          <w:p>
            <w:pPr>
              <w:pStyle w:val="TableText"/>
              <w:jc w:val="left"/>
            </w:pPr>
            <w:r>
              <w:t xml:space="preserve">Horizon</w:t>
            </w:r>
          </w:p>
        </w:tc>
        <w:tc>
          <w:tcPr>
            <w:tcW w:w="8154" w:type="dxa"/>
          </w:tcPr>
          <w:p>
            <w:pPr>
              <w:pStyle w:val="TableText"/>
              <w:jc w:val="left"/>
            </w:pPr>
            <w:r>
              <w:t xml:space="preserve">What it becomes</w:t>
            </w:r>
          </w:p>
        </w:tc>
      </w:tr>
      <w:tr>
        <w:trPr>
          <w:cantSplit/>
        </w:trPr>
        <w:tc>
          <w:tcPr>
            <w:tcW w:w="1206" w:type="dxa"/>
          </w:tcPr>
          <w:p>
            <w:pPr>
              <w:pStyle w:val="TableText"/>
              <w:jc w:val="left"/>
            </w:pPr>
            <w:r>
              <w:t xml:space="preserve">2030</w:t>
            </w:r>
          </w:p>
        </w:tc>
        <w:tc>
          <w:tcPr>
            <w:tcW w:w="8154" w:type="dxa"/>
          </w:tcPr>
          <w:p>
            <w:pPr>
              <w:pStyle w:val="TableText"/>
              <w:jc w:val="left"/>
            </w:pPr>
            <w:r>
              <w:t xml:space="preserve">Operating in three cities; thousands of certified sources; lifeline credits in place</w:t>
            </w:r>
          </w:p>
        </w:tc>
      </w:tr>
      <w:tr>
        <w:trPr>
          <w:cantSplit/>
        </w:trPr>
        <w:tc>
          <w:tcPr>
            <w:tcW w:w="1206" w:type="dxa"/>
          </w:tcPr>
          <w:p>
            <w:pPr>
              <w:pStyle w:val="TableText"/>
              <w:jc w:val="left"/>
            </w:pPr>
            <w:r>
              <w:t xml:space="preserve">2035</w:t>
            </w:r>
          </w:p>
        </w:tc>
        <w:tc>
          <w:tcPr>
            <w:tcW w:w="8154" w:type="dxa"/>
          </w:tcPr>
          <w:p>
            <w:pPr>
              <w:pStyle w:val="TableText"/>
              <w:jc w:val="left"/>
            </w:pPr>
            <w:r>
              <w:t xml:space="preserve">The</w:t>
            </w:r>
            <w:r>
              <w:t xml:space="preserve"> </w:t>
            </w:r>
            <w:r>
              <w:t xml:space="preserve">“</w:t>
            </w:r>
            <w:r>
              <w:t xml:space="preserve">last-mile water layer</w:t>
            </w:r>
            <w:r>
              <w:t xml:space="preserve">”</w:t>
            </w:r>
            <w:r>
              <w:t xml:space="preserve"> </w:t>
            </w:r>
            <w:r>
              <w:t xml:space="preserve">integrated with utilities in many cities</w:t>
            </w:r>
          </w:p>
        </w:tc>
      </w:tr>
      <w:tr>
        <w:trPr>
          <w:cantSplit/>
        </w:trPr>
        <w:tc>
          <w:tcPr>
            <w:tcW w:w="1206" w:type="dxa"/>
          </w:tcPr>
          <w:p>
            <w:pPr>
              <w:pStyle w:val="TableText"/>
              <w:jc w:val="left"/>
            </w:pPr>
            <w:r>
              <w:t xml:space="preserve">2040–2050</w:t>
            </w:r>
          </w:p>
        </w:tc>
        <w:tc>
          <w:tcPr>
            <w:tcW w:w="8154" w:type="dxa"/>
          </w:tcPr>
          <w:p>
            <w:pPr>
              <w:pStyle w:val="TableText"/>
              <w:jc w:val="left"/>
            </w:pPr>
            <w:r>
              <w:t xml:space="preserve">Decentralized urban water commons with reuse, storage and aquifer stewardship</w:t>
            </w:r>
          </w:p>
        </w:tc>
      </w:tr>
    </w:tbl>
    <w:p/>
    <w:tbl>
      <w:tblPr>
        <w:tblStyle w:val="Table"/>
        <w:tblW w:w="9360" w:type="dxa"/>
        <w:jc w:val="left"/>
        <w:tblLayout w:type="fixed"/>
        <w:tblLook w:firstRow="1" w:lastRow="0" w:firstColumn="0" w:lastColumn="0" w:noHBand="0" w:noVBand="0" w:val="0020"/>
      </w:tblPr>
      <w:tblGrid>
        <w:gridCol w:w="3324"/>
        <w:gridCol w:w="6036"/>
      </w:tblGrid>
      <w:tr>
        <w:trPr>
          <w:cantSplit/>
          <w:tblHeader w:val="true"/>
        </w:trPr>
        <w:tc>
          <w:tcPr>
            <w:tcW w:w="3324" w:type="dxa"/>
          </w:tcPr>
          <w:p>
            <w:pPr>
              <w:pStyle w:val="TableText"/>
              <w:jc w:val="left"/>
            </w:pPr>
            <w:r>
              <w:t xml:space="preserve">Risk</w:t>
            </w:r>
          </w:p>
        </w:tc>
        <w:tc>
          <w:tcPr>
            <w:tcW w:w="6036" w:type="dxa"/>
          </w:tcPr>
          <w:p>
            <w:pPr>
              <w:pStyle w:val="TableText"/>
              <w:jc w:val="left"/>
            </w:pPr>
            <w:r>
              <w:t xml:space="preserve">Safeguard</w:t>
            </w:r>
          </w:p>
        </w:tc>
      </w:tr>
      <w:tr>
        <w:trPr>
          <w:cantSplit/>
        </w:trPr>
        <w:tc>
          <w:tcPr>
            <w:tcW w:w="3324" w:type="dxa"/>
          </w:tcPr>
          <w:p>
            <w:pPr>
              <w:pStyle w:val="TableText"/>
              <w:jc w:val="left"/>
            </w:pPr>
            <w:r>
              <w:t xml:space="preserve">Commercializing a human right</w:t>
            </w:r>
          </w:p>
        </w:tc>
        <w:tc>
          <w:tcPr>
            <w:tcW w:w="6036" w:type="dxa"/>
          </w:tcPr>
          <w:p>
            <w:pPr>
              <w:pStyle w:val="TableText"/>
              <w:jc w:val="left"/>
            </w:pPr>
            <w:r>
              <w:t xml:space="preserve">Lifeline volumes; price caps; public partnership</w:t>
            </w:r>
          </w:p>
        </w:tc>
      </w:tr>
      <w:tr>
        <w:trPr>
          <w:cantSplit/>
        </w:trPr>
        <w:tc>
          <w:tcPr>
            <w:tcW w:w="3324" w:type="dxa"/>
          </w:tcPr>
          <w:p>
            <w:pPr>
              <w:pStyle w:val="TableText"/>
              <w:jc w:val="left"/>
            </w:pPr>
            <w:r>
              <w:t xml:space="preserve">Groundwater over-extraction</w:t>
            </w:r>
          </w:p>
        </w:tc>
        <w:tc>
          <w:tcPr>
            <w:tcW w:w="6036" w:type="dxa"/>
          </w:tcPr>
          <w:p>
            <w:pPr>
              <w:pStyle w:val="TableText"/>
              <w:jc w:val="left"/>
            </w:pPr>
            <w:r>
              <w:t xml:space="preserve">Monitoring; extraction limits; recharge programmes</w:t>
            </w:r>
          </w:p>
        </w:tc>
      </w:tr>
      <w:tr>
        <w:trPr>
          <w:cantSplit/>
        </w:trPr>
        <w:tc>
          <w:tcPr>
            <w:tcW w:w="3324" w:type="dxa"/>
          </w:tcPr>
          <w:p>
            <w:pPr>
              <w:pStyle w:val="TableText"/>
              <w:jc w:val="left"/>
            </w:pPr>
            <w:r>
              <w:t xml:space="preserve">Contamination liability</w:t>
            </w:r>
          </w:p>
        </w:tc>
        <w:tc>
          <w:tcPr>
            <w:tcW w:w="6036" w:type="dxa"/>
          </w:tcPr>
          <w:p>
            <w:pPr>
              <w:pStyle w:val="TableText"/>
              <w:jc w:val="left"/>
            </w:pPr>
            <w:r>
              <w:t xml:space="preserve">Testing; certification; insurance; rapid recall</w:t>
            </w:r>
          </w:p>
        </w:tc>
      </w:tr>
      <w:tr>
        <w:trPr>
          <w:cantSplit/>
        </w:trPr>
        <w:tc>
          <w:tcPr>
            <w:tcW w:w="3324" w:type="dxa"/>
          </w:tcPr>
          <w:p>
            <w:pPr>
              <w:pStyle w:val="TableText"/>
              <w:jc w:val="left"/>
            </w:pPr>
            <w:r>
              <w:t xml:space="preserve">Political resistance</w:t>
            </w:r>
          </w:p>
        </w:tc>
        <w:tc>
          <w:tcPr>
            <w:tcW w:w="6036" w:type="dxa"/>
          </w:tcPr>
          <w:p>
            <w:pPr>
              <w:pStyle w:val="TableText"/>
              <w:jc w:val="left"/>
            </w:pPr>
            <w:r>
              <w:t xml:space="preserve">Utility partnership; community governance</w:t>
            </w:r>
          </w:p>
        </w:tc>
      </w:tr>
    </w:tbl>
    <w:p>
      <w:pPr>
        <w:pStyle w:val="BodyText"/>
        <w:spacing w:before="160"/>
      </w:pPr>
      <w:r>
        <w:rPr>
          <w:b/>
          <w:bCs/>
        </w:rPr>
        <w:t xml:space="preserve">First 100 days.</w:t>
      </w:r>
      <w:r>
        <w:t xml:space="preserve"> </w:t>
      </w:r>
      <w:r>
        <w:t xml:space="preserve">One local government area in Lagos; 50 tankers; 30 tested boreholes; 5,000 households.</w:t>
      </w:r>
    </w:p>
    <w:p>
      <w:pPr>
        <w:pStyle w:val="BodyText"/>
      </w:pPr>
      <w:r>
        <w:rPr>
          <w:b/>
          <w:bCs/>
        </w:rPr>
        <w:t xml:space="preserve">Double Decagon score: 85/100 (future-defining).</w:t>
      </w:r>
      <w:r>
        <w:t xml:space="preserve"> </w:t>
      </w:r>
      <w:r>
        <w:t xml:space="preserve">Inner Decagon 43/50 (V1 5 · V2 4 · V3 4 · V4 4 · V5 4 · V6 4 · V7 4 · V8 5 · V9 5 · V10 4). Future-Fitness 42/50 (F1 3 · F2 4 · F3 5 · F4 4 · F5 4 · F6 4 · F7 5 · F8 4 · F9 5 · F10 4).</w:t>
      </w:r>
    </w:p>
    <w:bookmarkEnd w:id="64"/>
    <w:bookmarkEnd w:id="65"/>
    <w:bookmarkStart w:id="77" w:name="part-5-portfolio-missions-and-futures"/>
    <w:p>
      <w:pPr>
        <w:pStyle w:val="Heading1"/>
      </w:pPr>
      <w:r>
        <w:t xml:space="preserve">Part 5: Portfolio, Missions and Futures</w:t>
      </w:r>
    </w:p>
    <w:bookmarkStart w:id="69" w:name="the-double-decagon-scoreboard"/>
    <w:p>
      <w:pPr>
        <w:pStyle w:val="Heading2"/>
      </w:pPr>
      <w:r>
        <w:t xml:space="preserve">5.1 The Double Decagon scoreboard</w:t>
      </w:r>
    </w:p>
    <w:tbl>
      <w:tblPr>
        <w:tblStyle w:val="Table"/>
        <w:tblW w:w="9360" w:type="dxa"/>
        <w:jc w:val="left"/>
        <w:tblLayout w:type="fixed"/>
        <w:tblLook w:firstRow="1" w:lastRow="0" w:firstColumn="0" w:lastColumn="0" w:noHBand="0" w:noVBand="0" w:val="0020"/>
      </w:tblPr>
      <w:tblGrid>
        <w:gridCol w:w="3432"/>
        <w:gridCol w:w="1144"/>
        <w:gridCol w:w="1872"/>
        <w:gridCol w:w="1040"/>
        <w:gridCol w:w="1872"/>
      </w:tblGrid>
      <w:tr>
        <w:trPr>
          <w:cantSplit/>
          <w:tblHeader w:val="true"/>
        </w:trPr>
        <w:tc>
          <w:tcPr>
            <w:tcW w:w="3432" w:type="dxa"/>
          </w:tcPr>
          <w:p>
            <w:pPr>
              <w:pStyle w:val="TableText"/>
              <w:jc w:val="left"/>
            </w:pPr>
            <w:r>
              <w:t xml:space="preserve">Venture</w:t>
            </w:r>
          </w:p>
        </w:tc>
        <w:tc>
          <w:tcPr>
            <w:tcW w:w="1144" w:type="dxa"/>
          </w:tcPr>
          <w:p>
            <w:pPr>
              <w:pStyle w:val="TableText"/>
              <w:jc w:val="left"/>
            </w:pPr>
            <w:r>
              <w:t xml:space="preserve">Inner Decagon (/50)</w:t>
            </w:r>
          </w:p>
        </w:tc>
        <w:tc>
          <w:tcPr>
            <w:tcW w:w="1872" w:type="dxa"/>
          </w:tcPr>
          <w:p>
            <w:pPr>
              <w:pStyle w:val="TableText"/>
              <w:jc w:val="left"/>
            </w:pPr>
            <w:r>
              <w:t xml:space="preserve">Future-Fitness (/50)</w:t>
            </w:r>
          </w:p>
        </w:tc>
        <w:tc>
          <w:tcPr>
            <w:tcW w:w="1040" w:type="dxa"/>
          </w:tcPr>
          <w:p>
            <w:pPr>
              <w:pStyle w:val="TableText"/>
              <w:jc w:val="left"/>
            </w:pPr>
            <w:r>
              <w:t xml:space="preserve">Index (/100)</w:t>
            </w:r>
          </w:p>
        </w:tc>
        <w:tc>
          <w:tcPr>
            <w:tcW w:w="1872" w:type="dxa"/>
          </w:tcPr>
          <w:p>
            <w:pPr>
              <w:pStyle w:val="TableText"/>
              <w:jc w:val="left"/>
            </w:pPr>
            <w:r>
              <w:t xml:space="preserve">Band</w:t>
            </w:r>
          </w:p>
        </w:tc>
      </w:tr>
      <w:tr>
        <w:trPr>
          <w:cantSplit/>
        </w:trPr>
        <w:tc>
          <w:tcPr>
            <w:tcW w:w="3432" w:type="dxa"/>
          </w:tcPr>
          <w:p>
            <w:pPr>
              <w:pStyle w:val="TableText"/>
              <w:jc w:val="left"/>
            </w:pPr>
            <w:r>
              <w:t xml:space="preserve">1 RemoteHands</w:t>
            </w:r>
          </w:p>
        </w:tc>
        <w:tc>
          <w:tcPr>
            <w:tcW w:w="1144" w:type="dxa"/>
          </w:tcPr>
          <w:p>
            <w:pPr>
              <w:pStyle w:val="TableText"/>
              <w:jc w:val="left"/>
            </w:pPr>
            <w:r>
              <w:t xml:space="preserve">41</w:t>
            </w:r>
          </w:p>
        </w:tc>
        <w:tc>
          <w:tcPr>
            <w:tcW w:w="1872" w:type="dxa"/>
          </w:tcPr>
          <w:p>
            <w:pPr>
              <w:pStyle w:val="TableText"/>
              <w:jc w:val="left"/>
            </w:pPr>
            <w:r>
              <w:t xml:space="preserve">40</w:t>
            </w:r>
          </w:p>
        </w:tc>
        <w:tc>
          <w:tcPr>
            <w:tcW w:w="1040" w:type="dxa"/>
          </w:tcPr>
          <w:p>
            <w:pPr>
              <w:pStyle w:val="TableText"/>
              <w:jc w:val="left"/>
            </w:pPr>
            <w:r>
              <w:rPr>
                <w:b/>
                <w:bCs/>
              </w:rPr>
              <w:t xml:space="preserve">81</w:t>
            </w:r>
          </w:p>
        </w:tc>
        <w:tc>
          <w:tcPr>
            <w:tcW w:w="1872" w:type="dxa"/>
          </w:tcPr>
          <w:p>
            <w:pPr>
              <w:pStyle w:val="TableText"/>
              <w:jc w:val="left"/>
            </w:pPr>
            <w:r>
              <w:t xml:space="preserve">Future-fit</w:t>
            </w:r>
          </w:p>
        </w:tc>
      </w:tr>
      <w:tr>
        <w:trPr>
          <w:cantSplit/>
        </w:trPr>
        <w:tc>
          <w:tcPr>
            <w:tcW w:w="3432" w:type="dxa"/>
          </w:tcPr>
          <w:p>
            <w:pPr>
              <w:pStyle w:val="TableText"/>
              <w:jc w:val="left"/>
            </w:pPr>
            <w:r>
              <w:t xml:space="preserve">2 AgentUnion</w:t>
            </w:r>
          </w:p>
        </w:tc>
        <w:tc>
          <w:tcPr>
            <w:tcW w:w="1144" w:type="dxa"/>
          </w:tcPr>
          <w:p>
            <w:pPr>
              <w:pStyle w:val="TableText"/>
              <w:jc w:val="left"/>
            </w:pPr>
            <w:r>
              <w:t xml:space="preserve">41</w:t>
            </w:r>
          </w:p>
        </w:tc>
        <w:tc>
          <w:tcPr>
            <w:tcW w:w="1872" w:type="dxa"/>
          </w:tcPr>
          <w:p>
            <w:pPr>
              <w:pStyle w:val="TableText"/>
              <w:jc w:val="left"/>
            </w:pPr>
            <w:r>
              <w:t xml:space="preserve">40</w:t>
            </w:r>
          </w:p>
        </w:tc>
        <w:tc>
          <w:tcPr>
            <w:tcW w:w="1040" w:type="dxa"/>
          </w:tcPr>
          <w:p>
            <w:pPr>
              <w:pStyle w:val="TableText"/>
              <w:jc w:val="left"/>
            </w:pPr>
            <w:r>
              <w:rPr>
                <w:b/>
                <w:bCs/>
              </w:rPr>
              <w:t xml:space="preserve">81</w:t>
            </w:r>
          </w:p>
        </w:tc>
        <w:tc>
          <w:tcPr>
            <w:tcW w:w="1872" w:type="dxa"/>
          </w:tcPr>
          <w:p>
            <w:pPr>
              <w:pStyle w:val="TableText"/>
              <w:jc w:val="left"/>
            </w:pPr>
            <w:r>
              <w:t xml:space="preserve">Future-fit</w:t>
            </w:r>
          </w:p>
        </w:tc>
      </w:tr>
      <w:tr>
        <w:trPr>
          <w:cantSplit/>
        </w:trPr>
        <w:tc>
          <w:tcPr>
            <w:tcW w:w="3432" w:type="dxa"/>
          </w:tcPr>
          <w:p>
            <w:pPr>
              <w:pStyle w:val="TableText"/>
              <w:jc w:val="left"/>
            </w:pPr>
            <w:r>
              <w:t xml:space="preserve">3 GroundTruth</w:t>
            </w:r>
          </w:p>
        </w:tc>
        <w:tc>
          <w:tcPr>
            <w:tcW w:w="1144" w:type="dxa"/>
          </w:tcPr>
          <w:p>
            <w:pPr>
              <w:pStyle w:val="TableText"/>
              <w:jc w:val="left"/>
            </w:pPr>
            <w:r>
              <w:t xml:space="preserve">40</w:t>
            </w:r>
          </w:p>
        </w:tc>
        <w:tc>
          <w:tcPr>
            <w:tcW w:w="1872" w:type="dxa"/>
          </w:tcPr>
          <w:p>
            <w:pPr>
              <w:pStyle w:val="TableText"/>
              <w:jc w:val="left"/>
            </w:pPr>
            <w:r>
              <w:t xml:space="preserve">40</w:t>
            </w:r>
          </w:p>
        </w:tc>
        <w:tc>
          <w:tcPr>
            <w:tcW w:w="1040" w:type="dxa"/>
          </w:tcPr>
          <w:p>
            <w:pPr>
              <w:pStyle w:val="TableText"/>
              <w:jc w:val="left"/>
            </w:pPr>
            <w:r>
              <w:rPr>
                <w:b/>
                <w:bCs/>
              </w:rPr>
              <w:t xml:space="preserve">80</w:t>
            </w:r>
          </w:p>
        </w:tc>
        <w:tc>
          <w:tcPr>
            <w:tcW w:w="1872" w:type="dxa"/>
          </w:tcPr>
          <w:p>
            <w:pPr>
              <w:pStyle w:val="TableText"/>
              <w:jc w:val="left"/>
            </w:pPr>
            <w:r>
              <w:t xml:space="preserve">Future-fit</w:t>
            </w:r>
          </w:p>
        </w:tc>
      </w:tr>
      <w:tr>
        <w:trPr>
          <w:cantSplit/>
        </w:trPr>
        <w:tc>
          <w:tcPr>
            <w:tcW w:w="3432" w:type="dxa"/>
          </w:tcPr>
          <w:p>
            <w:pPr>
              <w:pStyle w:val="TableText"/>
              <w:jc w:val="left"/>
            </w:pPr>
            <w:r>
              <w:t xml:space="preserve">4 CoolHaven</w:t>
            </w:r>
          </w:p>
        </w:tc>
        <w:tc>
          <w:tcPr>
            <w:tcW w:w="1144" w:type="dxa"/>
          </w:tcPr>
          <w:p>
            <w:pPr>
              <w:pStyle w:val="TableText"/>
              <w:jc w:val="left"/>
            </w:pPr>
            <w:r>
              <w:t xml:space="preserve">44</w:t>
            </w:r>
          </w:p>
        </w:tc>
        <w:tc>
          <w:tcPr>
            <w:tcW w:w="1872" w:type="dxa"/>
          </w:tcPr>
          <w:p>
            <w:pPr>
              <w:pStyle w:val="TableText"/>
              <w:jc w:val="left"/>
            </w:pPr>
            <w:r>
              <w:t xml:space="preserve">40</w:t>
            </w:r>
          </w:p>
        </w:tc>
        <w:tc>
          <w:tcPr>
            <w:tcW w:w="1040" w:type="dxa"/>
          </w:tcPr>
          <w:p>
            <w:pPr>
              <w:pStyle w:val="TableText"/>
              <w:jc w:val="left"/>
            </w:pPr>
            <w:r>
              <w:rPr>
                <w:b/>
                <w:bCs/>
              </w:rPr>
              <w:t xml:space="preserve">84</w:t>
            </w:r>
          </w:p>
        </w:tc>
        <w:tc>
          <w:tcPr>
            <w:tcW w:w="1872" w:type="dxa"/>
          </w:tcPr>
          <w:p>
            <w:pPr>
              <w:pStyle w:val="TableText"/>
              <w:jc w:val="left"/>
            </w:pPr>
            <w:r>
              <w:t xml:space="preserve">Future-fit</w:t>
            </w:r>
          </w:p>
        </w:tc>
      </w:tr>
      <w:tr>
        <w:trPr>
          <w:cantSplit/>
        </w:trPr>
        <w:tc>
          <w:tcPr>
            <w:tcW w:w="3432" w:type="dxa"/>
          </w:tcPr>
          <w:p>
            <w:pPr>
              <w:pStyle w:val="TableText"/>
              <w:jc w:val="left"/>
            </w:pPr>
            <w:r>
              <w:t xml:space="preserve">5 SecondCell</w:t>
            </w:r>
          </w:p>
        </w:tc>
        <w:tc>
          <w:tcPr>
            <w:tcW w:w="1144" w:type="dxa"/>
          </w:tcPr>
          <w:p>
            <w:pPr>
              <w:pStyle w:val="TableText"/>
              <w:jc w:val="left"/>
            </w:pPr>
            <w:r>
              <w:t xml:space="preserve">41</w:t>
            </w:r>
          </w:p>
        </w:tc>
        <w:tc>
          <w:tcPr>
            <w:tcW w:w="1872" w:type="dxa"/>
          </w:tcPr>
          <w:p>
            <w:pPr>
              <w:pStyle w:val="TableText"/>
              <w:jc w:val="left"/>
            </w:pPr>
            <w:r>
              <w:t xml:space="preserve">42</w:t>
            </w:r>
          </w:p>
        </w:tc>
        <w:tc>
          <w:tcPr>
            <w:tcW w:w="1040" w:type="dxa"/>
          </w:tcPr>
          <w:p>
            <w:pPr>
              <w:pStyle w:val="TableText"/>
              <w:jc w:val="left"/>
            </w:pPr>
            <w:r>
              <w:rPr>
                <w:b/>
                <w:bCs/>
              </w:rPr>
              <w:t xml:space="preserve">83</w:t>
            </w:r>
          </w:p>
        </w:tc>
        <w:tc>
          <w:tcPr>
            <w:tcW w:w="1872" w:type="dxa"/>
          </w:tcPr>
          <w:p>
            <w:pPr>
              <w:pStyle w:val="TableText"/>
              <w:jc w:val="left"/>
            </w:pPr>
            <w:r>
              <w:t xml:space="preserve">Future-fit</w:t>
            </w:r>
          </w:p>
        </w:tc>
      </w:tr>
      <w:tr>
        <w:trPr>
          <w:cantSplit/>
        </w:trPr>
        <w:tc>
          <w:tcPr>
            <w:tcW w:w="3432" w:type="dxa"/>
          </w:tcPr>
          <w:p>
            <w:pPr>
              <w:pStyle w:val="TableText"/>
              <w:jc w:val="left"/>
            </w:pPr>
            <w:r>
              <w:t xml:space="preserve">6 PartsGrid</w:t>
            </w:r>
          </w:p>
        </w:tc>
        <w:tc>
          <w:tcPr>
            <w:tcW w:w="1144" w:type="dxa"/>
          </w:tcPr>
          <w:p>
            <w:pPr>
              <w:pStyle w:val="TableText"/>
              <w:jc w:val="left"/>
            </w:pPr>
            <w:r>
              <w:t xml:space="preserve">43</w:t>
            </w:r>
          </w:p>
        </w:tc>
        <w:tc>
          <w:tcPr>
            <w:tcW w:w="1872" w:type="dxa"/>
          </w:tcPr>
          <w:p>
            <w:pPr>
              <w:pStyle w:val="TableText"/>
              <w:jc w:val="left"/>
            </w:pPr>
            <w:r>
              <w:t xml:space="preserve">41</w:t>
            </w:r>
          </w:p>
        </w:tc>
        <w:tc>
          <w:tcPr>
            <w:tcW w:w="1040" w:type="dxa"/>
          </w:tcPr>
          <w:p>
            <w:pPr>
              <w:pStyle w:val="TableText"/>
              <w:jc w:val="left"/>
            </w:pPr>
            <w:r>
              <w:rPr>
                <w:b/>
                <w:bCs/>
              </w:rPr>
              <w:t xml:space="preserve">84</w:t>
            </w:r>
          </w:p>
        </w:tc>
        <w:tc>
          <w:tcPr>
            <w:tcW w:w="1872" w:type="dxa"/>
          </w:tcPr>
          <w:p>
            <w:pPr>
              <w:pStyle w:val="TableText"/>
              <w:jc w:val="left"/>
            </w:pPr>
            <w:r>
              <w:t xml:space="preserve">Future-fit</w:t>
            </w:r>
          </w:p>
        </w:tc>
      </w:tr>
      <w:tr>
        <w:trPr>
          <w:cantSplit/>
        </w:trPr>
        <w:tc>
          <w:tcPr>
            <w:tcW w:w="3432" w:type="dxa"/>
          </w:tcPr>
          <w:p>
            <w:pPr>
              <w:pStyle w:val="TableText"/>
              <w:jc w:val="left"/>
            </w:pPr>
            <w:r>
              <w:t xml:space="preserve">7 SurgeNet</w:t>
            </w:r>
          </w:p>
        </w:tc>
        <w:tc>
          <w:tcPr>
            <w:tcW w:w="1144" w:type="dxa"/>
          </w:tcPr>
          <w:p>
            <w:pPr>
              <w:pStyle w:val="TableText"/>
              <w:jc w:val="left"/>
            </w:pPr>
            <w:r>
              <w:t xml:space="preserve">43</w:t>
            </w:r>
          </w:p>
        </w:tc>
        <w:tc>
          <w:tcPr>
            <w:tcW w:w="1872" w:type="dxa"/>
          </w:tcPr>
          <w:p>
            <w:pPr>
              <w:pStyle w:val="TableText"/>
              <w:jc w:val="left"/>
            </w:pPr>
            <w:r>
              <w:t xml:space="preserve">40</w:t>
            </w:r>
          </w:p>
        </w:tc>
        <w:tc>
          <w:tcPr>
            <w:tcW w:w="1040" w:type="dxa"/>
          </w:tcPr>
          <w:p>
            <w:pPr>
              <w:pStyle w:val="TableText"/>
              <w:jc w:val="left"/>
            </w:pPr>
            <w:r>
              <w:rPr>
                <w:b/>
                <w:bCs/>
              </w:rPr>
              <w:t xml:space="preserve">83</w:t>
            </w:r>
          </w:p>
        </w:tc>
        <w:tc>
          <w:tcPr>
            <w:tcW w:w="1872" w:type="dxa"/>
          </w:tcPr>
          <w:p>
            <w:pPr>
              <w:pStyle w:val="TableText"/>
              <w:jc w:val="left"/>
            </w:pPr>
            <w:r>
              <w:t xml:space="preserve">Future-fit</w:t>
            </w:r>
          </w:p>
        </w:tc>
      </w:tr>
      <w:tr>
        <w:trPr>
          <w:cantSplit/>
        </w:trPr>
        <w:tc>
          <w:tcPr>
            <w:tcW w:w="3432" w:type="dxa"/>
          </w:tcPr>
          <w:p>
            <w:pPr>
              <w:pStyle w:val="TableText"/>
              <w:jc w:val="left"/>
            </w:pPr>
            <w:r>
              <w:t xml:space="preserve">8 WildLedger</w:t>
            </w:r>
          </w:p>
        </w:tc>
        <w:tc>
          <w:tcPr>
            <w:tcW w:w="1144" w:type="dxa"/>
          </w:tcPr>
          <w:p>
            <w:pPr>
              <w:pStyle w:val="TableText"/>
              <w:jc w:val="left"/>
            </w:pPr>
            <w:r>
              <w:t xml:space="preserve">43</w:t>
            </w:r>
          </w:p>
        </w:tc>
        <w:tc>
          <w:tcPr>
            <w:tcW w:w="1872" w:type="dxa"/>
          </w:tcPr>
          <w:p>
            <w:pPr>
              <w:pStyle w:val="TableText"/>
              <w:jc w:val="left"/>
            </w:pPr>
            <w:r>
              <w:t xml:space="preserve">42</w:t>
            </w:r>
          </w:p>
        </w:tc>
        <w:tc>
          <w:tcPr>
            <w:tcW w:w="1040" w:type="dxa"/>
          </w:tcPr>
          <w:p>
            <w:pPr>
              <w:pStyle w:val="TableText"/>
              <w:jc w:val="left"/>
            </w:pPr>
            <w:r>
              <w:rPr>
                <w:b/>
                <w:bCs/>
              </w:rPr>
              <w:t xml:space="preserve">85</w:t>
            </w:r>
          </w:p>
        </w:tc>
        <w:tc>
          <w:tcPr>
            <w:tcW w:w="1872" w:type="dxa"/>
          </w:tcPr>
          <w:p>
            <w:pPr>
              <w:pStyle w:val="TableText"/>
              <w:jc w:val="left"/>
            </w:pPr>
            <w:r>
              <w:t xml:space="preserve">Future-defining</w:t>
            </w:r>
          </w:p>
        </w:tc>
      </w:tr>
      <w:tr>
        <w:trPr>
          <w:cantSplit/>
        </w:trPr>
        <w:tc>
          <w:tcPr>
            <w:tcW w:w="3432" w:type="dxa"/>
          </w:tcPr>
          <w:p>
            <w:pPr>
              <w:pStyle w:val="TableText"/>
              <w:jc w:val="left"/>
            </w:pPr>
            <w:r>
              <w:t xml:space="preserve">9 BuildBridge</w:t>
            </w:r>
          </w:p>
        </w:tc>
        <w:tc>
          <w:tcPr>
            <w:tcW w:w="1144" w:type="dxa"/>
          </w:tcPr>
          <w:p>
            <w:pPr>
              <w:pStyle w:val="TableText"/>
              <w:jc w:val="left"/>
            </w:pPr>
            <w:r>
              <w:t xml:space="preserve">42</w:t>
            </w:r>
          </w:p>
        </w:tc>
        <w:tc>
          <w:tcPr>
            <w:tcW w:w="1872" w:type="dxa"/>
          </w:tcPr>
          <w:p>
            <w:pPr>
              <w:pStyle w:val="TableText"/>
              <w:jc w:val="left"/>
            </w:pPr>
            <w:r>
              <w:t xml:space="preserve">40</w:t>
            </w:r>
          </w:p>
        </w:tc>
        <w:tc>
          <w:tcPr>
            <w:tcW w:w="1040" w:type="dxa"/>
          </w:tcPr>
          <w:p>
            <w:pPr>
              <w:pStyle w:val="TableText"/>
              <w:jc w:val="left"/>
            </w:pPr>
            <w:r>
              <w:rPr>
                <w:b/>
                <w:bCs/>
              </w:rPr>
              <w:t xml:space="preserve">82</w:t>
            </w:r>
          </w:p>
        </w:tc>
        <w:tc>
          <w:tcPr>
            <w:tcW w:w="1872" w:type="dxa"/>
          </w:tcPr>
          <w:p>
            <w:pPr>
              <w:pStyle w:val="TableText"/>
              <w:jc w:val="left"/>
            </w:pPr>
            <w:r>
              <w:t xml:space="preserve">Future-fit</w:t>
            </w:r>
          </w:p>
        </w:tc>
      </w:tr>
      <w:tr>
        <w:trPr>
          <w:cantSplit/>
        </w:trPr>
        <w:tc>
          <w:tcPr>
            <w:tcW w:w="3432" w:type="dxa"/>
          </w:tcPr>
          <w:p>
            <w:pPr>
              <w:pStyle w:val="TableText"/>
              <w:jc w:val="left"/>
            </w:pPr>
            <w:r>
              <w:t xml:space="preserve">10 AquaGrid</w:t>
            </w:r>
          </w:p>
        </w:tc>
        <w:tc>
          <w:tcPr>
            <w:tcW w:w="1144" w:type="dxa"/>
          </w:tcPr>
          <w:p>
            <w:pPr>
              <w:pStyle w:val="TableText"/>
              <w:jc w:val="left"/>
            </w:pPr>
            <w:r>
              <w:t xml:space="preserve">43</w:t>
            </w:r>
          </w:p>
        </w:tc>
        <w:tc>
          <w:tcPr>
            <w:tcW w:w="1872" w:type="dxa"/>
          </w:tcPr>
          <w:p>
            <w:pPr>
              <w:pStyle w:val="TableText"/>
              <w:jc w:val="left"/>
            </w:pPr>
            <w:r>
              <w:t xml:space="preserve">42</w:t>
            </w:r>
          </w:p>
        </w:tc>
        <w:tc>
          <w:tcPr>
            <w:tcW w:w="1040" w:type="dxa"/>
          </w:tcPr>
          <w:p>
            <w:pPr>
              <w:pStyle w:val="TableText"/>
              <w:jc w:val="left"/>
            </w:pPr>
            <w:r>
              <w:rPr>
                <w:b/>
                <w:bCs/>
              </w:rPr>
              <w:t xml:space="preserve">85</w:t>
            </w:r>
          </w:p>
        </w:tc>
        <w:tc>
          <w:tcPr>
            <w:tcW w:w="1872" w:type="dxa"/>
          </w:tcPr>
          <w:p>
            <w:pPr>
              <w:pStyle w:val="TableText"/>
              <w:jc w:val="left"/>
            </w:pPr>
            <w:r>
              <w:t xml:space="preserve">Future-defining</w:t>
            </w:r>
          </w:p>
        </w:tc>
      </w:tr>
      <w:tr>
        <w:trPr>
          <w:cantSplit/>
        </w:trPr>
        <w:tc>
          <w:tcPr>
            <w:tcW w:w="3432" w:type="dxa"/>
          </w:tcPr>
          <w:p>
            <w:pPr>
              <w:pStyle w:val="TableText"/>
              <w:jc w:val="left"/>
            </w:pPr>
            <w:r>
              <w:rPr>
                <w:b/>
                <w:bCs/>
              </w:rPr>
              <w:t xml:space="preserve">Next Decagon (average)</w:t>
            </w:r>
          </w:p>
        </w:tc>
        <w:tc>
          <w:tcPr>
            <w:tcW w:w="1144" w:type="dxa"/>
          </w:tcPr>
          <w:p>
            <w:pPr>
              <w:pStyle w:val="TableText"/>
              <w:jc w:val="left"/>
            </w:pPr>
            <w:r>
              <w:rPr>
                <w:b/>
                <w:bCs/>
              </w:rPr>
              <w:t xml:space="preserve">42.1</w:t>
            </w:r>
          </w:p>
        </w:tc>
        <w:tc>
          <w:tcPr>
            <w:tcW w:w="1872" w:type="dxa"/>
          </w:tcPr>
          <w:p>
            <w:pPr>
              <w:pStyle w:val="TableText"/>
              <w:jc w:val="left"/>
            </w:pPr>
            <w:r>
              <w:rPr>
                <w:b/>
                <w:bCs/>
              </w:rPr>
              <w:t xml:space="preserve">40.7</w:t>
            </w:r>
          </w:p>
        </w:tc>
        <w:tc>
          <w:tcPr>
            <w:tcW w:w="1040" w:type="dxa"/>
          </w:tcPr>
          <w:p>
            <w:pPr>
              <w:pStyle w:val="TableText"/>
              <w:jc w:val="left"/>
            </w:pPr>
            <w:r>
              <w:rPr>
                <w:b/>
                <w:bCs/>
              </w:rPr>
              <w:t xml:space="preserve">82.8</w:t>
            </w:r>
          </w:p>
        </w:tc>
        <w:tc>
          <w:tcPr>
            <w:tcW w:w="1872" w:type="dxa"/>
          </w:tcPr>
          <w:p>
            <w:pPr>
              <w:pStyle w:val="TableText"/>
              <w:jc w:val="left"/>
            </w:pPr>
            <w:r>
              <w:t xml:space="preserve">Future-fit</w:t>
            </w:r>
          </w:p>
        </w:tc>
      </w:tr>
      <w:tr>
        <w:trPr>
          <w:cantSplit/>
        </w:trPr>
        <w:tc>
          <w:tcPr>
            <w:tcW w:w="3432" w:type="dxa"/>
          </w:tcPr>
          <w:p>
            <w:pPr>
              <w:pStyle w:val="TableText"/>
              <w:jc w:val="left"/>
            </w:pPr>
            <w:r>
              <w:rPr>
                <w:i/>
                <w:iCs/>
              </w:rPr>
              <w:t xml:space="preserve">First ten ventures, Volume I (approx. average)</w:t>
            </w:r>
          </w:p>
        </w:tc>
        <w:tc>
          <w:tcPr>
            <w:tcW w:w="1144" w:type="dxa"/>
          </w:tcPr>
          <w:p>
            <w:pPr>
              <w:pStyle w:val="TableText"/>
              <w:jc w:val="left"/>
            </w:pPr>
            <w:r>
              <w:rPr>
                <w:i/>
                <w:iCs/>
              </w:rPr>
              <w:t xml:space="preserve">42.3</w:t>
            </w:r>
          </w:p>
        </w:tc>
        <w:tc>
          <w:tcPr>
            <w:tcW w:w="1872" w:type="dxa"/>
          </w:tcPr>
          <w:p>
            <w:pPr>
              <w:pStyle w:val="TableText"/>
              <w:jc w:val="left"/>
            </w:pPr>
            <w:r>
              <w:rPr>
                <w:i/>
                <w:iCs/>
              </w:rPr>
              <w:t xml:space="preserve">~38</w:t>
            </w:r>
          </w:p>
        </w:tc>
        <w:tc>
          <w:tcPr>
            <w:tcW w:w="1040" w:type="dxa"/>
          </w:tcPr>
          <w:p>
            <w:pPr>
              <w:pStyle w:val="TableText"/>
              <w:jc w:val="left"/>
            </w:pPr>
            <w:r>
              <w:rPr>
                <w:i/>
                <w:iCs/>
              </w:rPr>
              <w:t xml:space="preserve">~80</w:t>
            </w:r>
          </w:p>
        </w:tc>
        <w:tc>
          <w:tcPr>
            <w:tcW w:w="1872" w:type="dxa"/>
          </w:tcPr>
          <w:p>
            <w:pPr>
              <w:pStyle w:val="TableText"/>
              <w:jc w:val="left"/>
            </w:pPr>
            <w:r>
              <w:rPr>
                <w:i/>
                <w:iCs/>
              </w:rPr>
              <w:t xml:space="preserve">Future-fit</w:t>
            </w:r>
          </w:p>
        </w:tc>
      </w:tr>
      <w:tr>
        <w:trPr>
          <w:cantSplit/>
        </w:trPr>
        <w:tc>
          <w:tcPr>
            <w:tcW w:w="3432" w:type="dxa"/>
          </w:tcPr>
          <w:p>
            <w:pPr>
              <w:pStyle w:val="TableText"/>
              <w:jc w:val="left"/>
            </w:pPr>
            <w:r>
              <w:rPr>
                <w:i/>
                <w:iCs/>
              </w:rPr>
              <w:t xml:space="preserve">Uber 2026</w:t>
            </w:r>
          </w:p>
        </w:tc>
        <w:tc>
          <w:tcPr>
            <w:tcW w:w="1144" w:type="dxa"/>
          </w:tcPr>
          <w:p>
            <w:pPr>
              <w:pStyle w:val="TableText"/>
              <w:jc w:val="left"/>
            </w:pPr>
            <w:r>
              <w:rPr>
                <w:i/>
                <w:iCs/>
              </w:rPr>
              <w:t xml:space="preserve">38</w:t>
            </w:r>
          </w:p>
        </w:tc>
        <w:tc>
          <w:tcPr>
            <w:tcW w:w="1872" w:type="dxa"/>
          </w:tcPr>
          <w:p>
            <w:pPr>
              <w:pStyle w:val="TableText"/>
              <w:jc w:val="left"/>
            </w:pPr>
            <w:r>
              <w:rPr>
                <w:i/>
                <w:iCs/>
              </w:rPr>
              <w:t xml:space="preserve">23</w:t>
            </w:r>
          </w:p>
        </w:tc>
        <w:tc>
          <w:tcPr>
            <w:tcW w:w="1040" w:type="dxa"/>
          </w:tcPr>
          <w:p>
            <w:pPr>
              <w:pStyle w:val="TableText"/>
              <w:jc w:val="left"/>
            </w:pPr>
            <w:r>
              <w:rPr>
                <w:i/>
                <w:iCs/>
              </w:rPr>
              <w:t xml:space="preserve">61</w:t>
            </w:r>
          </w:p>
        </w:tc>
        <w:tc>
          <w:tcPr>
            <w:tcW w:w="1872" w:type="dxa"/>
          </w:tcPr>
          <w:p>
            <w:pPr>
              <w:pStyle w:val="TableText"/>
              <w:jc w:val="left"/>
            </w:pPr>
            <w:r>
              <w:rPr>
                <w:i/>
                <w:iCs/>
              </w:rPr>
              <w:t xml:space="preserve">Adaptable</w:t>
            </w:r>
          </w:p>
        </w:tc>
      </w:tr>
      <w:tr>
        <w:trPr>
          <w:cantSplit/>
        </w:trPr>
        <w:tc>
          <w:tcPr>
            <w:tcW w:w="3432" w:type="dxa"/>
          </w:tcPr>
          <w:p>
            <w:pPr>
              <w:pStyle w:val="TableText"/>
              <w:jc w:val="left"/>
            </w:pPr>
            <w:r>
              <w:rPr>
                <w:i/>
                <w:iCs/>
              </w:rPr>
              <w:t xml:space="preserve">Airbnb 2026</w:t>
            </w:r>
          </w:p>
        </w:tc>
        <w:tc>
          <w:tcPr>
            <w:tcW w:w="1144" w:type="dxa"/>
          </w:tcPr>
          <w:p>
            <w:pPr>
              <w:pStyle w:val="TableText"/>
              <w:jc w:val="left"/>
            </w:pPr>
            <w:r>
              <w:rPr>
                <w:i/>
                <w:iCs/>
              </w:rPr>
              <w:t xml:space="preserve">37</w:t>
            </w:r>
          </w:p>
        </w:tc>
        <w:tc>
          <w:tcPr>
            <w:tcW w:w="1872" w:type="dxa"/>
          </w:tcPr>
          <w:p>
            <w:pPr>
              <w:pStyle w:val="TableText"/>
              <w:jc w:val="left"/>
            </w:pPr>
            <w:r>
              <w:rPr>
                <w:i/>
                <w:iCs/>
              </w:rPr>
              <w:t xml:space="preserve">23</w:t>
            </w:r>
          </w:p>
        </w:tc>
        <w:tc>
          <w:tcPr>
            <w:tcW w:w="1040" w:type="dxa"/>
          </w:tcPr>
          <w:p>
            <w:pPr>
              <w:pStyle w:val="TableText"/>
              <w:jc w:val="left"/>
            </w:pPr>
            <w:r>
              <w:rPr>
                <w:i/>
                <w:iCs/>
              </w:rPr>
              <w:t xml:space="preserve">60</w:t>
            </w:r>
          </w:p>
        </w:tc>
        <w:tc>
          <w:tcPr>
            <w:tcW w:w="1872" w:type="dxa"/>
          </w:tcPr>
          <w:p>
            <w:pPr>
              <w:pStyle w:val="TableText"/>
              <w:jc w:val="left"/>
            </w:pPr>
            <w:r>
              <w:rPr>
                <w:i/>
                <w:iCs/>
              </w:rPr>
              <w:t xml:space="preserve">Adaptable</w:t>
            </w:r>
          </w:p>
        </w:tc>
      </w:tr>
      <w:tr>
        <w:trPr>
          <w:cantSplit/>
        </w:trPr>
        <w:tc>
          <w:tcPr>
            <w:tcW w:w="3432" w:type="dxa"/>
          </w:tcPr>
          <w:p>
            <w:pPr>
              <w:pStyle w:val="TableText"/>
              <w:jc w:val="left"/>
            </w:pPr>
            <w:r>
              <w:rPr>
                <w:i/>
                <w:iCs/>
              </w:rPr>
              <w:t xml:space="preserve">Uber c.2012</w:t>
            </w:r>
          </w:p>
        </w:tc>
        <w:tc>
          <w:tcPr>
            <w:tcW w:w="1144" w:type="dxa"/>
          </w:tcPr>
          <w:p>
            <w:pPr>
              <w:pStyle w:val="TableText"/>
              <w:jc w:val="left"/>
            </w:pPr>
            <w:r>
              <w:rPr>
                <w:i/>
                <w:iCs/>
              </w:rPr>
              <w:t xml:space="preserve">30</w:t>
            </w:r>
          </w:p>
        </w:tc>
        <w:tc>
          <w:tcPr>
            <w:tcW w:w="1872" w:type="dxa"/>
          </w:tcPr>
          <w:p>
            <w:pPr>
              <w:pStyle w:val="TableText"/>
              <w:jc w:val="left"/>
            </w:pPr>
            <w:r>
              <w:rPr>
                <w:i/>
                <w:iCs/>
              </w:rPr>
              <w:t xml:space="preserve">10</w:t>
            </w:r>
          </w:p>
        </w:tc>
        <w:tc>
          <w:tcPr>
            <w:tcW w:w="1040" w:type="dxa"/>
          </w:tcPr>
          <w:p>
            <w:pPr>
              <w:pStyle w:val="TableText"/>
              <w:jc w:val="left"/>
            </w:pPr>
            <w:r>
              <w:rPr>
                <w:i/>
                <w:iCs/>
              </w:rPr>
              <w:t xml:space="preserve">40</w:t>
            </w:r>
          </w:p>
        </w:tc>
        <w:tc>
          <w:tcPr>
            <w:tcW w:w="1872" w:type="dxa"/>
          </w:tcPr>
          <w:p>
            <w:pPr>
              <w:pStyle w:val="TableText"/>
              <w:jc w:val="left"/>
            </w:pPr>
            <w:r>
              <w:rPr>
                <w:i/>
                <w:iCs/>
              </w:rPr>
              <w:t xml:space="preserve">Fragile</w:t>
            </w:r>
          </w:p>
        </w:tc>
      </w:tr>
      <w:tr>
        <w:trPr>
          <w:cantSplit/>
        </w:trPr>
        <w:tc>
          <w:tcPr>
            <w:tcW w:w="3432" w:type="dxa"/>
          </w:tcPr>
          <w:p>
            <w:pPr>
              <w:pStyle w:val="TableText"/>
              <w:jc w:val="left"/>
            </w:pPr>
            <w:r>
              <w:rPr>
                <w:i/>
                <w:iCs/>
              </w:rPr>
              <w:t xml:space="preserve">Airbnb c.2012</w:t>
            </w:r>
          </w:p>
        </w:tc>
        <w:tc>
          <w:tcPr>
            <w:tcW w:w="1144" w:type="dxa"/>
          </w:tcPr>
          <w:p>
            <w:pPr>
              <w:pStyle w:val="TableText"/>
              <w:jc w:val="left"/>
            </w:pPr>
            <w:r>
              <w:rPr>
                <w:i/>
                <w:iCs/>
              </w:rPr>
              <w:t xml:space="preserve">31</w:t>
            </w:r>
          </w:p>
        </w:tc>
        <w:tc>
          <w:tcPr>
            <w:tcW w:w="1872" w:type="dxa"/>
          </w:tcPr>
          <w:p>
            <w:pPr>
              <w:pStyle w:val="TableText"/>
              <w:jc w:val="left"/>
            </w:pPr>
            <w:r>
              <w:rPr>
                <w:i/>
                <w:iCs/>
              </w:rPr>
              <w:t xml:space="preserve">12</w:t>
            </w:r>
          </w:p>
        </w:tc>
        <w:tc>
          <w:tcPr>
            <w:tcW w:w="1040" w:type="dxa"/>
          </w:tcPr>
          <w:p>
            <w:pPr>
              <w:pStyle w:val="TableText"/>
              <w:jc w:val="left"/>
            </w:pPr>
            <w:r>
              <w:rPr>
                <w:i/>
                <w:iCs/>
              </w:rPr>
              <w:t xml:space="preserve">43</w:t>
            </w:r>
          </w:p>
        </w:tc>
        <w:tc>
          <w:tcPr>
            <w:tcW w:w="1872" w:type="dxa"/>
          </w:tcPr>
          <w:p>
            <w:pPr>
              <w:pStyle w:val="TableText"/>
              <w:jc w:val="left"/>
            </w:pPr>
            <w:r>
              <w:rPr>
                <w:i/>
                <w:iCs/>
              </w:rPr>
              <w:t xml:space="preserve">Fragile</w:t>
            </w:r>
          </w:p>
        </w:tc>
      </w:tr>
    </w:tbl>
    <w:p>
      <w:pPr>
        <w:pStyle w:val="BodyText"/>
        <w:spacing w:before="160"/>
      </w:pPr>
      <w:r>
        <w:rPr>
          <w:i/>
          <w:iCs/>
        </w:rPr>
        <w:t xml:space="preserve">Design-intent scores (author’s judgement). Discount for execution risk.</w:t>
      </w:r>
    </w:p>
    <w:p>
      <w:pPr>
        <w:pStyle w:val="CaptionedFigure"/>
      </w:pPr>
      <w:r>
        <w:drawing>
          <wp:inline>
            <wp:extent cx="5334000" cy="5120640"/>
            <wp:effectExtent b="0" l="0" r="0" t="0"/>
            <wp:docPr descr="Figure 2. Average scores on the ten future-fitness tests. Uber and Airbnb (2026, averaged) are weakest on pre-embedding (F4) and the good-ancestor test (F9). The Next Decagon is strongest on the Global South (F7), good-ancestor (F9) and climate (F3) tests, and weakest on the agent test (F1)." title="" id="67" name="Picture"/>
            <a:graphic>
              <a:graphicData uri="http://schemas.openxmlformats.org/drawingml/2006/picture">
                <pic:pic>
                  <pic:nvPicPr>
                    <pic:cNvPr descr="/tmp/claude-0/-home-user-Adekunle-Adeniji/db1110ee-95e2-549a-bb3a-dcca8fdc5e35/scratchpad/docx_build/img2/future-fitness-profile.png" id="68" name="Picture"/>
                    <pic:cNvPicPr>
                      <a:picLocks noChangeArrowheads="1" noChangeAspect="1"/>
                    </pic:cNvPicPr>
                  </pic:nvPicPr>
                  <pic:blipFill>
                    <a:blip r:embed="rId66"/>
                    <a:stretch>
                      <a:fillRect/>
                    </a:stretch>
                  </pic:blipFill>
                  <pic:spPr bwMode="auto">
                    <a:xfrm>
                      <a:off x="0" y="0"/>
                      <a:ext cx="5334000" cy="5120640"/>
                    </a:xfrm>
                    <a:prstGeom prst="rect">
                      <a:avLst/>
                    </a:prstGeom>
                    <a:noFill/>
                    <a:ln w="9525">
                      <a:noFill/>
                      <a:headEnd/>
                      <a:tailEnd/>
                    </a:ln>
                  </pic:spPr>
                </pic:pic>
              </a:graphicData>
            </a:graphic>
          </wp:inline>
        </w:drawing>
      </w:r>
    </w:p>
    <w:p>
      <w:pPr>
        <w:pStyle w:val="ImageCaption"/>
      </w:pPr>
      <w:r>
        <w:t xml:space="preserve">Figure 2. Average scores on the ten future-fitness tests. Uber and Airbnb (2026, averaged) are weakest on pre-embedding (F4) and the good-ancestor test (F9). The Next Decagon is strongest on the Global South (F7), good-ancestor (F9) and climate (F3) tests, and weakest on the agent test (F1).</w:t>
      </w:r>
    </w:p>
    <w:p>
      <w:pPr>
        <w:pStyle w:val="BodyText"/>
      </w:pPr>
      <w:r>
        <w:rPr>
          <w:b/>
          <w:bCs/>
        </w:rPr>
        <w:t xml:space="preserve">What the scoreboard reveals</w:t>
      </w:r>
    </w:p>
    <w:p>
      <w:pPr>
        <w:pStyle w:val="Compact"/>
        <w:numPr>
          <w:ilvl w:val="0"/>
          <w:numId w:val="1059"/>
        </w:numPr>
      </w:pPr>
      <w:r>
        <w:rPr>
          <w:b/>
          <w:bCs/>
        </w:rPr>
        <w:t xml:space="preserve">The future-fitness gap is the real gap.</w:t>
      </w:r>
      <w:r>
        <w:t xml:space="preserve"> </w:t>
      </w:r>
      <w:r>
        <w:t xml:space="preserve">On the inner ring, the platform leaders (37–38) are not far behind the new ventures (42). On the outer ring the gap is large (23 versus 41). Today’s leaders are well designed for today and poorly prepared for 2030–2050.</w:t>
      </w:r>
    </w:p>
    <w:p>
      <w:pPr>
        <w:pStyle w:val="Compact"/>
        <w:numPr>
          <w:ilvl w:val="0"/>
          <w:numId w:val="1059"/>
        </w:numPr>
      </w:pPr>
      <w:r>
        <w:rPr>
          <w:b/>
          <w:bCs/>
        </w:rPr>
        <w:t xml:space="preserve">The Next Decagon improves on Volume I where it was weakest.</w:t>
      </w:r>
      <w:r>
        <w:t xml:space="preserve"> </w:t>
      </w:r>
      <w:r>
        <w:t xml:space="preserve">Volume I’s ventures scored lowest on self-disruption (F8) and robots (F2). The Next Decagon raises both. RemoteHands, for example, builds its own automation-driven decline into its plan.</w:t>
      </w:r>
    </w:p>
    <w:p>
      <w:pPr>
        <w:pStyle w:val="Compact"/>
        <w:numPr>
          <w:ilvl w:val="0"/>
          <w:numId w:val="1059"/>
        </w:numPr>
      </w:pPr>
      <w:r>
        <w:rPr>
          <w:b/>
          <w:bCs/>
        </w:rPr>
        <w:t xml:space="preserve">The Next Decagon’s weakest test is the agent test (F1).</w:t>
      </w:r>
      <w:r>
        <w:t xml:space="preserve"> </w:t>
      </w:r>
      <w:r>
        <w:t xml:space="preserve">Physical-world ventures (water, heat, parts, nature) depend less on AI agents. That is acceptable, but each should still expose agent-ready interfaces so it is not disintermediated.</w:t>
      </w:r>
    </w:p>
    <w:p>
      <w:pPr>
        <w:pStyle w:val="Compact"/>
        <w:numPr>
          <w:ilvl w:val="0"/>
          <w:numId w:val="1059"/>
        </w:numPr>
      </w:pPr>
      <w:r>
        <w:rPr>
          <w:b/>
          <w:bCs/>
        </w:rPr>
        <w:t xml:space="preserve">Liquidity remains the hardest vertex.</w:t>
      </w:r>
      <w:r>
        <w:t xml:space="preserve"> </w:t>
      </w:r>
      <w:r>
        <w:t xml:space="preserve">As in Volume I, the stewardship premium is paid in slower cold starts (V4 averages 3.4). Third-party payers such as governments, insurers and development banks are essential.</w:t>
      </w:r>
    </w:p>
    <w:bookmarkEnd w:id="69"/>
    <w:bookmarkStart w:id="70" w:name="four-missions"/>
    <w:p>
      <w:pPr>
        <w:pStyle w:val="Heading2"/>
      </w:pPr>
      <w:r>
        <w:t xml:space="preserve">5.2 Four missions</w:t>
      </w:r>
    </w:p>
    <w:p>
      <w:pPr>
        <w:pStyle w:val="FirstParagraph"/>
      </w:pPr>
      <w:r>
        <w:t xml:space="preserve">Following Mariana Mazzucato’s mission-oriented approach, the ten ventures, together with Volume I’s ventures, can be organized into four missions. Each has a measurable 2040 goal. Each mission gives governments, development banks and philanthropies a clear reason to co-invest.</w:t>
      </w:r>
    </w:p>
    <w:tbl>
      <w:tblPr>
        <w:tblStyle w:val="Table"/>
        <w:tblW w:w="9360" w:type="dxa"/>
        <w:jc w:val="left"/>
        <w:tblLayout w:type="fixed"/>
        <w:tblLook w:firstRow="1" w:lastRow="0" w:firstColumn="0" w:lastColumn="0" w:noHBand="0" w:noVBand="0" w:val="0020"/>
      </w:tblPr>
      <w:tblGrid>
        <w:gridCol w:w="1515"/>
        <w:gridCol w:w="2496"/>
        <w:gridCol w:w="1515"/>
        <w:gridCol w:w="1515"/>
        <w:gridCol w:w="2319"/>
      </w:tblGrid>
      <w:tr>
        <w:trPr>
          <w:cantSplit/>
          <w:tblHeader w:val="true"/>
        </w:trPr>
        <w:tc>
          <w:tcPr>
            <w:tcW w:w="1515" w:type="dxa"/>
          </w:tcPr>
          <w:p>
            <w:pPr>
              <w:pStyle w:val="TableText"/>
              <w:jc w:val="left"/>
            </w:pPr>
            <w:r>
              <w:t xml:space="preserve">Mission</w:t>
            </w:r>
          </w:p>
        </w:tc>
        <w:tc>
          <w:tcPr>
            <w:tcW w:w="2496" w:type="dxa"/>
          </w:tcPr>
          <w:p>
            <w:pPr>
              <w:pStyle w:val="TableText"/>
              <w:jc w:val="left"/>
            </w:pPr>
            <w:r>
              <w:t xml:space="preserve">2040 goal</w:t>
            </w:r>
          </w:p>
        </w:tc>
        <w:tc>
          <w:tcPr>
            <w:tcW w:w="1515" w:type="dxa"/>
          </w:tcPr>
          <w:p>
            <w:pPr>
              <w:pStyle w:val="TableText"/>
              <w:jc w:val="left"/>
            </w:pPr>
            <w:r>
              <w:t xml:space="preserve">Next Decagon ventures</w:t>
            </w:r>
          </w:p>
        </w:tc>
        <w:tc>
          <w:tcPr>
            <w:tcW w:w="1515" w:type="dxa"/>
          </w:tcPr>
          <w:p>
            <w:pPr>
              <w:pStyle w:val="TableText"/>
              <w:jc w:val="left"/>
            </w:pPr>
            <w:r>
              <w:t xml:space="preserve">Volume I ventures</w:t>
            </w:r>
          </w:p>
        </w:tc>
        <w:tc>
          <w:tcPr>
            <w:tcW w:w="2319" w:type="dxa"/>
          </w:tcPr>
          <w:p>
            <w:pPr>
              <w:pStyle w:val="TableText"/>
              <w:jc w:val="left"/>
            </w:pPr>
            <w:r>
              <w:t xml:space="preserve">Public role</w:t>
            </w:r>
          </w:p>
        </w:tc>
      </w:tr>
      <w:tr>
        <w:trPr>
          <w:cantSplit/>
        </w:trPr>
        <w:tc>
          <w:tcPr>
            <w:tcW w:w="1515" w:type="dxa"/>
          </w:tcPr>
          <w:p>
            <w:pPr>
              <w:pStyle w:val="TableText"/>
              <w:jc w:val="left"/>
            </w:pPr>
            <w:r>
              <w:rPr>
                <w:b/>
                <w:bCs/>
              </w:rPr>
              <w:t xml:space="preserve">1. Trustworthy intelligence</w:t>
            </w:r>
          </w:p>
        </w:tc>
        <w:tc>
          <w:tcPr>
            <w:tcW w:w="2496" w:type="dxa"/>
          </w:tcPr>
          <w:p>
            <w:pPr>
              <w:pStyle w:val="TableText"/>
              <w:jc w:val="left"/>
            </w:pPr>
            <w:r>
              <w:t xml:space="preserve">Every AI agent and robot acting in the economy is accountable, and the humans behind them are fairly paid and represented</w:t>
            </w:r>
          </w:p>
        </w:tc>
        <w:tc>
          <w:tcPr>
            <w:tcW w:w="1515" w:type="dxa"/>
          </w:tcPr>
          <w:p>
            <w:pPr>
              <w:pStyle w:val="TableText"/>
              <w:jc w:val="left"/>
            </w:pPr>
            <w:r>
              <w:t xml:space="preserve">RemoteHands, AgentUnion, GroundTruth</w:t>
            </w:r>
          </w:p>
        </w:tc>
        <w:tc>
          <w:tcPr>
            <w:tcW w:w="1515" w:type="dxa"/>
          </w:tcPr>
          <w:p>
            <w:pPr>
              <w:pStyle w:val="TableText"/>
              <w:jc w:val="left"/>
            </w:pPr>
            <w:r>
              <w:t xml:space="preserve">Covenant, DataGuild, Guildhall</w:t>
            </w:r>
          </w:p>
        </w:tc>
        <w:tc>
          <w:tcPr>
            <w:tcW w:w="2319" w:type="dxa"/>
          </w:tcPr>
          <w:p>
            <w:pPr>
              <w:pStyle w:val="TableText"/>
              <w:jc w:val="left"/>
            </w:pPr>
            <w:r>
              <w:t xml:space="preserve">Standards for agent accountability, remote robot work and evidence; consumer bargaining rights</w:t>
            </w:r>
          </w:p>
        </w:tc>
      </w:tr>
      <w:tr>
        <w:trPr>
          <w:cantSplit/>
        </w:trPr>
        <w:tc>
          <w:tcPr>
            <w:tcW w:w="1515" w:type="dxa"/>
          </w:tcPr>
          <w:p>
            <w:pPr>
              <w:pStyle w:val="TableText"/>
              <w:jc w:val="left"/>
            </w:pPr>
            <w:r>
              <w:rPr>
                <w:b/>
                <w:bCs/>
              </w:rPr>
              <w:t xml:space="preserve">2. Safe in a hotter world</w:t>
            </w:r>
          </w:p>
        </w:tc>
        <w:tc>
          <w:tcPr>
            <w:tcW w:w="2496" w:type="dxa"/>
          </w:tcPr>
          <w:p>
            <w:pPr>
              <w:pStyle w:val="TableText"/>
              <w:jc w:val="left"/>
            </w:pPr>
            <w:r>
              <w:t xml:space="preserve">No one dies alone in the heat, everyone has safe and fairly priced water, and crisis capacity is ready within hours</w:t>
            </w:r>
          </w:p>
        </w:tc>
        <w:tc>
          <w:tcPr>
            <w:tcW w:w="1515" w:type="dxa"/>
          </w:tcPr>
          <w:p>
            <w:pPr>
              <w:pStyle w:val="TableText"/>
              <w:jc w:val="left"/>
            </w:pPr>
            <w:r>
              <w:t xml:space="preserve">CoolHaven, AquaGrid, SurgeNet</w:t>
            </w:r>
          </w:p>
        </w:tc>
        <w:tc>
          <w:tcPr>
            <w:tcW w:w="1515" w:type="dxa"/>
          </w:tcPr>
          <w:p>
            <w:pPr>
              <w:pStyle w:val="TableText"/>
              <w:jc w:val="left"/>
            </w:pPr>
            <w:r>
              <w:t xml:space="preserve">Bastion, KinGrid, Agora</w:t>
            </w:r>
          </w:p>
        </w:tc>
        <w:tc>
          <w:tcPr>
            <w:tcW w:w="2319" w:type="dxa"/>
          </w:tcPr>
          <w:p>
            <w:pPr>
              <w:pStyle w:val="TableText"/>
              <w:jc w:val="left"/>
            </w:pPr>
            <w:r>
              <w:t xml:space="preserve">Heat and water standards; readiness contracts; lifeline subsidies</w:t>
            </w:r>
          </w:p>
        </w:tc>
      </w:tr>
      <w:tr>
        <w:trPr>
          <w:cantSplit/>
        </w:trPr>
        <w:tc>
          <w:tcPr>
            <w:tcW w:w="1515" w:type="dxa"/>
          </w:tcPr>
          <w:p>
            <w:pPr>
              <w:pStyle w:val="TableText"/>
              <w:jc w:val="left"/>
            </w:pPr>
            <w:r>
              <w:rPr>
                <w:b/>
                <w:bCs/>
              </w:rPr>
              <w:t xml:space="preserve">3. Nothing wasted</w:t>
            </w:r>
          </w:p>
        </w:tc>
        <w:tc>
          <w:tcPr>
            <w:tcW w:w="2496" w:type="dxa"/>
          </w:tcPr>
          <w:p>
            <w:pPr>
              <w:pStyle w:val="TableText"/>
              <w:jc w:val="left"/>
            </w:pPr>
            <w:r>
              <w:t xml:space="preserve">Every battery and machine part is traceable, reusable and repairable locally; no machine sits idle for want of a part</w:t>
            </w:r>
          </w:p>
        </w:tc>
        <w:tc>
          <w:tcPr>
            <w:tcW w:w="1515" w:type="dxa"/>
          </w:tcPr>
          <w:p>
            <w:pPr>
              <w:pStyle w:val="TableText"/>
              <w:jc w:val="left"/>
            </w:pPr>
            <w:r>
              <w:t xml:space="preserve">SecondCell, PartsGrid</w:t>
            </w:r>
          </w:p>
        </w:tc>
        <w:tc>
          <w:tcPr>
            <w:tcW w:w="1515" w:type="dxa"/>
          </w:tcPr>
          <w:p>
            <w:pPr>
              <w:pStyle w:val="TableText"/>
              <w:jc w:val="left"/>
            </w:pPr>
            <w:r>
              <w:t xml:space="preserve">FluxCommons, HarvestGrid, CommonFleet</w:t>
            </w:r>
          </w:p>
        </w:tc>
        <w:tc>
          <w:tcPr>
            <w:tcW w:w="2319" w:type="dxa"/>
          </w:tcPr>
          <w:p>
            <w:pPr>
              <w:pStyle w:val="TableText"/>
              <w:jc w:val="left"/>
            </w:pPr>
            <w:r>
              <w:t xml:space="preserve">Battery passports; right to repair; local manufacturing incentives</w:t>
            </w:r>
          </w:p>
        </w:tc>
      </w:tr>
      <w:tr>
        <w:trPr>
          <w:cantSplit/>
        </w:trPr>
        <w:tc>
          <w:tcPr>
            <w:tcW w:w="1515" w:type="dxa"/>
          </w:tcPr>
          <w:p>
            <w:pPr>
              <w:pStyle w:val="TableText"/>
              <w:jc w:val="left"/>
            </w:pPr>
            <w:r>
              <w:rPr>
                <w:b/>
                <w:bCs/>
              </w:rPr>
              <w:t xml:space="preserve">4. Homes and nature that last</w:t>
            </w:r>
          </w:p>
        </w:tc>
        <w:tc>
          <w:tcPr>
            <w:tcW w:w="2496" w:type="dxa"/>
          </w:tcPr>
          <w:p>
            <w:pPr>
              <w:pStyle w:val="TableText"/>
              <w:jc w:val="left"/>
            </w:pPr>
            <w:r>
              <w:t xml:space="preserve">No family loses its savings building a home, and communities are paid to steward nature</w:t>
            </w:r>
          </w:p>
        </w:tc>
        <w:tc>
          <w:tcPr>
            <w:tcW w:w="1515" w:type="dxa"/>
          </w:tcPr>
          <w:p>
            <w:pPr>
              <w:pStyle w:val="TableText"/>
              <w:jc w:val="left"/>
            </w:pPr>
            <w:r>
              <w:t xml:space="preserve">BuildBridge, WildLedger</w:t>
            </w:r>
          </w:p>
        </w:tc>
        <w:tc>
          <w:tcPr>
            <w:tcW w:w="1515" w:type="dxa"/>
          </w:tcPr>
          <w:p>
            <w:pPr>
              <w:pStyle w:val="TableText"/>
              <w:jc w:val="left"/>
            </w:pPr>
            <w:r>
              <w:t xml:space="preserve">Hearth</w:t>
            </w:r>
          </w:p>
        </w:tc>
        <w:tc>
          <w:tcPr>
            <w:tcW w:w="2319" w:type="dxa"/>
          </w:tcPr>
          <w:p>
            <w:pPr>
              <w:pStyle w:val="TableText"/>
              <w:jc w:val="left"/>
            </w:pPr>
            <w:r>
              <w:t xml:space="preserve">Land registries; pre-approved plans; biodiversity finance</w:t>
            </w:r>
          </w:p>
        </w:tc>
      </w:tr>
    </w:tbl>
    <w:bookmarkEnd w:id="70"/>
    <w:bookmarkStart w:id="71" w:name="how-the-two-decagons-connect"/>
    <w:p>
      <w:pPr>
        <w:pStyle w:val="Heading2"/>
      </w:pPr>
      <w:r>
        <w:t xml:space="preserve">5.3 How the two decagons connect</w:t>
      </w:r>
    </w:p>
    <w:p>
      <w:pPr>
        <w:pStyle w:val="FirstParagraph"/>
      </w:pPr>
      <w:r>
        <w:t xml:space="preserve">The Next Decagon strengthens Volume I’s ventures and depends on them. Together they form a single ecosystem of twenty ventures.</w:t>
      </w:r>
    </w:p>
    <w:tbl>
      <w:tblPr>
        <w:tblStyle w:val="Table"/>
        <w:tblW w:w="9360" w:type="dxa"/>
        <w:jc w:val="left"/>
        <w:tblLayout w:type="fixed"/>
        <w:tblLook w:firstRow="1" w:lastRow="0" w:firstColumn="0" w:lastColumn="0" w:noHBand="0" w:noVBand="0" w:val="0020"/>
      </w:tblPr>
      <w:tblGrid>
        <w:gridCol w:w="1202"/>
        <w:gridCol w:w="4121"/>
        <w:gridCol w:w="4037"/>
      </w:tblGrid>
      <w:tr>
        <w:trPr>
          <w:cantSplit/>
          <w:tblHeader w:val="true"/>
        </w:trPr>
        <w:tc>
          <w:tcPr>
            <w:tcW w:w="1202" w:type="dxa"/>
          </w:tcPr>
          <w:p>
            <w:pPr>
              <w:pStyle w:val="TableText"/>
              <w:jc w:val="left"/>
            </w:pPr>
            <w:r>
              <w:t xml:space="preserve">Next Decagon venture</w:t>
            </w:r>
          </w:p>
        </w:tc>
        <w:tc>
          <w:tcPr>
            <w:tcW w:w="4121" w:type="dxa"/>
          </w:tcPr>
          <w:p>
            <w:pPr>
              <w:pStyle w:val="TableText"/>
              <w:jc w:val="left"/>
            </w:pPr>
            <w:r>
              <w:t xml:space="preserve">Strengthens (Volume I)</w:t>
            </w:r>
          </w:p>
        </w:tc>
        <w:tc>
          <w:tcPr>
            <w:tcW w:w="4037" w:type="dxa"/>
          </w:tcPr>
          <w:p>
            <w:pPr>
              <w:pStyle w:val="TableText"/>
              <w:jc w:val="left"/>
            </w:pPr>
            <w:r>
              <w:t xml:space="preserve">Depends on (Volume I)</w:t>
            </w:r>
          </w:p>
        </w:tc>
      </w:tr>
      <w:tr>
        <w:trPr>
          <w:cantSplit/>
        </w:trPr>
        <w:tc>
          <w:tcPr>
            <w:tcW w:w="1202" w:type="dxa"/>
          </w:tcPr>
          <w:p>
            <w:pPr>
              <w:pStyle w:val="TableText"/>
              <w:jc w:val="left"/>
            </w:pPr>
            <w:r>
              <w:t xml:space="preserve">RemoteHands</w:t>
            </w:r>
          </w:p>
        </w:tc>
        <w:tc>
          <w:tcPr>
            <w:tcW w:w="4121" w:type="dxa"/>
          </w:tcPr>
          <w:p>
            <w:pPr>
              <w:pStyle w:val="TableText"/>
              <w:jc w:val="left"/>
            </w:pPr>
            <w:r>
              <w:t xml:space="preserve">CommonFleet (remote operations for autonomous fleets)</w:t>
            </w:r>
          </w:p>
        </w:tc>
        <w:tc>
          <w:tcPr>
            <w:tcW w:w="4037" w:type="dxa"/>
          </w:tcPr>
          <w:p>
            <w:pPr>
              <w:pStyle w:val="TableText"/>
              <w:jc w:val="left"/>
            </w:pPr>
            <w:r>
              <w:t xml:space="preserve">Guildhall (training); DataGuild (data royalties)</w:t>
            </w:r>
          </w:p>
        </w:tc>
      </w:tr>
      <w:tr>
        <w:trPr>
          <w:cantSplit/>
        </w:trPr>
        <w:tc>
          <w:tcPr>
            <w:tcW w:w="1202" w:type="dxa"/>
          </w:tcPr>
          <w:p>
            <w:pPr>
              <w:pStyle w:val="TableText"/>
              <w:jc w:val="left"/>
            </w:pPr>
            <w:r>
              <w:t xml:space="preserve">AgentUnion</w:t>
            </w:r>
          </w:p>
        </w:tc>
        <w:tc>
          <w:tcPr>
            <w:tcW w:w="4121" w:type="dxa"/>
          </w:tcPr>
          <w:p>
            <w:pPr>
              <w:pStyle w:val="TableText"/>
              <w:jc w:val="left"/>
            </w:pPr>
            <w:r>
              <w:t xml:space="preserve">Covenant (collective agent power)</w:t>
            </w:r>
          </w:p>
        </w:tc>
        <w:tc>
          <w:tcPr>
            <w:tcW w:w="4037" w:type="dxa"/>
          </w:tcPr>
          <w:p>
            <w:pPr>
              <w:pStyle w:val="TableText"/>
              <w:jc w:val="left"/>
            </w:pPr>
            <w:r>
              <w:t xml:space="preserve">Covenant (agent identity and mandates)</w:t>
            </w:r>
          </w:p>
        </w:tc>
      </w:tr>
      <w:tr>
        <w:trPr>
          <w:cantSplit/>
        </w:trPr>
        <w:tc>
          <w:tcPr>
            <w:tcW w:w="1202" w:type="dxa"/>
          </w:tcPr>
          <w:p>
            <w:pPr>
              <w:pStyle w:val="TableText"/>
              <w:jc w:val="left"/>
            </w:pPr>
            <w:r>
              <w:t xml:space="preserve">GroundTruth</w:t>
            </w:r>
          </w:p>
        </w:tc>
        <w:tc>
          <w:tcPr>
            <w:tcW w:w="4121" w:type="dxa"/>
          </w:tcPr>
          <w:p>
            <w:pPr>
              <w:pStyle w:val="TableText"/>
              <w:jc w:val="left"/>
            </w:pPr>
            <w:r>
              <w:t xml:space="preserve">Bastion (verifying disaster triggers); Hearth (verifying construction)</w:t>
            </w:r>
          </w:p>
        </w:tc>
        <w:tc>
          <w:tcPr>
            <w:tcW w:w="4037" w:type="dxa"/>
          </w:tcPr>
          <w:p>
            <w:pPr>
              <w:pStyle w:val="TableText"/>
              <w:jc w:val="left"/>
            </w:pPr>
            <w:r>
              <w:t xml:space="preserve">Covenant (verified identities)</w:t>
            </w:r>
          </w:p>
        </w:tc>
      </w:tr>
      <w:tr>
        <w:trPr>
          <w:cantSplit/>
        </w:trPr>
        <w:tc>
          <w:tcPr>
            <w:tcW w:w="1202" w:type="dxa"/>
          </w:tcPr>
          <w:p>
            <w:pPr>
              <w:pStyle w:val="TableText"/>
              <w:jc w:val="left"/>
            </w:pPr>
            <w:r>
              <w:t xml:space="preserve">CoolHaven</w:t>
            </w:r>
          </w:p>
        </w:tc>
        <w:tc>
          <w:tcPr>
            <w:tcW w:w="4121" w:type="dxa"/>
          </w:tcPr>
          <w:p>
            <w:pPr>
              <w:pStyle w:val="TableText"/>
              <w:jc w:val="left"/>
            </w:pPr>
            <w:r>
              <w:t xml:space="preserve">KinGrid (protecting elders in heatwaves)</w:t>
            </w:r>
          </w:p>
        </w:tc>
        <w:tc>
          <w:tcPr>
            <w:tcW w:w="4037" w:type="dxa"/>
          </w:tcPr>
          <w:p>
            <w:pPr>
              <w:pStyle w:val="TableText"/>
              <w:jc w:val="left"/>
            </w:pPr>
            <w:r>
              <w:t xml:space="preserve">FluxCommons (efficient, solar-backed cooling); Bastion (heat-income cover)</w:t>
            </w:r>
          </w:p>
        </w:tc>
      </w:tr>
      <w:tr>
        <w:trPr>
          <w:cantSplit/>
        </w:trPr>
        <w:tc>
          <w:tcPr>
            <w:tcW w:w="1202" w:type="dxa"/>
          </w:tcPr>
          <w:p>
            <w:pPr>
              <w:pStyle w:val="TableText"/>
              <w:jc w:val="left"/>
            </w:pPr>
            <w:r>
              <w:t xml:space="preserve">SecondCell</w:t>
            </w:r>
          </w:p>
        </w:tc>
        <w:tc>
          <w:tcPr>
            <w:tcW w:w="4121" w:type="dxa"/>
          </w:tcPr>
          <w:p>
            <w:pPr>
              <w:pStyle w:val="TableText"/>
              <w:jc w:val="left"/>
            </w:pPr>
            <w:r>
              <w:t xml:space="preserve">FluxCommons (storage); HarvestGrid (cold-room power)</w:t>
            </w:r>
          </w:p>
        </w:tc>
        <w:tc>
          <w:tcPr>
            <w:tcW w:w="4037" w:type="dxa"/>
          </w:tcPr>
          <w:p>
            <w:pPr>
              <w:pStyle w:val="TableText"/>
              <w:jc w:val="left"/>
            </w:pPr>
            <w:r>
              <w:t xml:space="preserve">FluxCommons (grid services)</w:t>
            </w:r>
          </w:p>
        </w:tc>
      </w:tr>
      <w:tr>
        <w:trPr>
          <w:cantSplit/>
        </w:trPr>
        <w:tc>
          <w:tcPr>
            <w:tcW w:w="1202" w:type="dxa"/>
          </w:tcPr>
          <w:p>
            <w:pPr>
              <w:pStyle w:val="TableText"/>
              <w:jc w:val="left"/>
            </w:pPr>
            <w:r>
              <w:t xml:space="preserve">PartsGrid</w:t>
            </w:r>
          </w:p>
        </w:tc>
        <w:tc>
          <w:tcPr>
            <w:tcW w:w="4121" w:type="dxa"/>
          </w:tcPr>
          <w:p>
            <w:pPr>
              <w:pStyle w:val="TableText"/>
              <w:jc w:val="left"/>
            </w:pPr>
            <w:r>
              <w:t xml:space="preserve">HarvestGrid (farm machinery); CommonFleet (vehicle parts)</w:t>
            </w:r>
          </w:p>
        </w:tc>
        <w:tc>
          <w:tcPr>
            <w:tcW w:w="4037" w:type="dxa"/>
          </w:tcPr>
          <w:p>
            <w:pPr>
              <w:pStyle w:val="TableText"/>
              <w:jc w:val="left"/>
            </w:pPr>
            <w:r>
              <w:t xml:space="preserve">Guildhall (machinist training)</w:t>
            </w:r>
          </w:p>
        </w:tc>
      </w:tr>
      <w:tr>
        <w:trPr>
          <w:cantSplit/>
        </w:trPr>
        <w:tc>
          <w:tcPr>
            <w:tcW w:w="1202" w:type="dxa"/>
          </w:tcPr>
          <w:p>
            <w:pPr>
              <w:pStyle w:val="TableText"/>
              <w:jc w:val="left"/>
            </w:pPr>
            <w:r>
              <w:t xml:space="preserve">SurgeNet</w:t>
            </w:r>
          </w:p>
        </w:tc>
        <w:tc>
          <w:tcPr>
            <w:tcW w:w="4121" w:type="dxa"/>
          </w:tcPr>
          <w:p>
            <w:pPr>
              <w:pStyle w:val="TableText"/>
              <w:jc w:val="left"/>
            </w:pPr>
            <w:r>
              <w:t xml:space="preserve">KinGrid (care during outbreaks)</w:t>
            </w:r>
          </w:p>
        </w:tc>
        <w:tc>
          <w:tcPr>
            <w:tcW w:w="4037" w:type="dxa"/>
          </w:tcPr>
          <w:p>
            <w:pPr>
              <w:pStyle w:val="TableText"/>
              <w:jc w:val="left"/>
            </w:pPr>
            <w:r>
              <w:t xml:space="preserve">HarvestGrid (cold chains)</w:t>
            </w:r>
          </w:p>
        </w:tc>
      </w:tr>
      <w:tr>
        <w:trPr>
          <w:cantSplit/>
        </w:trPr>
        <w:tc>
          <w:tcPr>
            <w:tcW w:w="1202" w:type="dxa"/>
          </w:tcPr>
          <w:p>
            <w:pPr>
              <w:pStyle w:val="TableText"/>
              <w:jc w:val="left"/>
            </w:pPr>
            <w:r>
              <w:t xml:space="preserve">WildLedger</w:t>
            </w:r>
          </w:p>
        </w:tc>
        <w:tc>
          <w:tcPr>
            <w:tcW w:w="4121" w:type="dxa"/>
          </w:tcPr>
          <w:p>
            <w:pPr>
              <w:pStyle w:val="TableText"/>
              <w:jc w:val="left"/>
            </w:pPr>
            <w:r>
              <w:t xml:space="preserve">DataGuild (community data trusts)</w:t>
            </w:r>
          </w:p>
        </w:tc>
        <w:tc>
          <w:tcPr>
            <w:tcW w:w="4037" w:type="dxa"/>
          </w:tcPr>
          <w:p>
            <w:pPr>
              <w:pStyle w:val="TableText"/>
              <w:jc w:val="left"/>
            </w:pPr>
            <w:r>
              <w:t xml:space="preserve">DataGuild; GroundTruth</w:t>
            </w:r>
          </w:p>
        </w:tc>
      </w:tr>
      <w:tr>
        <w:trPr>
          <w:cantSplit/>
        </w:trPr>
        <w:tc>
          <w:tcPr>
            <w:tcW w:w="1202" w:type="dxa"/>
          </w:tcPr>
          <w:p>
            <w:pPr>
              <w:pStyle w:val="TableText"/>
              <w:jc w:val="left"/>
            </w:pPr>
            <w:r>
              <w:t xml:space="preserve">BuildBridge</w:t>
            </w:r>
          </w:p>
        </w:tc>
        <w:tc>
          <w:tcPr>
            <w:tcW w:w="4121" w:type="dxa"/>
          </w:tcPr>
          <w:p>
            <w:pPr>
              <w:pStyle w:val="TableText"/>
              <w:jc w:val="left"/>
            </w:pPr>
            <w:r>
              <w:t xml:space="preserve">Hearth (more homes, built safely)</w:t>
            </w:r>
          </w:p>
        </w:tc>
        <w:tc>
          <w:tcPr>
            <w:tcW w:w="4037" w:type="dxa"/>
          </w:tcPr>
          <w:p>
            <w:pPr>
              <w:pStyle w:val="TableText"/>
              <w:jc w:val="left"/>
            </w:pPr>
            <w:r>
              <w:t xml:space="preserve">GroundTruth (verification)</w:t>
            </w:r>
          </w:p>
        </w:tc>
      </w:tr>
      <w:tr>
        <w:trPr>
          <w:cantSplit/>
        </w:trPr>
        <w:tc>
          <w:tcPr>
            <w:tcW w:w="1202" w:type="dxa"/>
          </w:tcPr>
          <w:p>
            <w:pPr>
              <w:pStyle w:val="TableText"/>
              <w:jc w:val="left"/>
            </w:pPr>
            <w:r>
              <w:t xml:space="preserve">AquaGrid</w:t>
            </w:r>
          </w:p>
        </w:tc>
        <w:tc>
          <w:tcPr>
            <w:tcW w:w="4121" w:type="dxa"/>
          </w:tcPr>
          <w:p>
            <w:pPr>
              <w:pStyle w:val="TableText"/>
              <w:jc w:val="left"/>
            </w:pPr>
            <w:r>
              <w:t xml:space="preserve">Bastion (drought resilience)</w:t>
            </w:r>
          </w:p>
        </w:tc>
        <w:tc>
          <w:tcPr>
            <w:tcW w:w="4037" w:type="dxa"/>
          </w:tcPr>
          <w:p>
            <w:pPr>
              <w:pStyle w:val="TableText"/>
              <w:jc w:val="left"/>
            </w:pPr>
            <w:r>
              <w:t xml:space="preserve">FluxCommons (pumping energy)</w:t>
            </w:r>
          </w:p>
        </w:tc>
      </w:tr>
    </w:tbl>
    <w:bookmarkEnd w:id="71"/>
    <w:bookmarkStart w:id="72" w:name="feasibility-and-sequencing"/>
    <w:p>
      <w:pPr>
        <w:pStyle w:val="Heading2"/>
      </w:pPr>
      <w:r>
        <w:t xml:space="preserve">5.4 Feasibility and sequencing</w:t>
      </w:r>
    </w:p>
    <w:tbl>
      <w:tblPr>
        <w:tblStyle w:val="Table"/>
        <w:tblW w:w="9360" w:type="dxa"/>
        <w:jc w:val="left"/>
        <w:tblLayout w:type="fixed"/>
        <w:tblLook w:firstRow="1" w:lastRow="0" w:firstColumn="0" w:lastColumn="0" w:noHBand="0" w:noVBand="0" w:val="0020"/>
      </w:tblPr>
      <w:tblGrid>
        <w:gridCol w:w="1284"/>
        <w:gridCol w:w="1192"/>
        <w:gridCol w:w="1468"/>
        <w:gridCol w:w="2019"/>
        <w:gridCol w:w="2753"/>
        <w:gridCol w:w="644"/>
      </w:tblGrid>
      <w:tr>
        <w:trPr>
          <w:cantSplit/>
          <w:tblHeader w:val="true"/>
        </w:trPr>
        <w:tc>
          <w:tcPr>
            <w:tcW w:w="1284" w:type="dxa"/>
          </w:tcPr>
          <w:p>
            <w:pPr>
              <w:pStyle w:val="TableText"/>
              <w:jc w:val="left"/>
            </w:pPr>
            <w:r>
              <w:t xml:space="preserve">Venture</w:t>
            </w:r>
          </w:p>
        </w:tc>
        <w:tc>
          <w:tcPr>
            <w:tcW w:w="1192" w:type="dxa"/>
          </w:tcPr>
          <w:p>
            <w:pPr>
              <w:pStyle w:val="TableText"/>
              <w:jc w:val="left"/>
            </w:pPr>
            <w:r>
              <w:t xml:space="preserve">Capital intensity</w:t>
            </w:r>
          </w:p>
        </w:tc>
        <w:tc>
          <w:tcPr>
            <w:tcW w:w="1468" w:type="dxa"/>
          </w:tcPr>
          <w:p>
            <w:pPr>
              <w:pStyle w:val="TableText"/>
              <w:jc w:val="left"/>
            </w:pPr>
            <w:r>
              <w:t xml:space="preserve">Time to MVP</w:t>
            </w:r>
          </w:p>
        </w:tc>
        <w:tc>
          <w:tcPr>
            <w:tcW w:w="2019" w:type="dxa"/>
          </w:tcPr>
          <w:p>
            <w:pPr>
              <w:pStyle w:val="TableText"/>
              <w:jc w:val="left"/>
            </w:pPr>
            <w:r>
              <w:t xml:space="preserve">Regulatory complexity</w:t>
            </w:r>
          </w:p>
        </w:tc>
        <w:tc>
          <w:tcPr>
            <w:tcW w:w="2753" w:type="dxa"/>
          </w:tcPr>
          <w:p>
            <w:pPr>
              <w:pStyle w:val="TableText"/>
              <w:jc w:val="left"/>
            </w:pPr>
            <w:r>
              <w:t xml:space="preserve">First market</w:t>
            </w:r>
          </w:p>
        </w:tc>
        <w:tc>
          <w:tcPr>
            <w:tcW w:w="644" w:type="dxa"/>
          </w:tcPr>
          <w:p>
            <w:pPr>
              <w:pStyle w:val="TableText"/>
              <w:jc w:val="left"/>
            </w:pPr>
            <w:r>
              <w:t xml:space="preserve">Wave</w:t>
            </w:r>
          </w:p>
        </w:tc>
      </w:tr>
      <w:tr>
        <w:trPr>
          <w:cantSplit/>
        </w:trPr>
        <w:tc>
          <w:tcPr>
            <w:tcW w:w="1284" w:type="dxa"/>
          </w:tcPr>
          <w:p>
            <w:pPr>
              <w:pStyle w:val="TableText"/>
              <w:jc w:val="left"/>
            </w:pPr>
            <w:r>
              <w:t xml:space="preserve">GroundTruth</w:t>
            </w:r>
          </w:p>
        </w:tc>
        <w:tc>
          <w:tcPr>
            <w:tcW w:w="1192" w:type="dxa"/>
          </w:tcPr>
          <w:p>
            <w:pPr>
              <w:pStyle w:val="TableText"/>
              <w:jc w:val="left"/>
            </w:pPr>
            <w:r>
              <w:t xml:space="preserve">Low</w:t>
            </w:r>
          </w:p>
        </w:tc>
        <w:tc>
          <w:tcPr>
            <w:tcW w:w="1468" w:type="dxa"/>
          </w:tcPr>
          <w:p>
            <w:pPr>
              <w:pStyle w:val="TableText"/>
              <w:jc w:val="left"/>
            </w:pPr>
            <w:r>
              <w:t xml:space="preserve">~3 months</w:t>
            </w:r>
          </w:p>
        </w:tc>
        <w:tc>
          <w:tcPr>
            <w:tcW w:w="2019" w:type="dxa"/>
          </w:tcPr>
          <w:p>
            <w:pPr>
              <w:pStyle w:val="TableText"/>
              <w:jc w:val="left"/>
            </w:pPr>
            <w:r>
              <w:t xml:space="preserve">Medium</w:t>
            </w:r>
          </w:p>
        </w:tc>
        <w:tc>
          <w:tcPr>
            <w:tcW w:w="2753" w:type="dxa"/>
          </w:tcPr>
          <w:p>
            <w:pPr>
              <w:pStyle w:val="TableText"/>
              <w:jc w:val="left"/>
            </w:pPr>
            <w:r>
              <w:t xml:space="preserve">Insurance verification, Lagos</w:t>
            </w:r>
          </w:p>
        </w:tc>
        <w:tc>
          <w:tcPr>
            <w:tcW w:w="644" w:type="dxa"/>
          </w:tcPr>
          <w:p>
            <w:pPr>
              <w:pStyle w:val="TableText"/>
              <w:jc w:val="left"/>
            </w:pPr>
            <w:r>
              <w:rPr>
                <w:b/>
                <w:bCs/>
              </w:rPr>
              <w:t xml:space="preserve">1</w:t>
            </w:r>
          </w:p>
        </w:tc>
      </w:tr>
      <w:tr>
        <w:trPr>
          <w:cantSplit/>
        </w:trPr>
        <w:tc>
          <w:tcPr>
            <w:tcW w:w="1284" w:type="dxa"/>
          </w:tcPr>
          <w:p>
            <w:pPr>
              <w:pStyle w:val="TableText"/>
              <w:jc w:val="left"/>
            </w:pPr>
            <w:r>
              <w:t xml:space="preserve">AgentUnion</w:t>
            </w:r>
          </w:p>
        </w:tc>
        <w:tc>
          <w:tcPr>
            <w:tcW w:w="1192" w:type="dxa"/>
          </w:tcPr>
          <w:p>
            <w:pPr>
              <w:pStyle w:val="TableText"/>
              <w:jc w:val="left"/>
            </w:pPr>
            <w:r>
              <w:t xml:space="preserve">Low</w:t>
            </w:r>
          </w:p>
        </w:tc>
        <w:tc>
          <w:tcPr>
            <w:tcW w:w="1468" w:type="dxa"/>
          </w:tcPr>
          <w:p>
            <w:pPr>
              <w:pStyle w:val="TableText"/>
              <w:jc w:val="left"/>
            </w:pPr>
            <w:r>
              <w:t xml:space="preserve">3–6 months</w:t>
            </w:r>
          </w:p>
        </w:tc>
        <w:tc>
          <w:tcPr>
            <w:tcW w:w="2019" w:type="dxa"/>
          </w:tcPr>
          <w:p>
            <w:pPr>
              <w:pStyle w:val="TableText"/>
              <w:jc w:val="left"/>
            </w:pPr>
            <w:r>
              <w:t xml:space="preserve">Medium (competition, privacy)</w:t>
            </w:r>
          </w:p>
        </w:tc>
        <w:tc>
          <w:tcPr>
            <w:tcW w:w="2753" w:type="dxa"/>
          </w:tcPr>
          <w:p>
            <w:pPr>
              <w:pStyle w:val="TableText"/>
              <w:jc w:val="left"/>
            </w:pPr>
            <w:r>
              <w:t xml:space="preserve">One country, two categories</w:t>
            </w:r>
          </w:p>
        </w:tc>
        <w:tc>
          <w:tcPr>
            <w:tcW w:w="644" w:type="dxa"/>
          </w:tcPr>
          <w:p>
            <w:pPr>
              <w:pStyle w:val="TableText"/>
              <w:jc w:val="left"/>
            </w:pPr>
            <w:r>
              <w:rPr>
                <w:b/>
                <w:bCs/>
              </w:rPr>
              <w:t xml:space="preserve">1</w:t>
            </w:r>
          </w:p>
        </w:tc>
      </w:tr>
      <w:tr>
        <w:trPr>
          <w:cantSplit/>
        </w:trPr>
        <w:tc>
          <w:tcPr>
            <w:tcW w:w="1284" w:type="dxa"/>
          </w:tcPr>
          <w:p>
            <w:pPr>
              <w:pStyle w:val="TableText"/>
              <w:jc w:val="left"/>
            </w:pPr>
            <w:r>
              <w:t xml:space="preserve">RemoteHands</w:t>
            </w:r>
          </w:p>
        </w:tc>
        <w:tc>
          <w:tcPr>
            <w:tcW w:w="1192" w:type="dxa"/>
          </w:tcPr>
          <w:p>
            <w:pPr>
              <w:pStyle w:val="TableText"/>
              <w:jc w:val="left"/>
            </w:pPr>
            <w:r>
              <w:t xml:space="preserve">Low–medium</w:t>
            </w:r>
          </w:p>
        </w:tc>
        <w:tc>
          <w:tcPr>
            <w:tcW w:w="1468" w:type="dxa"/>
          </w:tcPr>
          <w:p>
            <w:pPr>
              <w:pStyle w:val="TableText"/>
              <w:jc w:val="left"/>
            </w:pPr>
            <w:r>
              <w:t xml:space="preserve">3–6 months</w:t>
            </w:r>
          </w:p>
        </w:tc>
        <w:tc>
          <w:tcPr>
            <w:tcW w:w="2019" w:type="dxa"/>
          </w:tcPr>
          <w:p>
            <w:pPr>
              <w:pStyle w:val="TableText"/>
              <w:jc w:val="left"/>
            </w:pPr>
            <w:r>
              <w:t xml:space="preserve">Medium (labour, privacy)</w:t>
            </w:r>
          </w:p>
        </w:tc>
        <w:tc>
          <w:tcPr>
            <w:tcW w:w="2753" w:type="dxa"/>
          </w:tcPr>
          <w:p>
            <w:pPr>
              <w:pStyle w:val="TableText"/>
              <w:jc w:val="left"/>
            </w:pPr>
            <w:r>
              <w:t xml:space="preserve">Lagos and Nairobi</w:t>
            </w:r>
          </w:p>
        </w:tc>
        <w:tc>
          <w:tcPr>
            <w:tcW w:w="644" w:type="dxa"/>
          </w:tcPr>
          <w:p>
            <w:pPr>
              <w:pStyle w:val="TableText"/>
              <w:jc w:val="left"/>
            </w:pPr>
            <w:r>
              <w:rPr>
                <w:b/>
                <w:bCs/>
              </w:rPr>
              <w:t xml:space="preserve">1</w:t>
            </w:r>
          </w:p>
        </w:tc>
      </w:tr>
      <w:tr>
        <w:trPr>
          <w:cantSplit/>
        </w:trPr>
        <w:tc>
          <w:tcPr>
            <w:tcW w:w="1284" w:type="dxa"/>
          </w:tcPr>
          <w:p>
            <w:pPr>
              <w:pStyle w:val="TableText"/>
              <w:jc w:val="left"/>
            </w:pPr>
            <w:r>
              <w:t xml:space="preserve">BuildBridge</w:t>
            </w:r>
          </w:p>
        </w:tc>
        <w:tc>
          <w:tcPr>
            <w:tcW w:w="1192" w:type="dxa"/>
          </w:tcPr>
          <w:p>
            <w:pPr>
              <w:pStyle w:val="TableText"/>
              <w:jc w:val="left"/>
            </w:pPr>
            <w:r>
              <w:t xml:space="preserve">Low–medium</w:t>
            </w:r>
          </w:p>
        </w:tc>
        <w:tc>
          <w:tcPr>
            <w:tcW w:w="1468" w:type="dxa"/>
          </w:tcPr>
          <w:p>
            <w:pPr>
              <w:pStyle w:val="TableText"/>
              <w:jc w:val="left"/>
            </w:pPr>
            <w:r>
              <w:t xml:space="preserve">~3 months</w:t>
            </w:r>
          </w:p>
        </w:tc>
        <w:tc>
          <w:tcPr>
            <w:tcW w:w="2019" w:type="dxa"/>
          </w:tcPr>
          <w:p>
            <w:pPr>
              <w:pStyle w:val="TableText"/>
              <w:jc w:val="left"/>
            </w:pPr>
            <w:r>
              <w:t xml:space="preserve">Medium</w:t>
            </w:r>
          </w:p>
        </w:tc>
        <w:tc>
          <w:tcPr>
            <w:tcW w:w="2753" w:type="dxa"/>
          </w:tcPr>
          <w:p>
            <w:pPr>
              <w:pStyle w:val="TableText"/>
              <w:jc w:val="left"/>
            </w:pPr>
            <w:r>
              <w:t xml:space="preserve">Lagos, Ibadan, Abuja + diaspora</w:t>
            </w:r>
          </w:p>
        </w:tc>
        <w:tc>
          <w:tcPr>
            <w:tcW w:w="644" w:type="dxa"/>
          </w:tcPr>
          <w:p>
            <w:pPr>
              <w:pStyle w:val="TableText"/>
              <w:jc w:val="left"/>
            </w:pPr>
            <w:r>
              <w:rPr>
                <w:b/>
                <w:bCs/>
              </w:rPr>
              <w:t xml:space="preserve">1</w:t>
            </w:r>
          </w:p>
        </w:tc>
      </w:tr>
      <w:tr>
        <w:trPr>
          <w:cantSplit/>
        </w:trPr>
        <w:tc>
          <w:tcPr>
            <w:tcW w:w="1284" w:type="dxa"/>
          </w:tcPr>
          <w:p>
            <w:pPr>
              <w:pStyle w:val="TableText"/>
              <w:jc w:val="left"/>
            </w:pPr>
            <w:r>
              <w:t xml:space="preserve">CoolHaven</w:t>
            </w:r>
          </w:p>
        </w:tc>
        <w:tc>
          <w:tcPr>
            <w:tcW w:w="1192" w:type="dxa"/>
          </w:tcPr>
          <w:p>
            <w:pPr>
              <w:pStyle w:val="TableText"/>
              <w:jc w:val="left"/>
            </w:pPr>
            <w:r>
              <w:t xml:space="preserve">Medium</w:t>
            </w:r>
          </w:p>
        </w:tc>
        <w:tc>
          <w:tcPr>
            <w:tcW w:w="1468" w:type="dxa"/>
          </w:tcPr>
          <w:p>
            <w:pPr>
              <w:pStyle w:val="TableText"/>
              <w:jc w:val="left"/>
            </w:pPr>
            <w:r>
              <w:t xml:space="preserve">~6 months (heat season)</w:t>
            </w:r>
          </w:p>
        </w:tc>
        <w:tc>
          <w:tcPr>
            <w:tcW w:w="2019" w:type="dxa"/>
          </w:tcPr>
          <w:p>
            <w:pPr>
              <w:pStyle w:val="TableText"/>
              <w:jc w:val="left"/>
            </w:pPr>
            <w:r>
              <w:t xml:space="preserve">Medium</w:t>
            </w:r>
          </w:p>
        </w:tc>
        <w:tc>
          <w:tcPr>
            <w:tcW w:w="2753" w:type="dxa"/>
          </w:tcPr>
          <w:p>
            <w:pPr>
              <w:pStyle w:val="TableText"/>
              <w:jc w:val="left"/>
            </w:pPr>
            <w:r>
              <w:t xml:space="preserve">One hot city</w:t>
            </w:r>
          </w:p>
        </w:tc>
        <w:tc>
          <w:tcPr>
            <w:tcW w:w="644" w:type="dxa"/>
          </w:tcPr>
          <w:p>
            <w:pPr>
              <w:pStyle w:val="TableText"/>
              <w:jc w:val="left"/>
            </w:pPr>
            <w:r>
              <w:rPr>
                <w:b/>
                <w:bCs/>
              </w:rPr>
              <w:t xml:space="preserve">2</w:t>
            </w:r>
          </w:p>
        </w:tc>
      </w:tr>
      <w:tr>
        <w:trPr>
          <w:cantSplit/>
        </w:trPr>
        <w:tc>
          <w:tcPr>
            <w:tcW w:w="1284" w:type="dxa"/>
          </w:tcPr>
          <w:p>
            <w:pPr>
              <w:pStyle w:val="TableText"/>
              <w:jc w:val="left"/>
            </w:pPr>
            <w:r>
              <w:t xml:space="preserve">PartsGrid</w:t>
            </w:r>
          </w:p>
        </w:tc>
        <w:tc>
          <w:tcPr>
            <w:tcW w:w="1192" w:type="dxa"/>
          </w:tcPr>
          <w:p>
            <w:pPr>
              <w:pStyle w:val="TableText"/>
              <w:jc w:val="left"/>
            </w:pPr>
            <w:r>
              <w:t xml:space="preserve">Medium</w:t>
            </w:r>
          </w:p>
        </w:tc>
        <w:tc>
          <w:tcPr>
            <w:tcW w:w="1468" w:type="dxa"/>
          </w:tcPr>
          <w:p>
            <w:pPr>
              <w:pStyle w:val="TableText"/>
              <w:jc w:val="left"/>
            </w:pPr>
            <w:r>
              <w:t xml:space="preserve">~6 months</w:t>
            </w:r>
          </w:p>
        </w:tc>
        <w:tc>
          <w:tcPr>
            <w:tcW w:w="2019" w:type="dxa"/>
          </w:tcPr>
          <w:p>
            <w:pPr>
              <w:pStyle w:val="TableText"/>
              <w:jc w:val="left"/>
            </w:pPr>
            <w:r>
              <w:t xml:space="preserve">Medium (IP, liability)</w:t>
            </w:r>
          </w:p>
        </w:tc>
        <w:tc>
          <w:tcPr>
            <w:tcW w:w="2753" w:type="dxa"/>
          </w:tcPr>
          <w:p>
            <w:pPr>
              <w:pStyle w:val="TableText"/>
              <w:jc w:val="left"/>
            </w:pPr>
            <w:r>
              <w:t xml:space="preserve">Lagos and Kumasi</w:t>
            </w:r>
          </w:p>
        </w:tc>
        <w:tc>
          <w:tcPr>
            <w:tcW w:w="644" w:type="dxa"/>
          </w:tcPr>
          <w:p>
            <w:pPr>
              <w:pStyle w:val="TableText"/>
              <w:jc w:val="left"/>
            </w:pPr>
            <w:r>
              <w:rPr>
                <w:b/>
                <w:bCs/>
              </w:rPr>
              <w:t xml:space="preserve">2</w:t>
            </w:r>
          </w:p>
        </w:tc>
      </w:tr>
      <w:tr>
        <w:trPr>
          <w:cantSplit/>
        </w:trPr>
        <w:tc>
          <w:tcPr>
            <w:tcW w:w="1284" w:type="dxa"/>
          </w:tcPr>
          <w:p>
            <w:pPr>
              <w:pStyle w:val="TableText"/>
              <w:jc w:val="left"/>
            </w:pPr>
            <w:r>
              <w:t xml:space="preserve">AquaGrid</w:t>
            </w:r>
          </w:p>
        </w:tc>
        <w:tc>
          <w:tcPr>
            <w:tcW w:w="1192" w:type="dxa"/>
          </w:tcPr>
          <w:p>
            <w:pPr>
              <w:pStyle w:val="TableText"/>
              <w:jc w:val="left"/>
            </w:pPr>
            <w:r>
              <w:t xml:space="preserve">Medium</w:t>
            </w:r>
          </w:p>
        </w:tc>
        <w:tc>
          <w:tcPr>
            <w:tcW w:w="1468" w:type="dxa"/>
          </w:tcPr>
          <w:p>
            <w:pPr>
              <w:pStyle w:val="TableText"/>
              <w:jc w:val="left"/>
            </w:pPr>
            <w:r>
              <w:t xml:space="preserve">~6 months</w:t>
            </w:r>
          </w:p>
        </w:tc>
        <w:tc>
          <w:tcPr>
            <w:tcW w:w="2019" w:type="dxa"/>
          </w:tcPr>
          <w:p>
            <w:pPr>
              <w:pStyle w:val="TableText"/>
              <w:jc w:val="left"/>
            </w:pPr>
            <w:r>
              <w:t xml:space="preserve">High (water regulation)</w:t>
            </w:r>
          </w:p>
        </w:tc>
        <w:tc>
          <w:tcPr>
            <w:tcW w:w="2753" w:type="dxa"/>
          </w:tcPr>
          <w:p>
            <w:pPr>
              <w:pStyle w:val="TableText"/>
              <w:jc w:val="left"/>
            </w:pPr>
            <w:r>
              <w:t xml:space="preserve">One Lagos local government area</w:t>
            </w:r>
          </w:p>
        </w:tc>
        <w:tc>
          <w:tcPr>
            <w:tcW w:w="644" w:type="dxa"/>
          </w:tcPr>
          <w:p>
            <w:pPr>
              <w:pStyle w:val="TableText"/>
              <w:jc w:val="left"/>
            </w:pPr>
            <w:r>
              <w:rPr>
                <w:b/>
                <w:bCs/>
              </w:rPr>
              <w:t xml:space="preserve">2</w:t>
            </w:r>
          </w:p>
        </w:tc>
      </w:tr>
      <w:tr>
        <w:trPr>
          <w:cantSplit/>
        </w:trPr>
        <w:tc>
          <w:tcPr>
            <w:tcW w:w="1284" w:type="dxa"/>
          </w:tcPr>
          <w:p>
            <w:pPr>
              <w:pStyle w:val="TableText"/>
              <w:jc w:val="left"/>
            </w:pPr>
            <w:r>
              <w:t xml:space="preserve">SurgeNet</w:t>
            </w:r>
          </w:p>
        </w:tc>
        <w:tc>
          <w:tcPr>
            <w:tcW w:w="1192" w:type="dxa"/>
          </w:tcPr>
          <w:p>
            <w:pPr>
              <w:pStyle w:val="TableText"/>
              <w:jc w:val="left"/>
            </w:pPr>
            <w:r>
              <w:t xml:space="preserve">Medium</w:t>
            </w:r>
          </w:p>
        </w:tc>
        <w:tc>
          <w:tcPr>
            <w:tcW w:w="1468" w:type="dxa"/>
          </w:tcPr>
          <w:p>
            <w:pPr>
              <w:pStyle w:val="TableText"/>
              <w:jc w:val="left"/>
            </w:pPr>
            <w:r>
              <w:t xml:space="preserve">6–9 months</w:t>
            </w:r>
          </w:p>
        </w:tc>
        <w:tc>
          <w:tcPr>
            <w:tcW w:w="2019" w:type="dxa"/>
          </w:tcPr>
          <w:p>
            <w:pPr>
              <w:pStyle w:val="TableText"/>
              <w:jc w:val="left"/>
            </w:pPr>
            <w:r>
              <w:t xml:space="preserve">High (health)</w:t>
            </w:r>
          </w:p>
        </w:tc>
        <w:tc>
          <w:tcPr>
            <w:tcW w:w="2753" w:type="dxa"/>
          </w:tcPr>
          <w:p>
            <w:pPr>
              <w:pStyle w:val="TableText"/>
              <w:jc w:val="left"/>
            </w:pPr>
            <w:r>
              <w:t xml:space="preserve">One Nigerian state</w:t>
            </w:r>
          </w:p>
        </w:tc>
        <w:tc>
          <w:tcPr>
            <w:tcW w:w="644" w:type="dxa"/>
          </w:tcPr>
          <w:p>
            <w:pPr>
              <w:pStyle w:val="TableText"/>
              <w:jc w:val="left"/>
            </w:pPr>
            <w:r>
              <w:rPr>
                <w:b/>
                <w:bCs/>
              </w:rPr>
              <w:t xml:space="preserve">2</w:t>
            </w:r>
          </w:p>
        </w:tc>
      </w:tr>
      <w:tr>
        <w:trPr>
          <w:cantSplit/>
        </w:trPr>
        <w:tc>
          <w:tcPr>
            <w:tcW w:w="1284" w:type="dxa"/>
          </w:tcPr>
          <w:p>
            <w:pPr>
              <w:pStyle w:val="TableText"/>
              <w:jc w:val="left"/>
            </w:pPr>
            <w:r>
              <w:t xml:space="preserve">WildLedger</w:t>
            </w:r>
          </w:p>
        </w:tc>
        <w:tc>
          <w:tcPr>
            <w:tcW w:w="1192" w:type="dxa"/>
          </w:tcPr>
          <w:p>
            <w:pPr>
              <w:pStyle w:val="TableText"/>
              <w:jc w:val="left"/>
            </w:pPr>
            <w:r>
              <w:t xml:space="preserve">Medium</w:t>
            </w:r>
          </w:p>
        </w:tc>
        <w:tc>
          <w:tcPr>
            <w:tcW w:w="1468" w:type="dxa"/>
          </w:tcPr>
          <w:p>
            <w:pPr>
              <w:pStyle w:val="TableText"/>
              <w:jc w:val="left"/>
            </w:pPr>
            <w:r>
              <w:t xml:space="preserve">9–12 months</w:t>
            </w:r>
          </w:p>
        </w:tc>
        <w:tc>
          <w:tcPr>
            <w:tcW w:w="2019" w:type="dxa"/>
          </w:tcPr>
          <w:p>
            <w:pPr>
              <w:pStyle w:val="TableText"/>
              <w:jc w:val="left"/>
            </w:pPr>
            <w:r>
              <w:t xml:space="preserve">High (consent, standards)</w:t>
            </w:r>
          </w:p>
        </w:tc>
        <w:tc>
          <w:tcPr>
            <w:tcW w:w="2753" w:type="dxa"/>
          </w:tcPr>
          <w:p>
            <w:pPr>
              <w:pStyle w:val="TableText"/>
              <w:jc w:val="left"/>
            </w:pPr>
            <w:r>
              <w:t xml:space="preserve">Communities near Cross River National Park</w:t>
            </w:r>
          </w:p>
        </w:tc>
        <w:tc>
          <w:tcPr>
            <w:tcW w:w="644" w:type="dxa"/>
          </w:tcPr>
          <w:p>
            <w:pPr>
              <w:pStyle w:val="TableText"/>
              <w:jc w:val="left"/>
            </w:pPr>
            <w:r>
              <w:rPr>
                <w:b/>
                <w:bCs/>
              </w:rPr>
              <w:t xml:space="preserve">3</w:t>
            </w:r>
          </w:p>
        </w:tc>
      </w:tr>
      <w:tr>
        <w:trPr>
          <w:cantSplit/>
        </w:trPr>
        <w:tc>
          <w:tcPr>
            <w:tcW w:w="1284" w:type="dxa"/>
          </w:tcPr>
          <w:p>
            <w:pPr>
              <w:pStyle w:val="TableText"/>
              <w:jc w:val="left"/>
            </w:pPr>
            <w:r>
              <w:t xml:space="preserve">SecondCell</w:t>
            </w:r>
          </w:p>
        </w:tc>
        <w:tc>
          <w:tcPr>
            <w:tcW w:w="1192" w:type="dxa"/>
          </w:tcPr>
          <w:p>
            <w:pPr>
              <w:pStyle w:val="TableText"/>
              <w:jc w:val="left"/>
            </w:pPr>
            <w:r>
              <w:t xml:space="preserve">High</w:t>
            </w:r>
          </w:p>
        </w:tc>
        <w:tc>
          <w:tcPr>
            <w:tcW w:w="1468" w:type="dxa"/>
          </w:tcPr>
          <w:p>
            <w:pPr>
              <w:pStyle w:val="TableText"/>
              <w:jc w:val="left"/>
            </w:pPr>
            <w:r>
              <w:t xml:space="preserve">9–12 months</w:t>
            </w:r>
          </w:p>
        </w:tc>
        <w:tc>
          <w:tcPr>
            <w:tcW w:w="2019" w:type="dxa"/>
          </w:tcPr>
          <w:p>
            <w:pPr>
              <w:pStyle w:val="TableText"/>
              <w:jc w:val="left"/>
            </w:pPr>
            <w:r>
              <w:t xml:space="preserve">High (waste, safety)</w:t>
            </w:r>
          </w:p>
        </w:tc>
        <w:tc>
          <w:tcPr>
            <w:tcW w:w="2753" w:type="dxa"/>
          </w:tcPr>
          <w:p>
            <w:pPr>
              <w:pStyle w:val="TableText"/>
              <w:jc w:val="left"/>
            </w:pPr>
            <w:r>
              <w:t xml:space="preserve">Nigeria and Ghana</w:t>
            </w:r>
          </w:p>
        </w:tc>
        <w:tc>
          <w:tcPr>
            <w:tcW w:w="644" w:type="dxa"/>
          </w:tcPr>
          <w:p>
            <w:pPr>
              <w:pStyle w:val="TableText"/>
              <w:jc w:val="left"/>
            </w:pPr>
            <w:r>
              <w:rPr>
                <w:b/>
                <w:bCs/>
              </w:rPr>
              <w:t xml:space="preserve">3</w:t>
            </w:r>
          </w:p>
        </w:tc>
      </w:tr>
    </w:tbl>
    <w:p>
      <w:pPr>
        <w:pStyle w:val="BodyText"/>
        <w:spacing w:before="160"/>
      </w:pPr>
      <w:r>
        <w:rPr>
          <w:b/>
          <w:bCs/>
        </w:rPr>
        <w:t xml:space="preserve">Sequencing logic.</w:t>
      </w:r>
      <w:r>
        <w:t xml:space="preserve"> </w:t>
      </w:r>
      <w:r>
        <w:t xml:space="preserve">Wave 1 builds the</w:t>
      </w:r>
      <w:r>
        <w:t xml:space="preserve"> </w:t>
      </w:r>
      <w:r>
        <w:rPr>
          <w:i/>
          <w:iCs/>
        </w:rPr>
        <w:t xml:space="preserve">trust and verification layer</w:t>
      </w:r>
      <w:r>
        <w:t xml:space="preserve"> </w:t>
      </w:r>
      <w:r>
        <w:t xml:space="preserve">of the second decagon (GroundTruth, AgentUnion), its</w:t>
      </w:r>
      <w:r>
        <w:t xml:space="preserve"> </w:t>
      </w:r>
      <w:r>
        <w:rPr>
          <w:i/>
          <w:iCs/>
        </w:rPr>
        <w:t xml:space="preserve">human layer</w:t>
      </w:r>
      <w:r>
        <w:t xml:space="preserve"> </w:t>
      </w:r>
      <w:r>
        <w:t xml:space="preserve">(RemoteHands) and an early proof of verified finance (BuildBridge). These need little capital and create infrastructure later ventures reuse. Wave 2 tackles</w:t>
      </w:r>
      <w:r>
        <w:t xml:space="preserve"> </w:t>
      </w:r>
      <w:r>
        <w:rPr>
          <w:i/>
          <w:iCs/>
        </w:rPr>
        <w:t xml:space="preserve">adaptation and repair</w:t>
      </w:r>
      <w:r>
        <w:t xml:space="preserve"> </w:t>
      </w:r>
      <w:r>
        <w:t xml:space="preserve">services, which depend on municipal and health partners. Wave 3 handles the most regulated, capital-intensive work: nature finance and battery circularity.</w:t>
      </w:r>
    </w:p>
    <w:bookmarkEnd w:id="72"/>
    <w:bookmarkStart w:id="73" w:name="the-2050-stewardship-stack"/>
    <w:p>
      <w:pPr>
        <w:pStyle w:val="Heading2"/>
      </w:pPr>
      <w:r>
        <w:t xml:space="preserve">5.5 The 2050 Stewardship Stack</w:t>
      </w:r>
    </w:p>
    <w:p>
      <w:pPr>
        <w:pStyle w:val="FirstParagraph"/>
      </w:pPr>
      <w:r>
        <w:t xml:space="preserve">Volume I proposed a five-layer Stewardship Stack for its ten ventures by 2040. The second decagon fills it out by 2050.</w:t>
      </w:r>
    </w:p>
    <w:tbl>
      <w:tblPr>
        <w:tblStyle w:val="Table"/>
        <w:tblW w:w="9360" w:type="dxa"/>
        <w:jc w:val="left"/>
        <w:tblLayout w:type="fixed"/>
        <w:tblLook w:firstRow="1" w:lastRow="0" w:firstColumn="0" w:lastColumn="0" w:noHBand="0" w:noVBand="0" w:val="0020"/>
      </w:tblPr>
      <w:tblGrid>
        <w:gridCol w:w="1646"/>
        <w:gridCol w:w="1732"/>
        <w:gridCol w:w="2080"/>
        <w:gridCol w:w="3902"/>
      </w:tblGrid>
      <w:tr>
        <w:trPr>
          <w:cantSplit/>
          <w:tblHeader w:val="true"/>
        </w:trPr>
        <w:tc>
          <w:tcPr>
            <w:tcW w:w="1646" w:type="dxa"/>
          </w:tcPr>
          <w:p>
            <w:pPr>
              <w:pStyle w:val="TableText"/>
              <w:jc w:val="left"/>
            </w:pPr>
            <w:r>
              <w:t xml:space="preserve">Layer</w:t>
            </w:r>
          </w:p>
        </w:tc>
        <w:tc>
          <w:tcPr>
            <w:tcW w:w="1732" w:type="dxa"/>
          </w:tcPr>
          <w:p>
            <w:pPr>
              <w:pStyle w:val="TableText"/>
              <w:jc w:val="left"/>
            </w:pPr>
            <w:r>
              <w:t xml:space="preserve">Volume I ventures</w:t>
            </w:r>
          </w:p>
        </w:tc>
        <w:tc>
          <w:tcPr>
            <w:tcW w:w="2080" w:type="dxa"/>
          </w:tcPr>
          <w:p>
            <w:pPr>
              <w:pStyle w:val="TableText"/>
              <w:jc w:val="left"/>
            </w:pPr>
            <w:r>
              <w:t xml:space="preserve">Next Decagon ventures</w:t>
            </w:r>
          </w:p>
        </w:tc>
        <w:tc>
          <w:tcPr>
            <w:tcW w:w="3902" w:type="dxa"/>
          </w:tcPr>
          <w:p>
            <w:pPr>
              <w:pStyle w:val="TableText"/>
              <w:jc w:val="left"/>
            </w:pPr>
            <w:r>
              <w:t xml:space="preserve">What the layer provides</w:t>
            </w:r>
          </w:p>
        </w:tc>
      </w:tr>
      <w:tr>
        <w:trPr>
          <w:cantSplit/>
        </w:trPr>
        <w:tc>
          <w:tcPr>
            <w:tcW w:w="1646" w:type="dxa"/>
          </w:tcPr>
          <w:p>
            <w:pPr>
              <w:pStyle w:val="TableText"/>
              <w:jc w:val="left"/>
            </w:pPr>
            <w:r>
              <w:rPr>
                <w:b/>
                <w:bCs/>
              </w:rPr>
              <w:t xml:space="preserve">1. Identity, trust and reality</w:t>
            </w:r>
          </w:p>
        </w:tc>
        <w:tc>
          <w:tcPr>
            <w:tcW w:w="1732" w:type="dxa"/>
          </w:tcPr>
          <w:p>
            <w:pPr>
              <w:pStyle w:val="TableText"/>
              <w:jc w:val="left"/>
            </w:pPr>
            <w:r>
              <w:t xml:space="preserve">Covenant</w:t>
            </w:r>
          </w:p>
        </w:tc>
        <w:tc>
          <w:tcPr>
            <w:tcW w:w="2080" w:type="dxa"/>
          </w:tcPr>
          <w:p>
            <w:pPr>
              <w:pStyle w:val="TableText"/>
              <w:jc w:val="left"/>
            </w:pPr>
            <w:r>
              <w:t xml:space="preserve">GroundTruth, AgentUnion</w:t>
            </w:r>
          </w:p>
        </w:tc>
        <w:tc>
          <w:tcPr>
            <w:tcW w:w="3902" w:type="dxa"/>
          </w:tcPr>
          <w:p>
            <w:pPr>
              <w:pStyle w:val="TableText"/>
              <w:jc w:val="left"/>
            </w:pPr>
            <w:r>
              <w:t xml:space="preserve">Who is acting, with what authority; what really happened; collective representation of users’ agents</w:t>
            </w:r>
          </w:p>
        </w:tc>
      </w:tr>
      <w:tr>
        <w:trPr>
          <w:cantSplit/>
        </w:trPr>
        <w:tc>
          <w:tcPr>
            <w:tcW w:w="1646" w:type="dxa"/>
          </w:tcPr>
          <w:p>
            <w:pPr>
              <w:pStyle w:val="TableText"/>
              <w:jc w:val="left"/>
            </w:pPr>
            <w:r>
              <w:rPr>
                <w:b/>
                <w:bCs/>
              </w:rPr>
              <w:t xml:space="preserve">2. Knowledge and data</w:t>
            </w:r>
          </w:p>
        </w:tc>
        <w:tc>
          <w:tcPr>
            <w:tcW w:w="1732" w:type="dxa"/>
          </w:tcPr>
          <w:p>
            <w:pPr>
              <w:pStyle w:val="TableText"/>
              <w:jc w:val="left"/>
            </w:pPr>
            <w:r>
              <w:t xml:space="preserve">DataGuild</w:t>
            </w:r>
          </w:p>
        </w:tc>
        <w:tc>
          <w:tcPr>
            <w:tcW w:w="2080" w:type="dxa"/>
          </w:tcPr>
          <w:p>
            <w:pPr>
              <w:pStyle w:val="TableText"/>
              <w:jc w:val="left"/>
            </w:pPr>
            <w:r>
              <w:t xml:space="preserve">WildLedger (community data trusts)</w:t>
            </w:r>
          </w:p>
        </w:tc>
        <w:tc>
          <w:tcPr>
            <w:tcW w:w="3902" w:type="dxa"/>
          </w:tcPr>
          <w:p>
            <w:pPr>
              <w:pStyle w:val="TableText"/>
              <w:jc w:val="left"/>
            </w:pPr>
            <w:r>
              <w:t xml:space="preserve">Who owns knowledge and how it is licensed</w:t>
            </w:r>
          </w:p>
        </w:tc>
      </w:tr>
      <w:tr>
        <w:trPr>
          <w:cantSplit/>
        </w:trPr>
        <w:tc>
          <w:tcPr>
            <w:tcW w:w="1646" w:type="dxa"/>
          </w:tcPr>
          <w:p>
            <w:pPr>
              <w:pStyle w:val="TableText"/>
              <w:jc w:val="left"/>
            </w:pPr>
            <w:r>
              <w:rPr>
                <w:b/>
                <w:bCs/>
              </w:rPr>
              <w:t xml:space="preserve">3. Human capacity</w:t>
            </w:r>
          </w:p>
        </w:tc>
        <w:tc>
          <w:tcPr>
            <w:tcW w:w="1732" w:type="dxa"/>
          </w:tcPr>
          <w:p>
            <w:pPr>
              <w:pStyle w:val="TableText"/>
              <w:jc w:val="left"/>
            </w:pPr>
            <w:r>
              <w:t xml:space="preserve">Guildhall, KinGrid, Agora</w:t>
            </w:r>
          </w:p>
        </w:tc>
        <w:tc>
          <w:tcPr>
            <w:tcW w:w="2080" w:type="dxa"/>
          </w:tcPr>
          <w:p>
            <w:pPr>
              <w:pStyle w:val="TableText"/>
              <w:jc w:val="left"/>
            </w:pPr>
            <w:r>
              <w:t xml:space="preserve">RemoteHands, BuildBridge</w:t>
            </w:r>
          </w:p>
        </w:tc>
        <w:tc>
          <w:tcPr>
            <w:tcW w:w="3902" w:type="dxa"/>
          </w:tcPr>
          <w:p>
            <w:pPr>
              <w:pStyle w:val="TableText"/>
              <w:jc w:val="left"/>
            </w:pPr>
            <w:r>
              <w:t xml:space="preserve">Skills, care, connection, and fair work alongside machines</w:t>
            </w:r>
          </w:p>
        </w:tc>
      </w:tr>
      <w:tr>
        <w:trPr>
          <w:cantSplit/>
        </w:trPr>
        <w:tc>
          <w:tcPr>
            <w:tcW w:w="1646" w:type="dxa"/>
          </w:tcPr>
          <w:p>
            <w:pPr>
              <w:pStyle w:val="TableText"/>
              <w:jc w:val="left"/>
            </w:pPr>
            <w:r>
              <w:rPr>
                <w:b/>
                <w:bCs/>
              </w:rPr>
              <w:t xml:space="preserve">4. Physical capacity</w:t>
            </w:r>
          </w:p>
        </w:tc>
        <w:tc>
          <w:tcPr>
            <w:tcW w:w="1732" w:type="dxa"/>
          </w:tcPr>
          <w:p>
            <w:pPr>
              <w:pStyle w:val="TableText"/>
              <w:jc w:val="left"/>
            </w:pPr>
            <w:r>
              <w:t xml:space="preserve">Hearth, CommonFleet, FluxCommons</w:t>
            </w:r>
          </w:p>
        </w:tc>
        <w:tc>
          <w:tcPr>
            <w:tcW w:w="2080" w:type="dxa"/>
          </w:tcPr>
          <w:p>
            <w:pPr>
              <w:pStyle w:val="TableText"/>
              <w:jc w:val="left"/>
            </w:pPr>
            <w:r>
              <w:t xml:space="preserve">SecondCell, PartsGrid</w:t>
            </w:r>
          </w:p>
        </w:tc>
        <w:tc>
          <w:tcPr>
            <w:tcW w:w="3902" w:type="dxa"/>
          </w:tcPr>
          <w:p>
            <w:pPr>
              <w:pStyle w:val="TableText"/>
              <w:jc w:val="left"/>
            </w:pPr>
            <w:r>
              <w:t xml:space="preserve">Homes, vehicles, energy, storage, parts and repair</w:t>
            </w:r>
          </w:p>
        </w:tc>
      </w:tr>
      <w:tr>
        <w:trPr>
          <w:cantSplit/>
        </w:trPr>
        <w:tc>
          <w:tcPr>
            <w:tcW w:w="1646" w:type="dxa"/>
          </w:tcPr>
          <w:p>
            <w:pPr>
              <w:pStyle w:val="TableText"/>
              <w:jc w:val="left"/>
            </w:pPr>
            <w:r>
              <w:rPr>
                <w:b/>
                <w:bCs/>
              </w:rPr>
              <w:t xml:space="preserve">5. Planetary resilience</w:t>
            </w:r>
          </w:p>
        </w:tc>
        <w:tc>
          <w:tcPr>
            <w:tcW w:w="1732" w:type="dxa"/>
          </w:tcPr>
          <w:p>
            <w:pPr>
              <w:pStyle w:val="TableText"/>
              <w:jc w:val="left"/>
            </w:pPr>
            <w:r>
              <w:t xml:space="preserve">HarvestGrid, Bastion</w:t>
            </w:r>
          </w:p>
        </w:tc>
        <w:tc>
          <w:tcPr>
            <w:tcW w:w="2080" w:type="dxa"/>
          </w:tcPr>
          <w:p>
            <w:pPr>
              <w:pStyle w:val="TableText"/>
              <w:jc w:val="left"/>
            </w:pPr>
            <w:r>
              <w:t xml:space="preserve">CoolHaven, AquaGrid, SurgeNet, WildLedger</w:t>
            </w:r>
          </w:p>
        </w:tc>
        <w:tc>
          <w:tcPr>
            <w:tcW w:w="3902" w:type="dxa"/>
          </w:tcPr>
          <w:p>
            <w:pPr>
              <w:pStyle w:val="TableText"/>
              <w:jc w:val="left"/>
            </w:pPr>
            <w:r>
              <w:t xml:space="preserve">Food, water, heat, disaster and outbreak resilience; nature</w:t>
            </w:r>
          </w:p>
        </w:tc>
      </w:tr>
    </w:tbl>
    <w:bookmarkEnd w:id="73"/>
    <w:bookmarkStart w:id="74" w:name="backcasting-from-2050"/>
    <w:p>
      <w:pPr>
        <w:pStyle w:val="Heading2"/>
      </w:pPr>
      <w:r>
        <w:t xml:space="preserve">5.6 Backcasting from 2050</w:t>
      </w:r>
    </w:p>
    <w:tbl>
      <w:tblPr>
        <w:tblStyle w:val="Table"/>
        <w:tblW w:w="9360" w:type="dxa"/>
        <w:jc w:val="left"/>
        <w:tblLayout w:type="fixed"/>
        <w:tblLook w:firstRow="1" w:lastRow="0" w:firstColumn="0" w:lastColumn="0" w:noHBand="0" w:noVBand="0" w:val="0020"/>
      </w:tblPr>
      <w:tblGrid>
        <w:gridCol w:w="589"/>
        <w:gridCol w:w="8771"/>
      </w:tblGrid>
      <w:tr>
        <w:trPr>
          <w:cantSplit/>
          <w:tblHeader w:val="true"/>
        </w:trPr>
        <w:tc>
          <w:tcPr>
            <w:tcW w:w="589" w:type="dxa"/>
          </w:tcPr>
          <w:p>
            <w:pPr>
              <w:pStyle w:val="TableText"/>
              <w:jc w:val="left"/>
            </w:pPr>
            <w:r>
              <w:t xml:space="preserve">Year</w:t>
            </w:r>
          </w:p>
        </w:tc>
        <w:tc>
          <w:tcPr>
            <w:tcW w:w="8771" w:type="dxa"/>
          </w:tcPr>
          <w:p>
            <w:pPr>
              <w:pStyle w:val="TableText"/>
              <w:jc w:val="left"/>
            </w:pPr>
            <w:r>
              <w:t xml:space="preserve">Milestones</w:t>
            </w:r>
          </w:p>
        </w:tc>
      </w:tr>
      <w:tr>
        <w:trPr>
          <w:cantSplit/>
        </w:trPr>
        <w:tc>
          <w:tcPr>
            <w:tcW w:w="589" w:type="dxa"/>
          </w:tcPr>
          <w:p>
            <w:pPr>
              <w:pStyle w:val="TableText"/>
              <w:jc w:val="left"/>
            </w:pPr>
            <w:r>
              <w:rPr>
                <w:b/>
                <w:bCs/>
              </w:rPr>
              <w:t xml:space="preserve">2050</w:t>
            </w:r>
          </w:p>
        </w:tc>
        <w:tc>
          <w:tcPr>
            <w:tcW w:w="8771" w:type="dxa"/>
          </w:tcPr>
          <w:p>
            <w:pPr>
              <w:pStyle w:val="TableText"/>
              <w:jc w:val="left"/>
            </w:pPr>
            <w:r>
              <w:t xml:space="preserve">The twenty ventures operate as an interoperable Stewardship Stack serving hundreds of millions of people. Remote robot work is a recognized, fairly paid profession. Consumers’ agents bargain collectively under law. Communities are paid to steward nature. Heat deaths have fallen sharply in served cities. Families no longer lose their savings building at home.</w:t>
            </w:r>
          </w:p>
        </w:tc>
      </w:tr>
      <w:tr>
        <w:trPr>
          <w:cantSplit/>
        </w:trPr>
        <w:tc>
          <w:tcPr>
            <w:tcW w:w="589" w:type="dxa"/>
          </w:tcPr>
          <w:p>
            <w:pPr>
              <w:pStyle w:val="TableText"/>
              <w:jc w:val="left"/>
            </w:pPr>
            <w:r>
              <w:rPr>
                <w:b/>
                <w:bCs/>
              </w:rPr>
              <w:t xml:space="preserve">2040</w:t>
            </w:r>
          </w:p>
        </w:tc>
        <w:tc>
          <w:tcPr>
            <w:tcW w:w="8771" w:type="dxa"/>
          </w:tcPr>
          <w:p>
            <w:pPr>
              <w:pStyle w:val="TableText"/>
              <w:jc w:val="left"/>
            </w:pPr>
            <w:r>
              <w:t xml:space="preserve">Each mission has national-scale implementations in several countries. Battery passports and right-to-repair rules have made circular, local repair the norm. Verification records are accepted as evidence by courts and insurers.</w:t>
            </w:r>
          </w:p>
        </w:tc>
      </w:tr>
      <w:tr>
        <w:trPr>
          <w:cantSplit/>
        </w:trPr>
        <w:tc>
          <w:tcPr>
            <w:tcW w:w="589" w:type="dxa"/>
          </w:tcPr>
          <w:p>
            <w:pPr>
              <w:pStyle w:val="TableText"/>
              <w:jc w:val="left"/>
            </w:pPr>
            <w:r>
              <w:rPr>
                <w:b/>
                <w:bCs/>
              </w:rPr>
              <w:t xml:space="preserve">2035</w:t>
            </w:r>
          </w:p>
        </w:tc>
        <w:tc>
          <w:tcPr>
            <w:tcW w:w="8771" w:type="dxa"/>
          </w:tcPr>
          <w:p>
            <w:pPr>
              <w:pStyle w:val="TableText"/>
              <w:jc w:val="left"/>
            </w:pPr>
            <w:r>
              <w:t xml:space="preserve">Every Next Decagon venture operates beyond its pilot city. Governments contract for outcomes: refuge-hours, safe-water deliveries, surge readiness, verified stewardship.</w:t>
            </w:r>
          </w:p>
        </w:tc>
      </w:tr>
      <w:tr>
        <w:trPr>
          <w:cantSplit/>
        </w:trPr>
        <w:tc>
          <w:tcPr>
            <w:tcW w:w="589" w:type="dxa"/>
          </w:tcPr>
          <w:p>
            <w:pPr>
              <w:pStyle w:val="TableText"/>
              <w:jc w:val="left"/>
            </w:pPr>
            <w:r>
              <w:rPr>
                <w:b/>
                <w:bCs/>
              </w:rPr>
              <w:t xml:space="preserve">2030</w:t>
            </w:r>
          </w:p>
        </w:tc>
        <w:tc>
          <w:tcPr>
            <w:tcW w:w="8771" w:type="dxa"/>
          </w:tcPr>
          <w:p>
            <w:pPr>
              <w:pStyle w:val="TableText"/>
              <w:jc w:val="left"/>
            </w:pPr>
            <w:r>
              <w:t xml:space="preserve">Wave 1 and Wave 2 ventures proven in at least one market each; the first Wave 3 pilots running; shared verification and trust layers in use across both decagons.</w:t>
            </w:r>
          </w:p>
        </w:tc>
      </w:tr>
      <w:tr>
        <w:trPr>
          <w:cantSplit/>
        </w:trPr>
        <w:tc>
          <w:tcPr>
            <w:tcW w:w="589" w:type="dxa"/>
          </w:tcPr>
          <w:p>
            <w:pPr>
              <w:pStyle w:val="TableText"/>
              <w:jc w:val="left"/>
            </w:pPr>
            <w:r>
              <w:rPr>
                <w:b/>
                <w:bCs/>
              </w:rPr>
              <w:t xml:space="preserve">2027</w:t>
            </w:r>
          </w:p>
        </w:tc>
        <w:tc>
          <w:tcPr>
            <w:tcW w:w="8771" w:type="dxa"/>
          </w:tcPr>
          <w:p>
            <w:pPr>
              <w:pStyle w:val="TableText"/>
              <w:jc w:val="left"/>
            </w:pPr>
            <w:r>
              <w:t xml:space="preserve">A venture studio is formed; the Disruption Genome and the Double Decagon Index are published as open tools; the first four pilots launch.</w:t>
            </w:r>
          </w:p>
        </w:tc>
      </w:tr>
    </w:tbl>
    <w:bookmarkEnd w:id="74"/>
    <w:bookmarkStart w:id="75" w:name="what-could-break-the-framework"/>
    <w:p>
      <w:pPr>
        <w:pStyle w:val="Heading2"/>
      </w:pPr>
      <w:r>
        <w:t xml:space="preserve">5.7 What could break the framework</w:t>
      </w:r>
    </w:p>
    <w:p>
      <w:pPr>
        <w:pStyle w:val="FirstParagraph"/>
      </w:pPr>
      <w:r>
        <w:t xml:space="preserve">Every framework has blind spots. Four could undermine this one:</w:t>
      </w:r>
    </w:p>
    <w:p>
      <w:pPr>
        <w:pStyle w:val="Compact"/>
        <w:numPr>
          <w:ilvl w:val="0"/>
          <w:numId w:val="1060"/>
        </w:numPr>
      </w:pPr>
      <w:r>
        <w:rPr>
          <w:b/>
          <w:bCs/>
        </w:rPr>
        <w:t xml:space="preserve">A much faster AI transition than expected.</w:t>
      </w:r>
      <w:r>
        <w:t xml:space="preserve"> </w:t>
      </w:r>
      <w:r>
        <w:t xml:space="preserve">If AI agents and robots reach full autonomy quickly, ventures built on human-in-the-loop work (RemoteHands) shrink sooner.</w:t>
      </w:r>
      <w:r>
        <w:t xml:space="preserve"> </w:t>
      </w:r>
      <w:r>
        <w:rPr>
          <w:i/>
          <w:iCs/>
        </w:rPr>
        <w:t xml:space="preserve">Response:</w:t>
      </w:r>
      <w:r>
        <w:t xml:space="preserve"> </w:t>
      </w:r>
      <w:r>
        <w:t xml:space="preserve">the self-disruption test (F8) requires a plan for this.</w:t>
      </w:r>
    </w:p>
    <w:p>
      <w:pPr>
        <w:pStyle w:val="Compact"/>
        <w:numPr>
          <w:ilvl w:val="0"/>
          <w:numId w:val="1060"/>
        </w:numPr>
      </w:pPr>
      <w:r>
        <w:rPr>
          <w:b/>
          <w:bCs/>
        </w:rPr>
        <w:t xml:space="preserve">A collapse in public finance.</w:t>
      </w:r>
      <w:r>
        <w:t xml:space="preserve"> </w:t>
      </w:r>
      <w:r>
        <w:t xml:space="preserve">Many ventures rely on governments and development banks as third-party payers.</w:t>
      </w:r>
      <w:r>
        <w:t xml:space="preserve"> </w:t>
      </w:r>
      <w:r>
        <w:rPr>
          <w:i/>
          <w:iCs/>
        </w:rPr>
        <w:t xml:space="preserve">Response:</w:t>
      </w:r>
      <w:r>
        <w:t xml:space="preserve"> </w:t>
      </w:r>
      <w:r>
        <w:t xml:space="preserve">diversify payers, including insurers, companies with disclosure obligations and diaspora households.</w:t>
      </w:r>
    </w:p>
    <w:p>
      <w:pPr>
        <w:pStyle w:val="Compact"/>
        <w:numPr>
          <w:ilvl w:val="0"/>
          <w:numId w:val="1060"/>
        </w:numPr>
      </w:pPr>
      <w:r>
        <w:rPr>
          <w:b/>
          <w:bCs/>
        </w:rPr>
        <w:t xml:space="preserve">Authoritarian capture.</w:t>
      </w:r>
      <w:r>
        <w:t xml:space="preserve"> </w:t>
      </w:r>
      <w:r>
        <w:t xml:space="preserve">Verification, identity and data infrastructure could be repurposed for surveillance.</w:t>
      </w:r>
      <w:r>
        <w:t xml:space="preserve"> </w:t>
      </w:r>
      <w:r>
        <w:rPr>
          <w:i/>
          <w:iCs/>
        </w:rPr>
        <w:t xml:space="preserve">Response:</w:t>
      </w:r>
      <w:r>
        <w:t xml:space="preserve"> </w:t>
      </w:r>
      <w:r>
        <w:t xml:space="preserve">human-rights screening, data minimization, open protocols and independent governance are non-negotiable.</w:t>
      </w:r>
    </w:p>
    <w:p>
      <w:pPr>
        <w:pStyle w:val="Compact"/>
        <w:numPr>
          <w:ilvl w:val="0"/>
          <w:numId w:val="1060"/>
        </w:numPr>
      </w:pPr>
      <w:r>
        <w:rPr>
          <w:b/>
          <w:bCs/>
        </w:rPr>
        <w:t xml:space="preserve">Mission drift.</w:t>
      </w:r>
      <w:r>
        <w:t xml:space="preserve"> </w:t>
      </w:r>
      <w:r>
        <w:t xml:space="preserve">Commercial pressure can erode the conscience vertices, the</w:t>
      </w:r>
      <w:r>
        <w:t xml:space="preserve"> </w:t>
      </w:r>
      <w:r>
        <w:rPr>
          <w:i/>
          <w:iCs/>
        </w:rPr>
        <w:t xml:space="preserve">Eroding Goals</w:t>
      </w:r>
      <w:r>
        <w:t xml:space="preserve"> </w:t>
      </w:r>
      <w:r>
        <w:t xml:space="preserve">archetype.</w:t>
      </w:r>
      <w:r>
        <w:t xml:space="preserve"> </w:t>
      </w:r>
      <w:r>
        <w:rPr>
          <w:i/>
          <w:iCs/>
        </w:rPr>
        <w:t xml:space="preserve">Response:</w:t>
      </w:r>
      <w:r>
        <w:t xml:space="preserve"> </w:t>
      </w:r>
      <w:r>
        <w:t xml:space="preserve">steward-ownership, cooperative governance and public externality ledgers lock the mission in.</w:t>
      </w:r>
    </w:p>
    <w:bookmarkEnd w:id="75"/>
    <w:bookmarkStart w:id="76" w:name="X3a85c254271f7411b570234b9bbcb03cc1899dc"/>
    <w:p>
      <w:pPr>
        <w:pStyle w:val="Heading2"/>
      </w:pPr>
      <w:r>
        <w:t xml:space="preserve">5.8 Closing philosophy: move wisely and mend things</w:t>
      </w:r>
    </w:p>
    <w:p>
      <w:pPr>
        <w:pStyle w:val="FirstParagraph"/>
      </w:pPr>
      <w:r>
        <w:t xml:space="preserve">The first platform era proved that software could organize the physical world: cars, rooms, meals and errands. It also showed that organizing the world is not the same as caring for it. Uber and Airbnb made the latent visible; they did not ask who would bear the cost of that visibility.</w:t>
      </w:r>
    </w:p>
    <w:p>
      <w:pPr>
        <w:pStyle w:val="BodyText"/>
      </w:pPr>
      <w:r>
        <w:t xml:space="preserve">The next era will be stranger. AI agents will shop for us, robots will work beside us, the climate will test every system we have built, and the line between real and synthetic will blur. In that world, the scarce things will not be apps or algorithms. They will be</w:t>
      </w:r>
      <w:r>
        <w:t xml:space="preserve"> </w:t>
      </w:r>
      <w:r>
        <w:rPr>
          <w:b/>
          <w:bCs/>
        </w:rPr>
        <w:t xml:space="preserve">trust that can be verified, ownership that aligns people, legitimacy that has been earned, and care that reaches those who need it most.</w:t>
      </w:r>
    </w:p>
    <w:p>
      <w:pPr>
        <w:pStyle w:val="BodyText"/>
      </w:pPr>
      <w:r>
        <w:t xml:space="preserve">Ten commitments for builders of the next decagon:</w:t>
      </w:r>
    </w:p>
    <w:p>
      <w:pPr>
        <w:pStyle w:val="Compact"/>
        <w:numPr>
          <w:ilvl w:val="0"/>
          <w:numId w:val="1061"/>
        </w:numPr>
      </w:pPr>
      <w:r>
        <w:rPr>
          <w:b/>
          <w:bCs/>
        </w:rPr>
        <w:t xml:space="preserve">Find the problem before the technology.</w:t>
      </w:r>
      <w:r>
        <w:t xml:space="preserve"> </w:t>
      </w:r>
      <w:r>
        <w:t xml:space="preserve">Start from the Future Problem Atlas, not from the latest tool.</w:t>
      </w:r>
    </w:p>
    <w:p>
      <w:pPr>
        <w:pStyle w:val="Compact"/>
        <w:numPr>
          <w:ilvl w:val="0"/>
          <w:numId w:val="1061"/>
        </w:numPr>
      </w:pPr>
      <w:r>
        <w:rPr>
          <w:b/>
          <w:bCs/>
        </w:rPr>
        <w:t xml:space="preserve">Make the latent visible, and ask who pays for the visibility.</w:t>
      </w:r>
    </w:p>
    <w:p>
      <w:pPr>
        <w:pStyle w:val="Compact"/>
        <w:numPr>
          <w:ilvl w:val="0"/>
          <w:numId w:val="1061"/>
        </w:numPr>
      </w:pPr>
      <w:r>
        <w:rPr>
          <w:b/>
          <w:bCs/>
        </w:rPr>
        <w:t xml:space="preserve">Build trust that can be verified, not just rated.</w:t>
      </w:r>
    </w:p>
    <w:p>
      <w:pPr>
        <w:pStyle w:val="Compact"/>
        <w:numPr>
          <w:ilvl w:val="0"/>
          <w:numId w:val="1061"/>
        </w:numPr>
      </w:pPr>
      <w:r>
        <w:rPr>
          <w:b/>
          <w:bCs/>
        </w:rPr>
        <w:t xml:space="preserve">Let the people who do the work own part of what they build.</w:t>
      </w:r>
    </w:p>
    <w:p>
      <w:pPr>
        <w:pStyle w:val="Compact"/>
        <w:numPr>
          <w:ilvl w:val="0"/>
          <w:numId w:val="1061"/>
        </w:numPr>
      </w:pPr>
      <w:r>
        <w:rPr>
          <w:b/>
          <w:bCs/>
        </w:rPr>
        <w:t xml:space="preserve">Design for agents and robots, but protect the humans behind them.</w:t>
      </w:r>
    </w:p>
    <w:p>
      <w:pPr>
        <w:pStyle w:val="Compact"/>
        <w:numPr>
          <w:ilvl w:val="0"/>
          <w:numId w:val="1061"/>
        </w:numPr>
      </w:pPr>
      <w:r>
        <w:rPr>
          <w:b/>
          <w:bCs/>
        </w:rPr>
        <w:t xml:space="preserve">Stay inside the doughnut:</w:t>
      </w:r>
      <w:r>
        <w:t xml:space="preserve"> </w:t>
      </w:r>
      <w:r>
        <w:t xml:space="preserve">above the social foundation, below the ecological ceiling.</w:t>
      </w:r>
    </w:p>
    <w:p>
      <w:pPr>
        <w:pStyle w:val="Compact"/>
        <w:numPr>
          <w:ilvl w:val="0"/>
          <w:numId w:val="1061"/>
        </w:numPr>
      </w:pPr>
      <w:r>
        <w:rPr>
          <w:b/>
          <w:bCs/>
        </w:rPr>
        <w:t xml:space="preserve">Work with the state and the community, not around them.</w:t>
      </w:r>
    </w:p>
    <w:p>
      <w:pPr>
        <w:pStyle w:val="Compact"/>
        <w:numPr>
          <w:ilvl w:val="0"/>
          <w:numId w:val="1061"/>
        </w:numPr>
      </w:pPr>
      <w:r>
        <w:rPr>
          <w:b/>
          <w:bCs/>
        </w:rPr>
        <w:t xml:space="preserve">Plan for your own disruption.</w:t>
      </w:r>
    </w:p>
    <w:p>
      <w:pPr>
        <w:pStyle w:val="Compact"/>
        <w:numPr>
          <w:ilvl w:val="0"/>
          <w:numId w:val="1061"/>
        </w:numPr>
      </w:pPr>
      <w:r>
        <w:rPr>
          <w:b/>
          <w:bCs/>
        </w:rPr>
        <w:t xml:space="preserve">Measure what matters:</w:t>
      </w:r>
      <w:r>
        <w:t xml:space="preserve"> </w:t>
      </w:r>
      <w:r>
        <w:t xml:space="preserve">lives protected, homes finished, water made safe, nature restored.</w:t>
      </w:r>
    </w:p>
    <w:p>
      <w:pPr>
        <w:pStyle w:val="Compact"/>
        <w:numPr>
          <w:ilvl w:val="0"/>
          <w:numId w:val="1061"/>
        </w:numPr>
      </w:pPr>
      <w:r>
        <w:rPr>
          <w:b/>
          <w:bCs/>
        </w:rPr>
        <w:t xml:space="preserve">Be a good ancestor.</w:t>
      </w:r>
    </w:p>
    <w:p>
      <w:pPr>
        <w:pStyle w:val="BlockText"/>
      </w:pPr>
      <w:r>
        <w:t xml:space="preserve">The first platforms asked:</w:t>
      </w:r>
      <w:r>
        <w:t xml:space="preserve"> </w:t>
      </w:r>
      <w:r>
        <w:rPr>
          <w:i/>
          <w:iCs/>
        </w:rPr>
        <w:t xml:space="preserve">what is idle, and how can we sell access to it?</w:t>
      </w:r>
      <w:r>
        <w:t xml:space="preserve"> </w:t>
      </w:r>
      <w:r>
        <w:t xml:space="preserve">The next generation must ask:</w:t>
      </w:r>
      <w:r>
        <w:t xml:space="preserve"> </w:t>
      </w:r>
      <w:r>
        <w:rPr>
          <w:i/>
          <w:iCs/>
        </w:rPr>
        <w:t xml:space="preserve">what is fragile, and how can we mend it together?</w:t>
      </w:r>
    </w:p>
    <w:bookmarkEnd w:id="76"/>
    <w:bookmarkEnd w:id="77"/>
    <w:bookmarkStart w:id="95" w:name="appendices"/>
    <w:p>
      <w:pPr>
        <w:pStyle w:val="Heading1"/>
      </w:pPr>
      <w:r>
        <w:t xml:space="preserve">Appendices</w:t>
      </w:r>
    </w:p>
    <w:bookmarkStart w:id="78" w:name="Xb543d9a6ab552ea05523e70eb590fb9a5cff260"/>
    <w:p>
      <w:pPr>
        <w:pStyle w:val="Heading2"/>
      </w:pPr>
      <w:r>
        <w:t xml:space="preserve">Appendix A: The Disruption Genome worksheet</w:t>
      </w:r>
    </w:p>
    <w:tbl>
      <w:tblPr>
        <w:tblStyle w:val="Table"/>
        <w:tblW w:w="9360" w:type="dxa"/>
        <w:jc w:val="left"/>
        <w:tblLayout w:type="fixed"/>
        <w:tblLook w:firstRow="1" w:lastRow="0" w:firstColumn="0" w:lastColumn="0" w:noHBand="0" w:noVBand="0" w:val="0020"/>
      </w:tblPr>
      <w:tblGrid>
        <w:gridCol w:w="1287"/>
        <w:gridCol w:w="7214"/>
        <w:gridCol w:w="859"/>
      </w:tblGrid>
      <w:tr>
        <w:trPr>
          <w:cantSplit/>
          <w:tblHeader w:val="true"/>
        </w:trPr>
        <w:tc>
          <w:tcPr>
            <w:tcW w:w="1287" w:type="dxa"/>
          </w:tcPr>
          <w:p>
            <w:pPr>
              <w:pStyle w:val="TableText"/>
              <w:jc w:val="left"/>
            </w:pPr>
            <w:r>
              <w:t xml:space="preserve">Gene</w:t>
            </w:r>
          </w:p>
        </w:tc>
        <w:tc>
          <w:tcPr>
            <w:tcW w:w="7214" w:type="dxa"/>
          </w:tcPr>
          <w:p>
            <w:pPr>
              <w:pStyle w:val="TableText"/>
              <w:jc w:val="left"/>
            </w:pPr>
            <w:r>
              <w:t xml:space="preserve">Prompt</w:t>
            </w:r>
          </w:p>
        </w:tc>
        <w:tc>
          <w:tcPr>
            <w:tcW w:w="859" w:type="dxa"/>
          </w:tcPr>
          <w:p>
            <w:pPr>
              <w:pStyle w:val="TableText"/>
              <w:jc w:val="left"/>
            </w:pPr>
            <w:r>
              <w:t xml:space="preserve">Your answer</w:t>
            </w:r>
          </w:p>
        </w:tc>
      </w:tr>
      <w:tr>
        <w:trPr>
          <w:cantSplit/>
        </w:trPr>
        <w:tc>
          <w:tcPr>
            <w:tcW w:w="1287" w:type="dxa"/>
          </w:tcPr>
          <w:p>
            <w:pPr>
              <w:pStyle w:val="TableText"/>
              <w:jc w:val="left"/>
            </w:pPr>
            <w:r>
              <w:rPr>
                <w:b/>
                <w:bCs/>
              </w:rPr>
              <w:t xml:space="preserve">G1 Problem domain</w:t>
            </w:r>
          </w:p>
        </w:tc>
        <w:tc>
          <w:tcPr>
            <w:tcW w:w="7214" w:type="dxa"/>
          </w:tcPr>
          <w:p>
            <w:pPr>
              <w:pStyle w:val="TableText"/>
              <w:jc w:val="left"/>
            </w:pPr>
            <w:r>
              <w:t xml:space="preserve">Which emerging problem from the Atlas (D1–D10)? Describe it at four depths: litany, systemic causes, worldview, metaphor.</w:t>
            </w:r>
          </w:p>
        </w:tc>
        <w:tc>
          <w:tcPr>
            <w:tcW w:w="859" w:type="dxa"/>
          </w:tcPr>
          <w:p>
            <w:pPr>
              <w:pStyle w:val="TableText"/>
            </w:pPr>
          </w:p>
        </w:tc>
      </w:tr>
      <w:tr>
        <w:trPr>
          <w:cantSplit/>
        </w:trPr>
        <w:tc>
          <w:tcPr>
            <w:tcW w:w="1287" w:type="dxa"/>
          </w:tcPr>
          <w:p>
            <w:pPr>
              <w:pStyle w:val="TableText"/>
              <w:jc w:val="left"/>
            </w:pPr>
            <w:r>
              <w:rPr>
                <w:b/>
                <w:bCs/>
              </w:rPr>
              <w:t xml:space="preserve">G2 Latent capacity</w:t>
            </w:r>
          </w:p>
        </w:tc>
        <w:tc>
          <w:tcPr>
            <w:tcW w:w="7214" w:type="dxa"/>
          </w:tcPr>
          <w:p>
            <w:pPr>
              <w:pStyle w:val="TableText"/>
              <w:jc w:val="left"/>
            </w:pPr>
            <w:r>
              <w:t xml:space="preserve">List at least five idle or untrusted capacities (L1–L13) that could address it.</w:t>
            </w:r>
          </w:p>
        </w:tc>
        <w:tc>
          <w:tcPr>
            <w:tcW w:w="859" w:type="dxa"/>
          </w:tcPr>
          <w:p>
            <w:pPr>
              <w:pStyle w:val="TableText"/>
            </w:pPr>
          </w:p>
        </w:tc>
      </w:tr>
      <w:tr>
        <w:trPr>
          <w:cantSplit/>
        </w:trPr>
        <w:tc>
          <w:tcPr>
            <w:tcW w:w="1287" w:type="dxa"/>
          </w:tcPr>
          <w:p>
            <w:pPr>
              <w:pStyle w:val="TableText"/>
              <w:jc w:val="left"/>
            </w:pPr>
            <w:r>
              <w:rPr>
                <w:b/>
                <w:bCs/>
              </w:rPr>
              <w:t xml:space="preserve">G3 Archetype</w:t>
            </w:r>
          </w:p>
        </w:tc>
        <w:tc>
          <w:tcPr>
            <w:tcW w:w="7214" w:type="dxa"/>
          </w:tcPr>
          <w:p>
            <w:pPr>
              <w:pStyle w:val="TableText"/>
              <w:jc w:val="left"/>
            </w:pPr>
            <w:r>
              <w:t xml:space="preserve">For each capacity, which archetypes (A1–A10) could unlock it?</w:t>
            </w:r>
          </w:p>
        </w:tc>
        <w:tc>
          <w:tcPr>
            <w:tcW w:w="859" w:type="dxa"/>
          </w:tcPr>
          <w:p>
            <w:pPr>
              <w:pStyle w:val="TableText"/>
            </w:pPr>
          </w:p>
        </w:tc>
      </w:tr>
      <w:tr>
        <w:trPr>
          <w:cantSplit/>
        </w:trPr>
        <w:tc>
          <w:tcPr>
            <w:tcW w:w="1287" w:type="dxa"/>
          </w:tcPr>
          <w:p>
            <w:pPr>
              <w:pStyle w:val="TableText"/>
              <w:jc w:val="left"/>
            </w:pPr>
            <w:r>
              <w:rPr>
                <w:b/>
                <w:bCs/>
              </w:rPr>
              <w:t xml:space="preserve">G4 Technology wave</w:t>
            </w:r>
          </w:p>
        </w:tc>
        <w:tc>
          <w:tcPr>
            <w:tcW w:w="7214" w:type="dxa"/>
          </w:tcPr>
          <w:p>
            <w:pPr>
              <w:pStyle w:val="TableText"/>
              <w:jc w:val="left"/>
            </w:pPr>
            <w:r>
              <w:t xml:space="preserve">Which waves (T-a to T-j) make each candidate newly feasible? Drop any that no new wave enables.</w:t>
            </w:r>
          </w:p>
        </w:tc>
        <w:tc>
          <w:tcPr>
            <w:tcW w:w="859" w:type="dxa"/>
          </w:tcPr>
          <w:p>
            <w:pPr>
              <w:pStyle w:val="TableText"/>
            </w:pPr>
          </w:p>
        </w:tc>
      </w:tr>
      <w:tr>
        <w:trPr>
          <w:cantSplit/>
        </w:trPr>
        <w:tc>
          <w:tcPr>
            <w:tcW w:w="1287" w:type="dxa"/>
          </w:tcPr>
          <w:p>
            <w:pPr>
              <w:pStyle w:val="TableText"/>
              <w:jc w:val="left"/>
            </w:pPr>
            <w:r>
              <w:rPr>
                <w:b/>
                <w:bCs/>
              </w:rPr>
              <w:t xml:space="preserve">G5 Governance</w:t>
            </w:r>
          </w:p>
        </w:tc>
        <w:tc>
          <w:tcPr>
            <w:tcW w:w="7214" w:type="dxa"/>
          </w:tcPr>
          <w:p>
            <w:pPr>
              <w:pStyle w:val="TableText"/>
              <w:jc w:val="left"/>
            </w:pPr>
            <w:r>
              <w:t xml:space="preserve">Which ownership and governance form passes the veil-of-ignorance test?</w:t>
            </w:r>
          </w:p>
        </w:tc>
        <w:tc>
          <w:tcPr>
            <w:tcW w:w="859" w:type="dxa"/>
          </w:tcPr>
          <w:p>
            <w:pPr>
              <w:pStyle w:val="TableText"/>
            </w:pPr>
          </w:p>
        </w:tc>
      </w:tr>
      <w:tr>
        <w:trPr>
          <w:cantSplit/>
        </w:trPr>
        <w:tc>
          <w:tcPr>
            <w:tcW w:w="1287" w:type="dxa"/>
          </w:tcPr>
          <w:p>
            <w:pPr>
              <w:pStyle w:val="TableText"/>
              <w:jc w:val="left"/>
            </w:pPr>
            <w:r>
              <w:rPr>
                <w:b/>
                <w:bCs/>
              </w:rPr>
              <w:t xml:space="preserve">G6 Foothold</w:t>
            </w:r>
          </w:p>
        </w:tc>
        <w:tc>
          <w:tcPr>
            <w:tcW w:w="7214" w:type="dxa"/>
          </w:tcPr>
          <w:p>
            <w:pPr>
              <w:pStyle w:val="TableText"/>
              <w:jc w:val="left"/>
            </w:pPr>
            <w:r>
              <w:t xml:space="preserve">Which foothold will incumbents ignore: non-consumption, low-end, new-market, regulatory window, crisis window or Global South leapfrog?</w:t>
            </w:r>
          </w:p>
        </w:tc>
        <w:tc>
          <w:tcPr>
            <w:tcW w:w="859" w:type="dxa"/>
          </w:tcPr>
          <w:p>
            <w:pPr>
              <w:pStyle w:val="TableText"/>
            </w:pPr>
          </w:p>
        </w:tc>
      </w:tr>
      <w:tr>
        <w:trPr>
          <w:cantSplit/>
        </w:trPr>
        <w:tc>
          <w:tcPr>
            <w:tcW w:w="1287" w:type="dxa"/>
          </w:tcPr>
          <w:p>
            <w:pPr>
              <w:pStyle w:val="TableText"/>
              <w:jc w:val="left"/>
            </w:pPr>
            <w:r>
              <w:rPr>
                <w:b/>
                <w:bCs/>
              </w:rPr>
              <w:t xml:space="preserve">Genome code</w:t>
            </w:r>
          </w:p>
        </w:tc>
        <w:tc>
          <w:tcPr>
            <w:tcW w:w="7214" w:type="dxa"/>
          </w:tcPr>
          <w:p>
            <w:pPr>
              <w:pStyle w:val="TableText"/>
              <w:jc w:val="left"/>
            </w:pPr>
            <w:r>
              <w:t xml:space="preserve">Write the one-line code (problem · capacity · archetype · technology · governance · foothold).</w:t>
            </w:r>
          </w:p>
        </w:tc>
        <w:tc>
          <w:tcPr>
            <w:tcW w:w="859" w:type="dxa"/>
          </w:tcPr>
          <w:p>
            <w:pPr>
              <w:pStyle w:val="TableText"/>
            </w:pPr>
          </w:p>
        </w:tc>
      </w:tr>
      <w:tr>
        <w:trPr>
          <w:cantSplit/>
        </w:trPr>
        <w:tc>
          <w:tcPr>
            <w:tcW w:w="1287" w:type="dxa"/>
          </w:tcPr>
          <w:p>
            <w:pPr>
              <w:pStyle w:val="TableText"/>
              <w:jc w:val="left"/>
            </w:pPr>
            <w:r>
              <w:rPr>
                <w:b/>
                <w:bCs/>
              </w:rPr>
              <w:t xml:space="preserve">Fit test</w:t>
            </w:r>
          </w:p>
        </w:tc>
        <w:tc>
          <w:tcPr>
            <w:tcW w:w="7214" w:type="dxa"/>
          </w:tcPr>
          <w:p>
            <w:pPr>
              <w:pStyle w:val="TableText"/>
              <w:jc w:val="left"/>
            </w:pPr>
            <w:r>
              <w:t xml:space="preserve">How many of the ten fit-test questions (Volume I, Part VI) are answered</w:t>
            </w:r>
            <w:r>
              <w:t xml:space="preserve"> </w:t>
            </w:r>
            <w:r>
              <w:t xml:space="preserve">“</w:t>
            </w:r>
            <w:r>
              <w:t xml:space="preserve">yes</w:t>
            </w:r>
            <w:r>
              <w:t xml:space="preserve">”</w:t>
            </w:r>
            <w:r>
              <w:t xml:space="preserve">?</w:t>
            </w:r>
          </w:p>
        </w:tc>
        <w:tc>
          <w:tcPr>
            <w:tcW w:w="859" w:type="dxa"/>
          </w:tcPr>
          <w:p>
            <w:pPr>
              <w:pStyle w:val="TableText"/>
            </w:pPr>
          </w:p>
        </w:tc>
      </w:tr>
      <w:tr>
        <w:trPr>
          <w:cantSplit/>
        </w:trPr>
        <w:tc>
          <w:tcPr>
            <w:tcW w:w="1287" w:type="dxa"/>
          </w:tcPr>
          <w:p>
            <w:pPr>
              <w:pStyle w:val="TableText"/>
              <w:jc w:val="left"/>
            </w:pPr>
            <w:r>
              <w:rPr>
                <w:b/>
                <w:bCs/>
              </w:rPr>
              <w:t xml:space="preserve">Double Decagon</w:t>
            </w:r>
          </w:p>
        </w:tc>
        <w:tc>
          <w:tcPr>
            <w:tcW w:w="7214" w:type="dxa"/>
          </w:tcPr>
          <w:p>
            <w:pPr>
              <w:pStyle w:val="TableText"/>
              <w:jc w:val="left"/>
            </w:pPr>
            <w:r>
              <w:t xml:space="preserve">Inner (/50) + Future-Fitness (/50) = Index (/100). Band?</w:t>
            </w:r>
          </w:p>
        </w:tc>
        <w:tc>
          <w:tcPr>
            <w:tcW w:w="859" w:type="dxa"/>
          </w:tcPr>
          <w:p>
            <w:pPr>
              <w:pStyle w:val="TableText"/>
            </w:pPr>
          </w:p>
        </w:tc>
      </w:tr>
    </w:tbl>
    <w:bookmarkEnd w:id="78"/>
    <w:bookmarkStart w:id="79" w:name="appendix-b-the-future-fitness-rubric"/>
    <w:p>
      <w:pPr>
        <w:pStyle w:val="Heading2"/>
      </w:pPr>
      <w:r>
        <w:t xml:space="preserve">Appendix B: The Future-Fitness rubric</w:t>
      </w:r>
    </w:p>
    <w:p>
      <w:pPr>
        <w:pStyle w:val="FirstParagraph"/>
      </w:pPr>
      <w:r>
        <w:t xml:space="preserve">Score each test 0–5. Anchors are given for 0, 1, 3 and 5; use 2 and 4 for intermediate cases.</w:t>
      </w:r>
    </w:p>
    <w:tbl>
      <w:tblPr>
        <w:tblStyle w:val="Table"/>
        <w:tblW w:w="9360" w:type="dxa"/>
        <w:jc w:val="left"/>
        <w:tblLayout w:type="fixed"/>
        <w:tblLook w:firstRow="1" w:lastRow="0" w:firstColumn="0" w:lastColumn="0" w:noHBand="0" w:noVBand="0" w:val="0020"/>
      </w:tblPr>
      <w:tblGrid>
        <w:gridCol w:w="1604"/>
        <w:gridCol w:w="1782"/>
        <w:gridCol w:w="1604"/>
        <w:gridCol w:w="2139"/>
        <w:gridCol w:w="2231"/>
      </w:tblGrid>
      <w:tr>
        <w:trPr>
          <w:cantSplit/>
          <w:tblHeader w:val="true"/>
        </w:trPr>
        <w:tc>
          <w:tcPr>
            <w:tcW w:w="1604" w:type="dxa"/>
          </w:tcPr>
          <w:p>
            <w:pPr>
              <w:pStyle w:val="TableText"/>
              <w:jc w:val="left"/>
            </w:pPr>
            <w:r>
              <w:t xml:space="preserve">Test</w:t>
            </w:r>
          </w:p>
        </w:tc>
        <w:tc>
          <w:tcPr>
            <w:tcW w:w="1782" w:type="dxa"/>
          </w:tcPr>
          <w:p>
            <w:pPr>
              <w:pStyle w:val="TableText"/>
              <w:jc w:val="left"/>
            </w:pPr>
            <w:r>
              <w:t xml:space="preserve">0</w:t>
            </w:r>
          </w:p>
        </w:tc>
        <w:tc>
          <w:tcPr>
            <w:tcW w:w="1604" w:type="dxa"/>
          </w:tcPr>
          <w:p>
            <w:pPr>
              <w:pStyle w:val="TableText"/>
              <w:jc w:val="left"/>
            </w:pPr>
            <w:r>
              <w:t xml:space="preserve">1</w:t>
            </w:r>
          </w:p>
        </w:tc>
        <w:tc>
          <w:tcPr>
            <w:tcW w:w="2139" w:type="dxa"/>
          </w:tcPr>
          <w:p>
            <w:pPr>
              <w:pStyle w:val="TableText"/>
              <w:jc w:val="left"/>
            </w:pPr>
            <w:r>
              <w:t xml:space="preserve">3</w:t>
            </w:r>
          </w:p>
        </w:tc>
        <w:tc>
          <w:tcPr>
            <w:tcW w:w="2231" w:type="dxa"/>
          </w:tcPr>
          <w:p>
            <w:pPr>
              <w:pStyle w:val="TableText"/>
              <w:jc w:val="left"/>
            </w:pPr>
            <w:r>
              <w:t xml:space="preserve">5</w:t>
            </w:r>
          </w:p>
        </w:tc>
      </w:tr>
      <w:tr>
        <w:trPr>
          <w:cantSplit/>
        </w:trPr>
        <w:tc>
          <w:tcPr>
            <w:tcW w:w="1604" w:type="dxa"/>
          </w:tcPr>
          <w:p>
            <w:pPr>
              <w:pStyle w:val="TableText"/>
              <w:jc w:val="left"/>
            </w:pPr>
            <w:r>
              <w:rPr>
                <w:b/>
                <w:bCs/>
              </w:rPr>
              <w:t xml:space="preserve">F1 Agent</w:t>
            </w:r>
          </w:p>
        </w:tc>
        <w:tc>
          <w:tcPr>
            <w:tcW w:w="1782" w:type="dxa"/>
          </w:tcPr>
          <w:p>
            <w:pPr>
              <w:pStyle w:val="TableText"/>
              <w:jc w:val="left"/>
            </w:pPr>
            <w:r>
              <w:t xml:space="preserve">Unusable by AI agents; value disappears if agents mediate demand</w:t>
            </w:r>
          </w:p>
        </w:tc>
        <w:tc>
          <w:tcPr>
            <w:tcW w:w="1604" w:type="dxa"/>
          </w:tcPr>
          <w:p>
            <w:pPr>
              <w:pStyle w:val="TableText"/>
              <w:jc w:val="left"/>
            </w:pPr>
            <w:r>
              <w:t xml:space="preserve">Agents can use it only by scraping</w:t>
            </w:r>
          </w:p>
        </w:tc>
        <w:tc>
          <w:tcPr>
            <w:tcW w:w="2139" w:type="dxa"/>
          </w:tcPr>
          <w:p>
            <w:pPr>
              <w:pStyle w:val="TableText"/>
              <w:jc w:val="left"/>
            </w:pPr>
            <w:r>
              <w:t xml:space="preserve">Machine-readable interfaces; some unique value agents must come to</w:t>
            </w:r>
          </w:p>
        </w:tc>
        <w:tc>
          <w:tcPr>
            <w:tcW w:w="2231" w:type="dxa"/>
          </w:tcPr>
          <w:p>
            <w:pPr>
              <w:pStyle w:val="TableText"/>
              <w:jc w:val="left"/>
            </w:pPr>
            <w:r>
              <w:t xml:space="preserve">Agent-native, with verified trust agents depend on</w:t>
            </w:r>
          </w:p>
        </w:tc>
      </w:tr>
      <w:tr>
        <w:trPr>
          <w:cantSplit/>
        </w:trPr>
        <w:tc>
          <w:tcPr>
            <w:tcW w:w="1604" w:type="dxa"/>
          </w:tcPr>
          <w:p>
            <w:pPr>
              <w:pStyle w:val="TableText"/>
              <w:jc w:val="left"/>
            </w:pPr>
            <w:r>
              <w:rPr>
                <w:b/>
                <w:bCs/>
              </w:rPr>
              <w:t xml:space="preserve">F2 Robot</w:t>
            </w:r>
          </w:p>
        </w:tc>
        <w:tc>
          <w:tcPr>
            <w:tcW w:w="1782" w:type="dxa"/>
          </w:tcPr>
          <w:p>
            <w:pPr>
              <w:pStyle w:val="TableText"/>
              <w:jc w:val="left"/>
            </w:pPr>
            <w:r>
              <w:t xml:space="preserve">Destroyed if supply is automated</w:t>
            </w:r>
          </w:p>
        </w:tc>
        <w:tc>
          <w:tcPr>
            <w:tcW w:w="1604" w:type="dxa"/>
          </w:tcPr>
          <w:p>
            <w:pPr>
              <w:pStyle w:val="TableText"/>
              <w:jc w:val="left"/>
            </w:pPr>
            <w:r>
              <w:t xml:space="preserve">Severely weakened by automation</w:t>
            </w:r>
          </w:p>
        </w:tc>
        <w:tc>
          <w:tcPr>
            <w:tcW w:w="2139" w:type="dxa"/>
          </w:tcPr>
          <w:p>
            <w:pPr>
              <w:pStyle w:val="TableText"/>
              <w:jc w:val="left"/>
            </w:pPr>
            <w:r>
              <w:t xml:space="preserve">Survives automation with significant change</w:t>
            </w:r>
          </w:p>
        </w:tc>
        <w:tc>
          <w:tcPr>
            <w:tcW w:w="2231" w:type="dxa"/>
          </w:tcPr>
          <w:p>
            <w:pPr>
              <w:pStyle w:val="TableText"/>
              <w:jc w:val="left"/>
            </w:pPr>
            <w:r>
              <w:t xml:space="preserve">Benefits from automation, with a plan for the people affected</w:t>
            </w:r>
          </w:p>
        </w:tc>
      </w:tr>
      <w:tr>
        <w:trPr>
          <w:cantSplit/>
        </w:trPr>
        <w:tc>
          <w:tcPr>
            <w:tcW w:w="1604" w:type="dxa"/>
          </w:tcPr>
          <w:p>
            <w:pPr>
              <w:pStyle w:val="TableText"/>
              <w:jc w:val="left"/>
            </w:pPr>
            <w:r>
              <w:rPr>
                <w:b/>
                <w:bCs/>
              </w:rPr>
              <w:t xml:space="preserve">F3 Climate</w:t>
            </w:r>
          </w:p>
        </w:tc>
        <w:tc>
          <w:tcPr>
            <w:tcW w:w="1782" w:type="dxa"/>
          </w:tcPr>
          <w:p>
            <w:pPr>
              <w:pStyle w:val="TableText"/>
              <w:jc w:val="left"/>
            </w:pPr>
            <w:r>
              <w:t xml:space="preserve">Fails in heat, flood or drought and increases emissions</w:t>
            </w:r>
          </w:p>
        </w:tc>
        <w:tc>
          <w:tcPr>
            <w:tcW w:w="1604" w:type="dxa"/>
          </w:tcPr>
          <w:p>
            <w:pPr>
              <w:pStyle w:val="TableText"/>
              <w:jc w:val="left"/>
            </w:pPr>
            <w:r>
              <w:t xml:space="preserve">Vulnerable; neutral on emissions</w:t>
            </w:r>
          </w:p>
        </w:tc>
        <w:tc>
          <w:tcPr>
            <w:tcW w:w="2139" w:type="dxa"/>
          </w:tcPr>
          <w:p>
            <w:pPr>
              <w:pStyle w:val="TableText"/>
              <w:jc w:val="left"/>
            </w:pPr>
            <w:r>
              <w:t xml:space="preserve">Resilient to most climate shocks; reduces some risk</w:t>
            </w:r>
          </w:p>
        </w:tc>
        <w:tc>
          <w:tcPr>
            <w:tcW w:w="2231" w:type="dxa"/>
          </w:tcPr>
          <w:p>
            <w:pPr>
              <w:pStyle w:val="TableText"/>
              <w:jc w:val="left"/>
            </w:pPr>
            <w:r>
              <w:t xml:space="preserve">Demand grows with adaptation needs; measurably reduces climate risk</w:t>
            </w:r>
          </w:p>
        </w:tc>
      </w:tr>
      <w:tr>
        <w:trPr>
          <w:cantSplit/>
        </w:trPr>
        <w:tc>
          <w:tcPr>
            <w:tcW w:w="1604" w:type="dxa"/>
          </w:tcPr>
          <w:p>
            <w:pPr>
              <w:pStyle w:val="TableText"/>
              <w:jc w:val="left"/>
            </w:pPr>
            <w:r>
              <w:rPr>
                <w:b/>
                <w:bCs/>
              </w:rPr>
              <w:t xml:space="preserve">F4 Pre-embedding</w:t>
            </w:r>
          </w:p>
        </w:tc>
        <w:tc>
          <w:tcPr>
            <w:tcW w:w="1782" w:type="dxa"/>
          </w:tcPr>
          <w:p>
            <w:pPr>
              <w:pStyle w:val="TableText"/>
              <w:jc w:val="left"/>
            </w:pPr>
            <w:r>
              <w:t xml:space="preserve">Depends on avoiding protections society will demand</w:t>
            </w:r>
          </w:p>
        </w:tc>
        <w:tc>
          <w:tcPr>
            <w:tcW w:w="1604" w:type="dxa"/>
          </w:tcPr>
          <w:p>
            <w:pPr>
              <w:pStyle w:val="TableText"/>
              <w:jc w:val="left"/>
            </w:pPr>
            <w:r>
              <w:t xml:space="preserve">Protections only where forced</w:t>
            </w:r>
          </w:p>
        </w:tc>
        <w:tc>
          <w:tcPr>
            <w:tcW w:w="2139" w:type="dxa"/>
          </w:tcPr>
          <w:p>
            <w:pPr>
              <w:pStyle w:val="TableText"/>
              <w:jc w:val="left"/>
            </w:pPr>
            <w:r>
              <w:t xml:space="preserve">Most foreseeable protections built in</w:t>
            </w:r>
          </w:p>
        </w:tc>
        <w:tc>
          <w:tcPr>
            <w:tcW w:w="2231" w:type="dxa"/>
          </w:tcPr>
          <w:p>
            <w:pPr>
              <w:pStyle w:val="TableText"/>
              <w:jc w:val="left"/>
            </w:pPr>
            <w:r>
              <w:t xml:space="preserve">All foreseeable protections built in; co-designed with regulators</w:t>
            </w:r>
          </w:p>
        </w:tc>
      </w:tr>
      <w:tr>
        <w:trPr>
          <w:cantSplit/>
        </w:trPr>
        <w:tc>
          <w:tcPr>
            <w:tcW w:w="1604" w:type="dxa"/>
          </w:tcPr>
          <w:p>
            <w:pPr>
              <w:pStyle w:val="TableText"/>
              <w:jc w:val="left"/>
            </w:pPr>
            <w:r>
              <w:rPr>
                <w:b/>
                <w:bCs/>
              </w:rPr>
              <w:t xml:space="preserve">F5 Exit</w:t>
            </w:r>
          </w:p>
        </w:tc>
        <w:tc>
          <w:tcPr>
            <w:tcW w:w="1782" w:type="dxa"/>
          </w:tcPr>
          <w:p>
            <w:pPr>
              <w:pStyle w:val="TableText"/>
              <w:jc w:val="left"/>
            </w:pPr>
            <w:r>
              <w:t xml:space="preserve">Locks users and providers in; extracts rising rents</w:t>
            </w:r>
          </w:p>
        </w:tc>
        <w:tc>
          <w:tcPr>
            <w:tcW w:w="1604" w:type="dxa"/>
          </w:tcPr>
          <w:p>
            <w:pPr>
              <w:pStyle w:val="TableText"/>
              <w:jc w:val="left"/>
            </w:pPr>
            <w:r>
              <w:t xml:space="preserve">Some data export; opaque fees</w:t>
            </w:r>
          </w:p>
        </w:tc>
        <w:tc>
          <w:tcPr>
            <w:tcW w:w="2139" w:type="dxa"/>
          </w:tcPr>
          <w:p>
            <w:pPr>
              <w:pStyle w:val="TableText"/>
              <w:jc w:val="left"/>
            </w:pPr>
            <w:r>
              <w:t xml:space="preserve">Data and reputation portable; transparent fees</w:t>
            </w:r>
          </w:p>
        </w:tc>
        <w:tc>
          <w:tcPr>
            <w:tcW w:w="2231" w:type="dxa"/>
          </w:tcPr>
          <w:p>
            <w:pPr>
              <w:pStyle w:val="TableText"/>
              <w:jc w:val="left"/>
            </w:pPr>
            <w:r>
              <w:t xml:space="preserve">Interoperable; value shared; users and providers can leave freely</w:t>
            </w:r>
          </w:p>
        </w:tc>
      </w:tr>
      <w:tr>
        <w:trPr>
          <w:cantSplit/>
        </w:trPr>
        <w:tc>
          <w:tcPr>
            <w:tcW w:w="1604" w:type="dxa"/>
          </w:tcPr>
          <w:p>
            <w:pPr>
              <w:pStyle w:val="TableText"/>
              <w:jc w:val="left"/>
            </w:pPr>
            <w:r>
              <w:rPr>
                <w:b/>
                <w:bCs/>
              </w:rPr>
              <w:t xml:space="preserve">F6 Sovereignty</w:t>
            </w:r>
          </w:p>
        </w:tc>
        <w:tc>
          <w:tcPr>
            <w:tcW w:w="1782" w:type="dxa"/>
          </w:tcPr>
          <w:p>
            <w:pPr>
              <w:pStyle w:val="TableText"/>
              <w:jc w:val="left"/>
            </w:pPr>
            <w:r>
              <w:t xml:space="preserve">Incompatible with local data rules or ownership</w:t>
            </w:r>
          </w:p>
        </w:tc>
        <w:tc>
          <w:tcPr>
            <w:tcW w:w="1604" w:type="dxa"/>
          </w:tcPr>
          <w:p>
            <w:pPr>
              <w:pStyle w:val="TableText"/>
              <w:jc w:val="left"/>
            </w:pPr>
            <w:r>
              <w:t xml:space="preserve">Works only with exemptions</w:t>
            </w:r>
          </w:p>
        </w:tc>
        <w:tc>
          <w:tcPr>
            <w:tcW w:w="2139" w:type="dxa"/>
          </w:tcPr>
          <w:p>
            <w:pPr>
              <w:pStyle w:val="TableText"/>
              <w:jc w:val="left"/>
            </w:pPr>
            <w:r>
              <w:t xml:space="preserve">Complies with local rules; some local ownership</w:t>
            </w:r>
          </w:p>
        </w:tc>
        <w:tc>
          <w:tcPr>
            <w:tcW w:w="2231" w:type="dxa"/>
          </w:tcPr>
          <w:p>
            <w:pPr>
              <w:pStyle w:val="TableText"/>
              <w:jc w:val="left"/>
            </w:pPr>
            <w:r>
              <w:t xml:space="preserve">Built on public digital infrastructure; locally governed and owned</w:t>
            </w:r>
          </w:p>
        </w:tc>
      </w:tr>
      <w:tr>
        <w:trPr>
          <w:cantSplit/>
        </w:trPr>
        <w:tc>
          <w:tcPr>
            <w:tcW w:w="1604" w:type="dxa"/>
          </w:tcPr>
          <w:p>
            <w:pPr>
              <w:pStyle w:val="TableText"/>
              <w:jc w:val="left"/>
            </w:pPr>
            <w:r>
              <w:rPr>
                <w:b/>
                <w:bCs/>
              </w:rPr>
              <w:t xml:space="preserve">F7 Global South</w:t>
            </w:r>
          </w:p>
        </w:tc>
        <w:tc>
          <w:tcPr>
            <w:tcW w:w="1782" w:type="dxa"/>
          </w:tcPr>
          <w:p>
            <w:pPr>
              <w:pStyle w:val="TableText"/>
              <w:jc w:val="left"/>
            </w:pPr>
            <w:r>
              <w:t xml:space="preserve">Requires smartphones, cards and formal addresses</w:t>
            </w:r>
          </w:p>
        </w:tc>
        <w:tc>
          <w:tcPr>
            <w:tcW w:w="1604" w:type="dxa"/>
          </w:tcPr>
          <w:p>
            <w:pPr>
              <w:pStyle w:val="TableText"/>
              <w:jc w:val="left"/>
            </w:pPr>
            <w:r>
              <w:t xml:space="preserve">Works for urban middle classes only</w:t>
            </w:r>
          </w:p>
        </w:tc>
        <w:tc>
          <w:tcPr>
            <w:tcW w:w="2139" w:type="dxa"/>
          </w:tcPr>
          <w:p>
            <w:pPr>
              <w:pStyle w:val="TableText"/>
              <w:jc w:val="left"/>
            </w:pPr>
            <w:r>
              <w:t xml:space="preserve">Works offline and with mobile money in cities</w:t>
            </w:r>
          </w:p>
        </w:tc>
        <w:tc>
          <w:tcPr>
            <w:tcW w:w="2231" w:type="dxa"/>
          </w:tcPr>
          <w:p>
            <w:pPr>
              <w:pStyle w:val="TableText"/>
              <w:jc w:val="left"/>
            </w:pPr>
            <w:r>
              <w:t xml:space="preserve">Designed first for informal, low-income and rural users</w:t>
            </w:r>
          </w:p>
        </w:tc>
      </w:tr>
      <w:tr>
        <w:trPr>
          <w:cantSplit/>
        </w:trPr>
        <w:tc>
          <w:tcPr>
            <w:tcW w:w="1604" w:type="dxa"/>
          </w:tcPr>
          <w:p>
            <w:pPr>
              <w:pStyle w:val="TableText"/>
              <w:jc w:val="left"/>
            </w:pPr>
            <w:r>
              <w:rPr>
                <w:b/>
                <w:bCs/>
              </w:rPr>
              <w:t xml:space="preserve">F8 Self-disruption</w:t>
            </w:r>
          </w:p>
        </w:tc>
        <w:tc>
          <w:tcPr>
            <w:tcW w:w="1782" w:type="dxa"/>
          </w:tcPr>
          <w:p>
            <w:pPr>
              <w:pStyle w:val="TableText"/>
              <w:jc w:val="left"/>
            </w:pPr>
            <w:r>
              <w:t xml:space="preserve">No awareness of what would make the model obsolete</w:t>
            </w:r>
          </w:p>
        </w:tc>
        <w:tc>
          <w:tcPr>
            <w:tcW w:w="1604" w:type="dxa"/>
          </w:tcPr>
          <w:p>
            <w:pPr>
              <w:pStyle w:val="TableText"/>
              <w:jc w:val="left"/>
            </w:pPr>
            <w:r>
              <w:t xml:space="preserve">Aware, but no plan</w:t>
            </w:r>
          </w:p>
        </w:tc>
        <w:tc>
          <w:tcPr>
            <w:tcW w:w="2139" w:type="dxa"/>
          </w:tcPr>
          <w:p>
            <w:pPr>
              <w:pStyle w:val="TableText"/>
              <w:jc w:val="left"/>
            </w:pPr>
            <w:r>
              <w:t xml:space="preserve">Plan and early options for the release phase</w:t>
            </w:r>
          </w:p>
        </w:tc>
        <w:tc>
          <w:tcPr>
            <w:tcW w:w="2231" w:type="dxa"/>
          </w:tcPr>
          <w:p>
            <w:pPr>
              <w:pStyle w:val="TableText"/>
              <w:jc w:val="left"/>
            </w:pPr>
            <w:r>
              <w:t xml:space="preserve">Builds its own successor; demand decline is planned for</w:t>
            </w:r>
          </w:p>
        </w:tc>
      </w:tr>
      <w:tr>
        <w:trPr>
          <w:cantSplit/>
        </w:trPr>
        <w:tc>
          <w:tcPr>
            <w:tcW w:w="1604" w:type="dxa"/>
          </w:tcPr>
          <w:p>
            <w:pPr>
              <w:pStyle w:val="TableText"/>
              <w:jc w:val="left"/>
            </w:pPr>
            <w:r>
              <w:rPr>
                <w:b/>
                <w:bCs/>
              </w:rPr>
              <w:t xml:space="preserve">F9 Good ancestor</w:t>
            </w:r>
          </w:p>
        </w:tc>
        <w:tc>
          <w:tcPr>
            <w:tcW w:w="1782" w:type="dxa"/>
          </w:tcPr>
          <w:p>
            <w:pPr>
              <w:pStyle w:val="TableText"/>
              <w:jc w:val="left"/>
            </w:pPr>
            <w:r>
              <w:t xml:space="preserve">Long-term harms exceed benefits</w:t>
            </w:r>
          </w:p>
        </w:tc>
        <w:tc>
          <w:tcPr>
            <w:tcW w:w="1604" w:type="dxa"/>
          </w:tcPr>
          <w:p>
            <w:pPr>
              <w:pStyle w:val="TableText"/>
              <w:jc w:val="left"/>
            </w:pPr>
            <w:r>
              <w:t xml:space="preserve">Neutral; externalities unmeasured</w:t>
            </w:r>
          </w:p>
        </w:tc>
        <w:tc>
          <w:tcPr>
            <w:tcW w:w="2139" w:type="dxa"/>
          </w:tcPr>
          <w:p>
            <w:pPr>
              <w:pStyle w:val="TableText"/>
              <w:jc w:val="left"/>
            </w:pPr>
            <w:r>
              <w:t xml:space="preserve">Net positive; externalities measured</w:t>
            </w:r>
          </w:p>
        </w:tc>
        <w:tc>
          <w:tcPr>
            <w:tcW w:w="2231" w:type="dxa"/>
          </w:tcPr>
          <w:p>
            <w:pPr>
              <w:pStyle w:val="TableText"/>
              <w:jc w:val="left"/>
            </w:pPr>
            <w:r>
              <w:t xml:space="preserve">Regenerative and distributive by design; people in 2050 will be glad it exists</w:t>
            </w:r>
          </w:p>
        </w:tc>
      </w:tr>
      <w:tr>
        <w:trPr>
          <w:cantSplit/>
        </w:trPr>
        <w:tc>
          <w:tcPr>
            <w:tcW w:w="1604" w:type="dxa"/>
          </w:tcPr>
          <w:p>
            <w:pPr>
              <w:pStyle w:val="TableText"/>
              <w:jc w:val="left"/>
            </w:pPr>
            <w:r>
              <w:rPr>
                <w:b/>
                <w:bCs/>
              </w:rPr>
              <w:t xml:space="preserve">F10 Synthetic reality</w:t>
            </w:r>
          </w:p>
        </w:tc>
        <w:tc>
          <w:tcPr>
            <w:tcW w:w="1782" w:type="dxa"/>
          </w:tcPr>
          <w:p>
            <w:pPr>
              <w:pStyle w:val="TableText"/>
              <w:jc w:val="left"/>
            </w:pPr>
            <w:r>
              <w:t xml:space="preserve">Easily defrauded by deepfakes and synthetic identities</w:t>
            </w:r>
          </w:p>
        </w:tc>
        <w:tc>
          <w:tcPr>
            <w:tcW w:w="1604" w:type="dxa"/>
          </w:tcPr>
          <w:p>
            <w:pPr>
              <w:pStyle w:val="TableText"/>
              <w:jc w:val="left"/>
            </w:pPr>
            <w:r>
              <w:t xml:space="preserve">Basic checks only</w:t>
            </w:r>
          </w:p>
        </w:tc>
        <w:tc>
          <w:tcPr>
            <w:tcW w:w="2139" w:type="dxa"/>
          </w:tcPr>
          <w:p>
            <w:pPr>
              <w:pStyle w:val="TableText"/>
              <w:jc w:val="left"/>
            </w:pPr>
            <w:r>
              <w:t xml:space="preserve">Strong identity and provenance checks</w:t>
            </w:r>
          </w:p>
        </w:tc>
        <w:tc>
          <w:tcPr>
            <w:tcW w:w="2231" w:type="dxa"/>
          </w:tcPr>
          <w:p>
            <w:pPr>
              <w:pStyle w:val="TableText"/>
              <w:jc w:val="left"/>
            </w:pPr>
            <w:r>
              <w:t xml:space="preserve">Verification is a core strength; actively reduces synthetic fraud</w:t>
            </w:r>
          </w:p>
        </w:tc>
      </w:tr>
    </w:tbl>
    <w:bookmarkEnd w:id="79"/>
    <w:bookmarkStart w:id="80" w:name="appendix-c-double-decagon-scoring-sheet"/>
    <w:p>
      <w:pPr>
        <w:pStyle w:val="Heading2"/>
      </w:pPr>
      <w:r>
        <w:t xml:space="preserve">Appendix C: Double Decagon scoring sheet</w:t>
      </w:r>
    </w:p>
    <w:tbl>
      <w:tblPr>
        <w:tblStyle w:val="Table"/>
        <w:tblW w:w="9360" w:type="dxa"/>
        <w:jc w:val="left"/>
        <w:tblLayout w:type="fixed"/>
        <w:tblLook w:firstRow="1" w:lastRow="0" w:firstColumn="0" w:lastColumn="0" w:noHBand="0" w:noVBand="0" w:val="0020"/>
      </w:tblPr>
      <w:tblGrid>
        <w:gridCol w:w="3376"/>
        <w:gridCol w:w="1380"/>
        <w:gridCol w:w="3222"/>
        <w:gridCol w:w="1382"/>
      </w:tblGrid>
      <w:tr>
        <w:trPr>
          <w:cantSplit/>
          <w:tblHeader w:val="true"/>
        </w:trPr>
        <w:tc>
          <w:tcPr>
            <w:tcW w:w="3376" w:type="dxa"/>
          </w:tcPr>
          <w:p>
            <w:pPr>
              <w:pStyle w:val="TableText"/>
              <w:jc w:val="left"/>
            </w:pPr>
            <w:r>
              <w:t xml:space="preserve">Inner Decagon (Volume I)</w:t>
            </w:r>
          </w:p>
        </w:tc>
        <w:tc>
          <w:tcPr>
            <w:tcW w:w="1380" w:type="dxa"/>
          </w:tcPr>
          <w:p>
            <w:pPr>
              <w:pStyle w:val="TableText"/>
              <w:jc w:val="left"/>
            </w:pPr>
            <w:r>
              <w:t xml:space="preserve">Score (0–5)</w:t>
            </w:r>
          </w:p>
        </w:tc>
        <w:tc>
          <w:tcPr>
            <w:tcW w:w="3222" w:type="dxa"/>
          </w:tcPr>
          <w:p>
            <w:pPr>
              <w:pStyle w:val="TableText"/>
              <w:jc w:val="left"/>
            </w:pPr>
            <w:r>
              <w:t xml:space="preserve">Future-Fitness Decagon</w:t>
            </w:r>
          </w:p>
        </w:tc>
        <w:tc>
          <w:tcPr>
            <w:tcW w:w="1382" w:type="dxa"/>
          </w:tcPr>
          <w:p>
            <w:pPr>
              <w:pStyle w:val="TableText"/>
              <w:jc w:val="left"/>
            </w:pPr>
            <w:r>
              <w:t xml:space="preserve">Score (0–5)</w:t>
            </w:r>
          </w:p>
        </w:tc>
      </w:tr>
      <w:tr>
        <w:trPr>
          <w:cantSplit/>
        </w:trPr>
        <w:tc>
          <w:tcPr>
            <w:tcW w:w="3376" w:type="dxa"/>
          </w:tcPr>
          <w:p>
            <w:pPr>
              <w:pStyle w:val="TableText"/>
              <w:jc w:val="left"/>
            </w:pPr>
            <w:r>
              <w:t xml:space="preserve">V1 Latency</w:t>
            </w:r>
          </w:p>
        </w:tc>
        <w:tc>
          <w:tcPr>
            <w:tcW w:w="1380" w:type="dxa"/>
          </w:tcPr>
          <w:p>
            <w:pPr>
              <w:pStyle w:val="TableText"/>
            </w:pPr>
          </w:p>
        </w:tc>
        <w:tc>
          <w:tcPr>
            <w:tcW w:w="3222" w:type="dxa"/>
          </w:tcPr>
          <w:p>
            <w:pPr>
              <w:pStyle w:val="TableText"/>
              <w:jc w:val="left"/>
            </w:pPr>
            <w:r>
              <w:t xml:space="preserve">F1 Agent</w:t>
            </w:r>
          </w:p>
        </w:tc>
        <w:tc>
          <w:tcPr>
            <w:tcW w:w="1382" w:type="dxa"/>
          </w:tcPr>
          <w:p>
            <w:pPr>
              <w:pStyle w:val="TableText"/>
            </w:pPr>
          </w:p>
        </w:tc>
      </w:tr>
      <w:tr>
        <w:trPr>
          <w:cantSplit/>
        </w:trPr>
        <w:tc>
          <w:tcPr>
            <w:tcW w:w="3376" w:type="dxa"/>
          </w:tcPr>
          <w:p>
            <w:pPr>
              <w:pStyle w:val="TableText"/>
              <w:jc w:val="left"/>
            </w:pPr>
            <w:r>
              <w:t xml:space="preserve">V2 Friction</w:t>
            </w:r>
          </w:p>
        </w:tc>
        <w:tc>
          <w:tcPr>
            <w:tcW w:w="1380" w:type="dxa"/>
          </w:tcPr>
          <w:p>
            <w:pPr>
              <w:pStyle w:val="TableText"/>
            </w:pPr>
          </w:p>
        </w:tc>
        <w:tc>
          <w:tcPr>
            <w:tcW w:w="3222" w:type="dxa"/>
          </w:tcPr>
          <w:p>
            <w:pPr>
              <w:pStyle w:val="TableText"/>
              <w:jc w:val="left"/>
            </w:pPr>
            <w:r>
              <w:t xml:space="preserve">F2 Robot</w:t>
            </w:r>
          </w:p>
        </w:tc>
        <w:tc>
          <w:tcPr>
            <w:tcW w:w="1382" w:type="dxa"/>
          </w:tcPr>
          <w:p>
            <w:pPr>
              <w:pStyle w:val="TableText"/>
            </w:pPr>
          </w:p>
        </w:tc>
      </w:tr>
      <w:tr>
        <w:trPr>
          <w:cantSplit/>
        </w:trPr>
        <w:tc>
          <w:tcPr>
            <w:tcW w:w="3376" w:type="dxa"/>
          </w:tcPr>
          <w:p>
            <w:pPr>
              <w:pStyle w:val="TableText"/>
              <w:jc w:val="left"/>
            </w:pPr>
            <w:r>
              <w:t xml:space="preserve">V3 Trust</w:t>
            </w:r>
          </w:p>
        </w:tc>
        <w:tc>
          <w:tcPr>
            <w:tcW w:w="1380" w:type="dxa"/>
          </w:tcPr>
          <w:p>
            <w:pPr>
              <w:pStyle w:val="TableText"/>
            </w:pPr>
          </w:p>
        </w:tc>
        <w:tc>
          <w:tcPr>
            <w:tcW w:w="3222" w:type="dxa"/>
          </w:tcPr>
          <w:p>
            <w:pPr>
              <w:pStyle w:val="TableText"/>
              <w:jc w:val="left"/>
            </w:pPr>
            <w:r>
              <w:t xml:space="preserve">F3 Climate</w:t>
            </w:r>
          </w:p>
        </w:tc>
        <w:tc>
          <w:tcPr>
            <w:tcW w:w="1382" w:type="dxa"/>
          </w:tcPr>
          <w:p>
            <w:pPr>
              <w:pStyle w:val="TableText"/>
            </w:pPr>
          </w:p>
        </w:tc>
      </w:tr>
      <w:tr>
        <w:trPr>
          <w:cantSplit/>
        </w:trPr>
        <w:tc>
          <w:tcPr>
            <w:tcW w:w="3376" w:type="dxa"/>
          </w:tcPr>
          <w:p>
            <w:pPr>
              <w:pStyle w:val="TableText"/>
              <w:jc w:val="left"/>
            </w:pPr>
            <w:r>
              <w:t xml:space="preserve">V4 Liquidity</w:t>
            </w:r>
          </w:p>
        </w:tc>
        <w:tc>
          <w:tcPr>
            <w:tcW w:w="1380" w:type="dxa"/>
          </w:tcPr>
          <w:p>
            <w:pPr>
              <w:pStyle w:val="TableText"/>
            </w:pPr>
          </w:p>
        </w:tc>
        <w:tc>
          <w:tcPr>
            <w:tcW w:w="3222" w:type="dxa"/>
          </w:tcPr>
          <w:p>
            <w:pPr>
              <w:pStyle w:val="TableText"/>
              <w:jc w:val="left"/>
            </w:pPr>
            <w:r>
              <w:t xml:space="preserve">F4 Pre-embedding</w:t>
            </w:r>
          </w:p>
        </w:tc>
        <w:tc>
          <w:tcPr>
            <w:tcW w:w="1382" w:type="dxa"/>
          </w:tcPr>
          <w:p>
            <w:pPr>
              <w:pStyle w:val="TableText"/>
            </w:pPr>
          </w:p>
        </w:tc>
      </w:tr>
      <w:tr>
        <w:trPr>
          <w:cantSplit/>
        </w:trPr>
        <w:tc>
          <w:tcPr>
            <w:tcW w:w="3376" w:type="dxa"/>
          </w:tcPr>
          <w:p>
            <w:pPr>
              <w:pStyle w:val="TableText"/>
              <w:jc w:val="left"/>
            </w:pPr>
            <w:r>
              <w:t xml:space="preserve">V5 Intelligence</w:t>
            </w:r>
          </w:p>
        </w:tc>
        <w:tc>
          <w:tcPr>
            <w:tcW w:w="1380" w:type="dxa"/>
          </w:tcPr>
          <w:p>
            <w:pPr>
              <w:pStyle w:val="TableText"/>
            </w:pPr>
          </w:p>
        </w:tc>
        <w:tc>
          <w:tcPr>
            <w:tcW w:w="3222" w:type="dxa"/>
          </w:tcPr>
          <w:p>
            <w:pPr>
              <w:pStyle w:val="TableText"/>
              <w:jc w:val="left"/>
            </w:pPr>
            <w:r>
              <w:t xml:space="preserve">F5 Exit</w:t>
            </w:r>
          </w:p>
        </w:tc>
        <w:tc>
          <w:tcPr>
            <w:tcW w:w="1382" w:type="dxa"/>
          </w:tcPr>
          <w:p>
            <w:pPr>
              <w:pStyle w:val="TableText"/>
            </w:pPr>
          </w:p>
        </w:tc>
      </w:tr>
      <w:tr>
        <w:trPr>
          <w:cantSplit/>
        </w:trPr>
        <w:tc>
          <w:tcPr>
            <w:tcW w:w="3376" w:type="dxa"/>
          </w:tcPr>
          <w:p>
            <w:pPr>
              <w:pStyle w:val="TableText"/>
              <w:jc w:val="left"/>
            </w:pPr>
            <w:r>
              <w:t xml:space="preserve">V6 Distribution</w:t>
            </w:r>
          </w:p>
        </w:tc>
        <w:tc>
          <w:tcPr>
            <w:tcW w:w="1380" w:type="dxa"/>
          </w:tcPr>
          <w:p>
            <w:pPr>
              <w:pStyle w:val="TableText"/>
            </w:pPr>
          </w:p>
        </w:tc>
        <w:tc>
          <w:tcPr>
            <w:tcW w:w="3222" w:type="dxa"/>
          </w:tcPr>
          <w:p>
            <w:pPr>
              <w:pStyle w:val="TableText"/>
              <w:jc w:val="left"/>
            </w:pPr>
            <w:r>
              <w:t xml:space="preserve">F6 Sovereignty</w:t>
            </w:r>
          </w:p>
        </w:tc>
        <w:tc>
          <w:tcPr>
            <w:tcW w:w="1382" w:type="dxa"/>
          </w:tcPr>
          <w:p>
            <w:pPr>
              <w:pStyle w:val="TableText"/>
            </w:pPr>
          </w:p>
        </w:tc>
      </w:tr>
      <w:tr>
        <w:trPr>
          <w:cantSplit/>
        </w:trPr>
        <w:tc>
          <w:tcPr>
            <w:tcW w:w="3376" w:type="dxa"/>
          </w:tcPr>
          <w:p>
            <w:pPr>
              <w:pStyle w:val="TableText"/>
              <w:jc w:val="left"/>
            </w:pPr>
            <w:r>
              <w:t xml:space="preserve">V7 Legitimacy</w:t>
            </w:r>
          </w:p>
        </w:tc>
        <w:tc>
          <w:tcPr>
            <w:tcW w:w="1380" w:type="dxa"/>
          </w:tcPr>
          <w:p>
            <w:pPr>
              <w:pStyle w:val="TableText"/>
            </w:pPr>
          </w:p>
        </w:tc>
        <w:tc>
          <w:tcPr>
            <w:tcW w:w="3222" w:type="dxa"/>
          </w:tcPr>
          <w:p>
            <w:pPr>
              <w:pStyle w:val="TableText"/>
              <w:jc w:val="left"/>
            </w:pPr>
            <w:r>
              <w:t xml:space="preserve">F7 Global South</w:t>
            </w:r>
          </w:p>
        </w:tc>
        <w:tc>
          <w:tcPr>
            <w:tcW w:w="1382" w:type="dxa"/>
          </w:tcPr>
          <w:p>
            <w:pPr>
              <w:pStyle w:val="TableText"/>
            </w:pPr>
          </w:p>
        </w:tc>
      </w:tr>
      <w:tr>
        <w:trPr>
          <w:cantSplit/>
        </w:trPr>
        <w:tc>
          <w:tcPr>
            <w:tcW w:w="3376" w:type="dxa"/>
          </w:tcPr>
          <w:p>
            <w:pPr>
              <w:pStyle w:val="TableText"/>
              <w:jc w:val="left"/>
            </w:pPr>
            <w:r>
              <w:t xml:space="preserve">V8 Stewardship</w:t>
            </w:r>
          </w:p>
        </w:tc>
        <w:tc>
          <w:tcPr>
            <w:tcW w:w="1380" w:type="dxa"/>
          </w:tcPr>
          <w:p>
            <w:pPr>
              <w:pStyle w:val="TableText"/>
            </w:pPr>
          </w:p>
        </w:tc>
        <w:tc>
          <w:tcPr>
            <w:tcW w:w="3222" w:type="dxa"/>
          </w:tcPr>
          <w:p>
            <w:pPr>
              <w:pStyle w:val="TableText"/>
              <w:jc w:val="left"/>
            </w:pPr>
            <w:r>
              <w:t xml:space="preserve">F8 Self-disruption</w:t>
            </w:r>
          </w:p>
        </w:tc>
        <w:tc>
          <w:tcPr>
            <w:tcW w:w="1382" w:type="dxa"/>
          </w:tcPr>
          <w:p>
            <w:pPr>
              <w:pStyle w:val="TableText"/>
            </w:pPr>
          </w:p>
        </w:tc>
      </w:tr>
      <w:tr>
        <w:trPr>
          <w:cantSplit/>
        </w:trPr>
        <w:tc>
          <w:tcPr>
            <w:tcW w:w="3376" w:type="dxa"/>
          </w:tcPr>
          <w:p>
            <w:pPr>
              <w:pStyle w:val="TableText"/>
              <w:jc w:val="left"/>
            </w:pPr>
            <w:r>
              <w:t xml:space="preserve">V9 Meaning</w:t>
            </w:r>
          </w:p>
        </w:tc>
        <w:tc>
          <w:tcPr>
            <w:tcW w:w="1380" w:type="dxa"/>
          </w:tcPr>
          <w:p>
            <w:pPr>
              <w:pStyle w:val="TableText"/>
            </w:pPr>
          </w:p>
        </w:tc>
        <w:tc>
          <w:tcPr>
            <w:tcW w:w="3222" w:type="dxa"/>
          </w:tcPr>
          <w:p>
            <w:pPr>
              <w:pStyle w:val="TableText"/>
              <w:jc w:val="left"/>
            </w:pPr>
            <w:r>
              <w:t xml:space="preserve">F9 Good ancestor</w:t>
            </w:r>
          </w:p>
        </w:tc>
        <w:tc>
          <w:tcPr>
            <w:tcW w:w="1382" w:type="dxa"/>
          </w:tcPr>
          <w:p>
            <w:pPr>
              <w:pStyle w:val="TableText"/>
            </w:pPr>
          </w:p>
        </w:tc>
      </w:tr>
      <w:tr>
        <w:trPr>
          <w:cantSplit/>
        </w:trPr>
        <w:tc>
          <w:tcPr>
            <w:tcW w:w="3376" w:type="dxa"/>
          </w:tcPr>
          <w:p>
            <w:pPr>
              <w:pStyle w:val="TableText"/>
              <w:jc w:val="left"/>
            </w:pPr>
            <w:r>
              <w:t xml:space="preserve">V10 Antifragility</w:t>
            </w:r>
          </w:p>
        </w:tc>
        <w:tc>
          <w:tcPr>
            <w:tcW w:w="1380" w:type="dxa"/>
          </w:tcPr>
          <w:p>
            <w:pPr>
              <w:pStyle w:val="TableText"/>
            </w:pPr>
          </w:p>
        </w:tc>
        <w:tc>
          <w:tcPr>
            <w:tcW w:w="3222" w:type="dxa"/>
          </w:tcPr>
          <w:p>
            <w:pPr>
              <w:pStyle w:val="TableText"/>
              <w:jc w:val="left"/>
            </w:pPr>
            <w:r>
              <w:t xml:space="preserve">F10 Synthetic reality</w:t>
            </w:r>
          </w:p>
        </w:tc>
        <w:tc>
          <w:tcPr>
            <w:tcW w:w="1382" w:type="dxa"/>
          </w:tcPr>
          <w:p>
            <w:pPr>
              <w:pStyle w:val="TableText"/>
            </w:pPr>
          </w:p>
        </w:tc>
      </w:tr>
      <w:tr>
        <w:trPr>
          <w:cantSplit/>
        </w:trPr>
        <w:tc>
          <w:tcPr>
            <w:tcW w:w="3376" w:type="dxa"/>
          </w:tcPr>
          <w:p>
            <w:pPr>
              <w:pStyle w:val="TableText"/>
              <w:jc w:val="left"/>
            </w:pPr>
            <w:r>
              <w:rPr>
                <w:b/>
                <w:bCs/>
              </w:rPr>
              <w:t xml:space="preserve">Inner total (/50)</w:t>
            </w:r>
          </w:p>
        </w:tc>
        <w:tc>
          <w:tcPr>
            <w:tcW w:w="1380" w:type="dxa"/>
          </w:tcPr>
          <w:p>
            <w:pPr>
              <w:pStyle w:val="TableText"/>
            </w:pPr>
          </w:p>
        </w:tc>
        <w:tc>
          <w:tcPr>
            <w:tcW w:w="3222" w:type="dxa"/>
          </w:tcPr>
          <w:p>
            <w:pPr>
              <w:pStyle w:val="TableText"/>
              <w:jc w:val="left"/>
            </w:pPr>
            <w:r>
              <w:rPr>
                <w:b/>
                <w:bCs/>
              </w:rPr>
              <w:t xml:space="preserve">Future-Fitness total (/50)</w:t>
            </w:r>
          </w:p>
        </w:tc>
        <w:tc>
          <w:tcPr>
            <w:tcW w:w="1382" w:type="dxa"/>
          </w:tcPr>
          <w:p>
            <w:pPr>
              <w:pStyle w:val="TableText"/>
            </w:pPr>
          </w:p>
        </w:tc>
      </w:tr>
      <w:tr>
        <w:trPr>
          <w:cantSplit/>
        </w:trPr>
        <w:tc>
          <w:tcPr>
            <w:tcW w:w="3376" w:type="dxa"/>
          </w:tcPr>
          <w:p>
            <w:pPr>
              <w:pStyle w:val="TableText"/>
              <w:jc w:val="left"/>
            </w:pPr>
            <w:r>
              <w:rPr>
                <w:b/>
                <w:bCs/>
              </w:rPr>
              <w:t xml:space="preserve">Double Decagon Index (/100)</w:t>
            </w:r>
          </w:p>
        </w:tc>
        <w:tc>
          <w:tcPr>
            <w:tcW w:w="1380" w:type="dxa"/>
          </w:tcPr>
          <w:p>
            <w:pPr>
              <w:pStyle w:val="TableText"/>
            </w:pPr>
          </w:p>
        </w:tc>
        <w:tc>
          <w:tcPr>
            <w:tcW w:w="3222" w:type="dxa"/>
          </w:tcPr>
          <w:p>
            <w:pPr>
              <w:pStyle w:val="TableText"/>
              <w:jc w:val="left"/>
            </w:pPr>
            <w:r>
              <w:rPr>
                <w:b/>
                <w:bCs/>
              </w:rPr>
              <w:t xml:space="preserve">Band</w:t>
            </w:r>
          </w:p>
        </w:tc>
        <w:tc>
          <w:tcPr>
            <w:tcW w:w="1382" w:type="dxa"/>
          </w:tcPr>
          <w:p>
            <w:pPr>
              <w:pStyle w:val="TableText"/>
            </w:pPr>
          </w:p>
        </w:tc>
      </w:tr>
    </w:tbl>
    <w:bookmarkEnd w:id="80"/>
    <w:bookmarkStart w:id="94" w:name="appendix-d-sources-and-further-reading"/>
    <w:p>
      <w:pPr>
        <w:pStyle w:val="Heading2"/>
      </w:pPr>
      <w:r>
        <w:t xml:space="preserve">Appendix D: Sources and further reading</w:t>
      </w:r>
    </w:p>
    <w:p>
      <w:pPr>
        <w:pStyle w:val="FirstParagraph"/>
      </w:pPr>
      <w:r>
        <w:t xml:space="preserve">This volume builds on the sources listed in Volume I, Appendix D. Additional sources:</w:t>
      </w:r>
    </w:p>
    <w:p>
      <w:pPr>
        <w:pStyle w:val="BodyText"/>
      </w:pPr>
      <w:r>
        <w:rPr>
          <w:b/>
          <w:bCs/>
        </w:rPr>
        <w:t xml:space="preserve">Evidence for the Future Problem Atlas</w:t>
      </w:r>
    </w:p>
    <w:p>
      <w:pPr>
        <w:pStyle w:val="Compact"/>
        <w:numPr>
          <w:ilvl w:val="0"/>
          <w:numId w:val="1062"/>
        </w:numPr>
      </w:pPr>
      <w:r>
        <w:t xml:space="preserve">International Federation of Robotics,</w:t>
      </w:r>
      <w:r>
        <w:t xml:space="preserve"> </w:t>
      </w:r>
      <w:r>
        <w:rPr>
          <w:i/>
          <w:iCs/>
        </w:rPr>
        <w:t xml:space="preserve">World Robotics 2025</w:t>
      </w:r>
      <w:r>
        <w:t xml:space="preserve">:</w:t>
      </w:r>
      <w:r>
        <w:t xml:space="preserve"> </w:t>
      </w:r>
      <w:hyperlink r:id="rId81">
        <w:r>
          <w:rPr>
            <w:rStyle w:val="Hyperlink"/>
          </w:rPr>
          <w:t xml:space="preserve">press release</w:t>
        </w:r>
      </w:hyperlink>
    </w:p>
    <w:p>
      <w:pPr>
        <w:pStyle w:val="Compact"/>
        <w:numPr>
          <w:ilvl w:val="0"/>
          <w:numId w:val="1062"/>
        </w:numPr>
      </w:pPr>
      <w:r>
        <w:t xml:space="preserve">The Robot Report,</w:t>
      </w:r>
      <w:r>
        <w:t xml:space="preserve"> </w:t>
      </w:r>
      <w:r>
        <w:rPr>
          <w:i/>
          <w:iCs/>
        </w:rPr>
        <w:t xml:space="preserve">Teleop, not autonomy, the path for 1X NEO humanoid</w:t>
      </w:r>
      <w:r>
        <w:t xml:space="preserve">:</w:t>
      </w:r>
      <w:r>
        <w:t xml:space="preserve"> </w:t>
      </w:r>
      <w:hyperlink r:id="rId82">
        <w:r>
          <w:rPr>
            <w:rStyle w:val="Hyperlink"/>
          </w:rPr>
          <w:t xml:space="preserve">link</w:t>
        </w:r>
      </w:hyperlink>
    </w:p>
    <w:p>
      <w:pPr>
        <w:pStyle w:val="Compact"/>
        <w:numPr>
          <w:ilvl w:val="0"/>
          <w:numId w:val="1062"/>
        </w:numPr>
      </w:pPr>
      <w:r>
        <w:t xml:space="preserve">Deloitte Center for Financial Services,</w:t>
      </w:r>
      <w:r>
        <w:t xml:space="preserve"> </w:t>
      </w:r>
      <w:r>
        <w:rPr>
          <w:i/>
          <w:iCs/>
        </w:rPr>
        <w:t xml:space="preserve">Generative AI is expected to magnify the risk of deepfakes and other fraud in banking</w:t>
      </w:r>
      <w:r>
        <w:t xml:space="preserve">:</w:t>
      </w:r>
      <w:r>
        <w:t xml:space="preserve"> </w:t>
      </w:r>
      <w:hyperlink r:id="rId83">
        <w:r>
          <w:rPr>
            <w:rStyle w:val="Hyperlink"/>
          </w:rPr>
          <w:t xml:space="preserve">link</w:t>
        </w:r>
      </w:hyperlink>
    </w:p>
    <w:p>
      <w:pPr>
        <w:pStyle w:val="Compact"/>
        <w:numPr>
          <w:ilvl w:val="0"/>
          <w:numId w:val="1062"/>
        </w:numPr>
      </w:pPr>
      <w:r>
        <w:t xml:space="preserve">Lancet Countdown 2024 coverage:</w:t>
      </w:r>
      <w:r>
        <w:t xml:space="preserve"> </w:t>
      </w:r>
      <w:hyperlink r:id="rId84">
        <w:r>
          <w:rPr>
            <w:rStyle w:val="Hyperlink"/>
          </w:rPr>
          <w:t xml:space="preserve">Axios</w:t>
        </w:r>
      </w:hyperlink>
      <w:r>
        <w:t xml:space="preserve">;</w:t>
      </w:r>
      <w:r>
        <w:t xml:space="preserve"> </w:t>
      </w:r>
      <w:hyperlink r:id="rId85">
        <w:r>
          <w:rPr>
            <w:rStyle w:val="Hyperlink"/>
          </w:rPr>
          <w:t xml:space="preserve">Irish Times</w:t>
        </w:r>
      </w:hyperlink>
    </w:p>
    <w:p>
      <w:pPr>
        <w:pStyle w:val="Compact"/>
        <w:numPr>
          <w:ilvl w:val="0"/>
          <w:numId w:val="1062"/>
        </w:numPr>
      </w:pPr>
      <w:r>
        <w:t xml:space="preserve">IEA,</w:t>
      </w:r>
      <w:r>
        <w:t xml:space="preserve"> </w:t>
      </w:r>
      <w:r>
        <w:rPr>
          <w:i/>
          <w:iCs/>
        </w:rPr>
        <w:t xml:space="preserve">Access to electricity stagnates, leaving globally 730 million in the dark</w:t>
      </w:r>
      <w:r>
        <w:t xml:space="preserve">:</w:t>
      </w:r>
      <w:r>
        <w:t xml:space="preserve"> </w:t>
      </w:r>
      <w:hyperlink r:id="rId86">
        <w:r>
          <w:rPr>
            <w:rStyle w:val="Hyperlink"/>
          </w:rPr>
          <w:t xml:space="preserve">link</w:t>
        </w:r>
      </w:hyperlink>
    </w:p>
    <w:p>
      <w:pPr>
        <w:pStyle w:val="Compact"/>
        <w:numPr>
          <w:ilvl w:val="0"/>
          <w:numId w:val="1062"/>
        </w:numPr>
      </w:pPr>
      <w:r>
        <w:t xml:space="preserve">McKinsey,</w:t>
      </w:r>
      <w:r>
        <w:t xml:space="preserve"> </w:t>
      </w:r>
      <w:r>
        <w:rPr>
          <w:i/>
          <w:iCs/>
        </w:rPr>
        <w:t xml:space="preserve">Second-life EV batteries: the newest value pool in energy storage</w:t>
      </w:r>
      <w:r>
        <w:t xml:space="preserve">:</w:t>
      </w:r>
      <w:r>
        <w:t xml:space="preserve"> </w:t>
      </w:r>
      <w:hyperlink r:id="rId87">
        <w:r>
          <w:rPr>
            <w:rStyle w:val="Hyperlink"/>
          </w:rPr>
          <w:t xml:space="preserve">link</w:t>
        </w:r>
      </w:hyperlink>
      <w:r>
        <w:t xml:space="preserve">; Advanced Energy,</w:t>
      </w:r>
      <w:r>
        <w:t xml:space="preserve"> </w:t>
      </w:r>
      <w:r>
        <w:rPr>
          <w:i/>
          <w:iCs/>
        </w:rPr>
        <w:t xml:space="preserve">Electric Vehicle Battery Reuse and Recycling</w:t>
      </w:r>
      <w:r>
        <w:t xml:space="preserve">:</w:t>
      </w:r>
      <w:r>
        <w:t xml:space="preserve"> </w:t>
      </w:r>
      <w:hyperlink r:id="rId88">
        <w:r>
          <w:rPr>
            <w:rStyle w:val="Hyperlink"/>
          </w:rPr>
          <w:t xml:space="preserve">link</w:t>
        </w:r>
      </w:hyperlink>
    </w:p>
    <w:p>
      <w:pPr>
        <w:pStyle w:val="Compact"/>
        <w:numPr>
          <w:ilvl w:val="0"/>
          <w:numId w:val="1062"/>
        </w:numPr>
      </w:pPr>
      <w:r>
        <w:t xml:space="preserve">University of Oxford,</w:t>
      </w:r>
      <w:r>
        <w:t xml:space="preserve"> </w:t>
      </w:r>
      <w:r>
        <w:rPr>
          <w:i/>
          <w:iCs/>
        </w:rPr>
        <w:t xml:space="preserve">Antibiotic resistance has claimed at least one million lives each year since 1990</w:t>
      </w:r>
      <w:r>
        <w:t xml:space="preserve"> </w:t>
      </w:r>
      <w:r>
        <w:t xml:space="preserve">(GRAM study, 2024):</w:t>
      </w:r>
      <w:r>
        <w:t xml:space="preserve"> </w:t>
      </w:r>
      <w:hyperlink r:id="rId89">
        <w:r>
          <w:rPr>
            <w:rStyle w:val="Hyperlink"/>
          </w:rPr>
          <w:t xml:space="preserve">link</w:t>
        </w:r>
      </w:hyperlink>
      <w:r>
        <w:t xml:space="preserve">; CIDRAP coverage:</w:t>
      </w:r>
      <w:r>
        <w:t xml:space="preserve"> </w:t>
      </w:r>
      <w:hyperlink r:id="rId90">
        <w:r>
          <w:rPr>
            <w:rStyle w:val="Hyperlink"/>
          </w:rPr>
          <w:t xml:space="preserve">link</w:t>
        </w:r>
      </w:hyperlink>
    </w:p>
    <w:p>
      <w:pPr>
        <w:pStyle w:val="Compact"/>
        <w:numPr>
          <w:ilvl w:val="0"/>
          <w:numId w:val="1062"/>
        </w:numPr>
      </w:pPr>
      <w:r>
        <w:t xml:space="preserve">WWF,</w:t>
      </w:r>
      <w:r>
        <w:t xml:space="preserve"> </w:t>
      </w:r>
      <w:r>
        <w:rPr>
          <w:i/>
          <w:iCs/>
        </w:rPr>
        <w:t xml:space="preserve">Living Planet Report 2024</w:t>
      </w:r>
      <w:r>
        <w:t xml:space="preserve">:</w:t>
      </w:r>
      <w:r>
        <w:t xml:space="preserve"> </w:t>
      </w:r>
      <w:hyperlink r:id="rId91">
        <w:r>
          <w:rPr>
            <w:rStyle w:val="Hyperlink"/>
          </w:rPr>
          <w:t xml:space="preserve">link</w:t>
        </w:r>
      </w:hyperlink>
    </w:p>
    <w:p>
      <w:pPr>
        <w:pStyle w:val="Compact"/>
        <w:numPr>
          <w:ilvl w:val="0"/>
          <w:numId w:val="1062"/>
        </w:numPr>
      </w:pPr>
      <w:r>
        <w:t xml:space="preserve">McKinsey (2025),</w:t>
      </w:r>
      <w:r>
        <w:t xml:space="preserve"> </w:t>
      </w:r>
      <w:r>
        <w:rPr>
          <w:i/>
          <w:iCs/>
        </w:rPr>
        <w:t xml:space="preserve">The agentic commerce opportunity</w:t>
      </w:r>
      <w:r>
        <w:t xml:space="preserve">:</w:t>
      </w:r>
      <w:r>
        <w:t xml:space="preserve"> </w:t>
      </w:r>
      <w:hyperlink r:id="rId92">
        <w:r>
          <w:rPr>
            <w:rStyle w:val="Hyperlink"/>
          </w:rPr>
          <w:t xml:space="preserve">link</w:t>
        </w:r>
      </w:hyperlink>
    </w:p>
    <w:p>
      <w:pPr>
        <w:pStyle w:val="Compact"/>
        <w:numPr>
          <w:ilvl w:val="0"/>
          <w:numId w:val="1062"/>
        </w:numPr>
      </w:pPr>
      <w:r>
        <w:t xml:space="preserve">World Bank, 2024 remittances:</w:t>
      </w:r>
      <w:r>
        <w:t xml:space="preserve"> </w:t>
      </w:r>
      <w:hyperlink r:id="rId93">
        <w:r>
          <w:rPr>
            <w:rStyle w:val="Hyperlink"/>
          </w:rPr>
          <w:t xml:space="preserve">link</w:t>
        </w:r>
      </w:hyperlink>
    </w:p>
    <w:p>
      <w:pPr>
        <w:pStyle w:val="Compact"/>
        <w:numPr>
          <w:ilvl w:val="0"/>
          <w:numId w:val="1062"/>
        </w:numPr>
      </w:pPr>
      <w:r>
        <w:t xml:space="preserve">World Bank (2021).</w:t>
      </w:r>
      <w:r>
        <w:t xml:space="preserve"> </w:t>
      </w:r>
      <w:r>
        <w:rPr>
          <w:i/>
          <w:iCs/>
        </w:rPr>
        <w:t xml:space="preserve">Groundswell Part 2: Acting on Internal Climate Migration.</w:t>
      </w:r>
    </w:p>
    <w:p>
      <w:pPr>
        <w:pStyle w:val="Compact"/>
        <w:numPr>
          <w:ilvl w:val="0"/>
          <w:numId w:val="1062"/>
        </w:numPr>
      </w:pPr>
      <w:r>
        <w:t xml:space="preserve">WHO/UNICEF Joint Monitoring Programme,</w:t>
      </w:r>
      <w:r>
        <w:t xml:space="preserve"> </w:t>
      </w:r>
      <w:r>
        <w:rPr>
          <w:i/>
          <w:iCs/>
        </w:rPr>
        <w:t xml:space="preserve">Progress on household drinking water, sanitation and hygiene</w:t>
      </w:r>
      <w:r>
        <w:t xml:space="preserve"> </w:t>
      </w:r>
      <w:r>
        <w:t xml:space="preserve">(2023 update).</w:t>
      </w:r>
    </w:p>
    <w:p>
      <w:pPr>
        <w:pStyle w:val="Compact"/>
        <w:numPr>
          <w:ilvl w:val="0"/>
          <w:numId w:val="1062"/>
        </w:numPr>
      </w:pPr>
      <w:r>
        <w:t xml:space="preserve">International Energy Agency (2018).</w:t>
      </w:r>
      <w:r>
        <w:t xml:space="preserve"> </w:t>
      </w:r>
      <w:r>
        <w:rPr>
          <w:i/>
          <w:iCs/>
        </w:rPr>
        <w:t xml:space="preserve">The Future of Cooling.</w:t>
      </w:r>
    </w:p>
    <w:p>
      <w:pPr>
        <w:pStyle w:val="Compact"/>
        <w:numPr>
          <w:ilvl w:val="0"/>
          <w:numId w:val="1062"/>
        </w:numPr>
      </w:pPr>
      <w:r>
        <w:t xml:space="preserve">Convention on Biological Diversity (2022).</w:t>
      </w:r>
      <w:r>
        <w:t xml:space="preserve"> </w:t>
      </w:r>
      <w:r>
        <w:rPr>
          <w:i/>
          <w:iCs/>
        </w:rPr>
        <w:t xml:space="preserve">Kunming–Montreal Global Biodiversity Framework.</w:t>
      </w:r>
    </w:p>
    <w:p>
      <w:pPr>
        <w:pStyle w:val="Compact"/>
        <w:numPr>
          <w:ilvl w:val="0"/>
          <w:numId w:val="1062"/>
        </w:numPr>
      </w:pPr>
      <w:r>
        <w:t xml:space="preserve">Regulation (EU) 2023/1542 on batteries and waste batteries; Directive (EU) 2024/1799 on common rules promoting the repair of goods.</w:t>
      </w:r>
    </w:p>
    <w:p>
      <w:pPr>
        <w:pStyle w:val="FirstParagraph"/>
      </w:pPr>
      <w:r>
        <w:rPr>
          <w:b/>
          <w:bCs/>
        </w:rPr>
        <w:t xml:space="preserve">Theory</w:t>
      </w:r>
    </w:p>
    <w:p>
      <w:pPr>
        <w:pStyle w:val="Compact"/>
        <w:numPr>
          <w:ilvl w:val="0"/>
          <w:numId w:val="1063"/>
        </w:numPr>
      </w:pPr>
      <w:r>
        <w:t xml:space="preserve">Arthur, W.B. (2009).</w:t>
      </w:r>
      <w:r>
        <w:t xml:space="preserve"> </w:t>
      </w:r>
      <w:r>
        <w:rPr>
          <w:i/>
          <w:iCs/>
        </w:rPr>
        <w:t xml:space="preserve">The Nature of Technology.</w:t>
      </w:r>
    </w:p>
    <w:p>
      <w:pPr>
        <w:pStyle w:val="Compact"/>
        <w:numPr>
          <w:ilvl w:val="0"/>
          <w:numId w:val="1063"/>
        </w:numPr>
      </w:pPr>
      <w:r>
        <w:t xml:space="preserve">Gray, M. and Suri, S. (2019).</w:t>
      </w:r>
      <w:r>
        <w:t xml:space="preserve"> </w:t>
      </w:r>
      <w:r>
        <w:rPr>
          <w:i/>
          <w:iCs/>
        </w:rPr>
        <w:t xml:space="preserve">Ghost Work: How to Stop Silicon Valley from Building a New Global Underclass.</w:t>
      </w:r>
    </w:p>
    <w:p>
      <w:pPr>
        <w:pStyle w:val="Compact"/>
        <w:numPr>
          <w:ilvl w:val="0"/>
          <w:numId w:val="1063"/>
        </w:numPr>
      </w:pPr>
      <w:r>
        <w:t xml:space="preserve">Kauffman, S. (2000).</w:t>
      </w:r>
      <w:r>
        <w:t xml:space="preserve"> </w:t>
      </w:r>
      <w:r>
        <w:rPr>
          <w:i/>
          <w:iCs/>
        </w:rPr>
        <w:t xml:space="preserve">Investigations.</w:t>
      </w:r>
    </w:p>
    <w:p>
      <w:pPr>
        <w:pStyle w:val="Compact"/>
        <w:numPr>
          <w:ilvl w:val="0"/>
          <w:numId w:val="1063"/>
        </w:numPr>
      </w:pPr>
      <w:r>
        <w:t xml:space="preserve">Mazzucato, M. (2018).</w:t>
      </w:r>
      <w:r>
        <w:t xml:space="preserve"> </w:t>
      </w:r>
      <w:r>
        <w:rPr>
          <w:i/>
          <w:iCs/>
        </w:rPr>
        <w:t xml:space="preserve">Mission-Oriented Research and Innovation in the European Union</w:t>
      </w:r>
      <w:r>
        <w:t xml:space="preserve">; (2021).</w:t>
      </w:r>
      <w:r>
        <w:t xml:space="preserve"> </w:t>
      </w:r>
      <w:r>
        <w:rPr>
          <w:i/>
          <w:iCs/>
        </w:rPr>
        <w:t xml:space="preserve">Mission Economy.</w:t>
      </w:r>
    </w:p>
    <w:p>
      <w:pPr>
        <w:pStyle w:val="Compact"/>
        <w:numPr>
          <w:ilvl w:val="0"/>
          <w:numId w:val="1063"/>
        </w:numPr>
      </w:pPr>
      <w:r>
        <w:t xml:space="preserve">Ostrom, E. (2010). Beyond Markets and States: Polycentric Governance of Complex Economic Systems.</w:t>
      </w:r>
      <w:r>
        <w:t xml:space="preserve"> </w:t>
      </w:r>
      <w:r>
        <w:rPr>
          <w:i/>
          <w:iCs/>
        </w:rPr>
        <w:t xml:space="preserve">American Economic Review</w:t>
      </w:r>
      <w:r>
        <w:t xml:space="preserve"> </w:t>
      </w:r>
      <w:r>
        <w:t xml:space="preserve">100(3).</w:t>
      </w:r>
    </w:p>
    <w:p>
      <w:pPr>
        <w:pStyle w:val="Compact"/>
        <w:numPr>
          <w:ilvl w:val="0"/>
          <w:numId w:val="1063"/>
        </w:numPr>
      </w:pPr>
      <w:r>
        <w:t xml:space="preserve">Raworth, K. (2017).</w:t>
      </w:r>
      <w:r>
        <w:t xml:space="preserve"> </w:t>
      </w:r>
      <w:r>
        <w:rPr>
          <w:i/>
          <w:iCs/>
        </w:rPr>
        <w:t xml:space="preserve">Doughnut Economics.</w:t>
      </w:r>
    </w:p>
    <w:p>
      <w:pPr>
        <w:pStyle w:val="Compact"/>
        <w:numPr>
          <w:ilvl w:val="0"/>
          <w:numId w:val="1063"/>
        </w:numPr>
      </w:pPr>
      <w:r>
        <w:t xml:space="preserve">Taleb, N.N. (2012).</w:t>
      </w:r>
      <w:r>
        <w:t xml:space="preserve"> </w:t>
      </w:r>
      <w:r>
        <w:rPr>
          <w:i/>
          <w:iCs/>
        </w:rPr>
        <w:t xml:space="preserve">Antifragile.</w:t>
      </w:r>
    </w:p>
    <w:p>
      <w:pPr>
        <w:pStyle w:val="Compact"/>
        <w:numPr>
          <w:ilvl w:val="0"/>
          <w:numId w:val="1063"/>
        </w:numPr>
      </w:pPr>
      <w:r>
        <w:t xml:space="preserve">Tronto, J. (1993).</w:t>
      </w:r>
      <w:r>
        <w:t xml:space="preserve"> </w:t>
      </w:r>
      <w:r>
        <w:rPr>
          <w:i/>
          <w:iCs/>
        </w:rPr>
        <w:t xml:space="preserve">Moral Boundaries: A Political Argument for an Ethic of Care.</w:t>
      </w:r>
    </w:p>
    <w:p>
      <w:pPr>
        <w:pStyle w:val="FirstParagraph"/>
      </w:pPr>
      <w:r>
        <w:rPr>
          <w:i/>
          <w:iCs/>
        </w:rPr>
        <w:t xml:space="preserve">This volume is a framework for exploration. Venture concepts are hypotheses to be tested with real users, communities and regulators, not investment advice.</w:t>
      </w:r>
    </w:p>
    <w:bookmarkEnd w:id="94"/>
    <w:bookmarkEnd w:id="95"/>
    <w:sectPr>
      <w:footerReference w:type="default" r:id="rIdFtr1"/>
      <w:pgSz w:w="12240" w:h="15840"/>
      <w:pgMar w:top="1440" w:right="1440" w:bottom="1440" w:left="1440" w:header="708" w:footer="708"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4" w:space="6" w:color="BFBFBF"/>
      </w:pBdr>
      <w:tabs>
        <w:tab w:val="right" w:pos="9360"/>
      </w:tabs>
      <w:spacing w:after="0"/>
    </w:pPr>
    <w:r>
      <w:rPr>
        <w:color w:val="7F7F7F"/>
        <w:sz w:val="17"/>
      </w:rPr>
      <w:t xml:space="preserve">The Next Decagon · Volume II · Working paper, October 2026</w:t>
    </w:r>
    <w:r>
      <w:rPr>
        <w:color w:val="7F7F7F"/>
        <w:sz w:val="17"/>
      </w:rPr>
      <w:tab/>
    </w:r>
    <w:r>
      <w:rPr>
        <w:color w:val="7F7F7F"/>
        <w:sz w:val="17"/>
      </w:rPr>
      <w:fldChar w:fldCharType="begin"/>
    </w:r>
    <w:r>
      <w:rPr>
        <w:color w:val="7F7F7F"/>
        <w:sz w:val="17"/>
      </w:rPr>
      <w:instrText xml:space="preserve"> PAGE </w:instrText>
    </w:r>
    <w:r>
      <w:rPr>
        <w:color w:val="7F7F7F"/>
        <w:sz w:val="17"/>
      </w:rPr>
      <w:fldChar w:fldCharType="separate"/>
    </w:r>
    <w:r>
      <w:rPr>
        <w:color w:val="7F7F7F"/>
        <w:sz w:val="17"/>
      </w:rPr>
      <w:t>1</w:t>
    </w:r>
    <w:r>
      <w:rPr>
        <w:color w:val="7F7F7F"/>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en-US" w:val="en-GB"/>
      </w:rPr>
    </w:rPrDefault>
    <w:pPrDefault>
      <w:pPr>
        <w:spacing w:after="120" w:line="26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qFormat/>
    <w:pPr>
      <w:spacing w:after="14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60" w:before="0"/>
    </w:pPr>
  </w:style>
  <w:style w:styleId="Title" w:type="paragraph">
    <w:name w:val="Title"/>
    <w:basedOn w:val="Normal"/>
    <w:next w:val="BodyText"/>
    <w:qFormat/>
    <w:pPr>
      <w:spacing w:after="160" w:before="2600"/>
    </w:pPr>
    <w:rPr>
      <w:rFonts w:ascii="Calibri" w:cs="Calibri" w:eastAsia="Calibri" w:hAnsi="Calibri"/>
      <w:b/>
      <w:color w:val="1F3864"/>
      <w:sz w:val="64"/>
      <w:szCs w:val="64"/>
    </w:rPr>
  </w:style>
  <w:style w:styleId="Subtitle" w:type="paragraph">
    <w:name w:val="Subtitle"/>
    <w:basedOn w:val="Normal"/>
    <w:next w:val="BodyText"/>
    <w:qFormat/>
    <w:pPr>
      <w:pBdr>
        <w:bottom w:color="2A5DA8" w:space="12" w:sz="12" w:val="single"/>
      </w:pBdr>
      <w:spacing w:after="480" w:before="0"/>
    </w:pPr>
    <w:rPr>
      <w:rFonts w:ascii="Calibri" w:cs="Calibri" w:eastAsia="Calibri" w:hAnsi="Calibri"/>
      <w:color w:val="2A5DA8"/>
      <w:sz w:val="34"/>
      <w:szCs w:val="3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pBdr>
        <w:bottom w:color="2A5DA8" w:space="6" w:sz="8" w:val="single"/>
      </w:pBdr>
      <w:spacing w:after="240" w:before="0"/>
      <w:outlineLvl w:val="0"/>
    </w:pPr>
    <w:rPr>
      <w:rFonts w:ascii="Calibri" w:cs="Calibri" w:eastAsia="Calibri" w:hAnsi="Calibri"/>
      <w:b/>
      <w:bCs/>
      <w:color w:val="1F3864"/>
      <w:sz w:val="40"/>
      <w:szCs w:val="40"/>
    </w:rPr>
  </w:style>
  <w:style w:styleId="Heading2" w:type="paragraph">
    <w:name w:val="heading 2"/>
    <w:basedOn w:val="Normal"/>
    <w:next w:val="BodyText"/>
    <w:uiPriority w:val="9"/>
    <w:unhideWhenUsed/>
    <w:qFormat/>
    <w:pPr>
      <w:keepNext/>
      <w:keepLines/>
      <w:spacing w:after="120" w:before="360"/>
      <w:outlineLvl w:val="1"/>
    </w:pPr>
    <w:rPr>
      <w:rFonts w:ascii="Calibri" w:cs="Calibri" w:eastAsia="Calibri" w:hAnsi="Calibri"/>
      <w:b/>
      <w:bCs/>
      <w:color w:val="2A5DA8"/>
      <w:sz w:val="30"/>
      <w:szCs w:val="30"/>
    </w:rPr>
  </w:style>
  <w:style w:styleId="Heading3" w:type="paragraph">
    <w:name w:val="heading 3"/>
    <w:basedOn w:val="Normal"/>
    <w:next w:val="BodyText"/>
    <w:uiPriority w:val="9"/>
    <w:unhideWhenUsed/>
    <w:qFormat/>
    <w:pPr>
      <w:keepNext/>
      <w:keepLines/>
      <w:spacing w:after="100" w:before="280"/>
      <w:outlineLvl w:val="2"/>
    </w:pPr>
    <w:rPr>
      <w:rFonts w:ascii="Calibri" w:cs="Calibri" w:eastAsia="Calibri" w:hAnsi="Calibri"/>
      <w:b/>
      <w:bCs/>
      <w:color w:val="1F3864"/>
      <w:sz w:val="25"/>
      <w:szCs w:val="25"/>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qFormat/>
    <w:pPr>
      <w:pBdr>
        <w:left w:color="2A5DA8" w:space="10" w:sz="24" w:val="single"/>
      </w:pBdr>
      <w:shd w:color="auto" w:fill="EEF3FA" w:val="clear"/>
      <w:spacing w:after="160" w:before="120"/>
      <w:ind w:left="300" w:right="120"/>
    </w:pPr>
    <w:rPr>
      <w:color w:val="1F386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59"/>
    <w:qFormat/>
    <w:pPr>
      <w:spacing w:after="0" w:before="0"/>
    </w:pPr>
    <w:tblPr>
      <w:tblInd w:type="dxa" w:w="0"/>
      <w:tblBorders>
        <w:top w:color="A6A6A6" w:space="0" w:sz="4" w:val="single"/>
        <w:left w:color="A6A6A6" w:space="0" w:sz="4" w:val="single"/>
        <w:bottom w:color="A6A6A6" w:space="0" w:sz="4" w:val="single"/>
        <w:right w:color="A6A6A6" w:space="0" w:sz="4" w:val="single"/>
        <w:insideH w:color="BFBFBF" w:space="0" w:sz="4" w:val="single"/>
        <w:insideV w:color="BFBFBF" w:space="0" w:sz="4" w:val="single"/>
      </w:tblBorders>
      <w:tblCellMar>
        <w:top w:type="dxa" w:w="50"/>
        <w:left w:type="dxa" w:w="90"/>
        <w:bottom w:type="dxa" w:w="50"/>
        <w:right w:type="dxa" w:w="90"/>
      </w:tblCellMar>
    </w:tblPr>
    <w:tblStylePr w:type="firstRow">
      <w:rPr>
        <w:b/>
        <w:bCs/>
        <w:color w:val="1F3864"/>
      </w:rPr>
      <w:tcPr>
        <w:shd w:color="auto" w:fill="DCE6F2"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Normal"/>
    <w:pPr>
      <w:spacing w:after="280" w:before="60"/>
      <w:jc w:val="center"/>
    </w:pPr>
    <w:rPr>
      <w:i/>
      <w:color w:val="595959"/>
      <w:sz w:val="18"/>
      <w:szCs w:val="18"/>
    </w:rPr>
  </w:style>
  <w:style w:customStyle="1" w:styleId="Figure" w:type="paragraph">
    <w:name w:val="Figure"/>
    <w:basedOn w:val="Normal"/>
    <w:pPr>
      <w:jc w:val="center"/>
    </w:pPr>
  </w:style>
  <w:style w:customStyle="1" w:styleId="CaptionedFigure" w:type="paragraph">
    <w:name w:val="Captioned Figure"/>
    <w:basedOn w:val="Normal"/>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DefaultParagraphFont"/>
    <w:rPr>
      <w:color w:val="2A5DA8"/>
      <w:u w:val="single"/>
    </w:rPr>
  </w:style>
  <w:style w:styleId="TOCHeading" w:type="paragraph">
    <w:name w:val="TOC Heading"/>
    <w:basedOn w:val="Heading1"/>
    <w:next w:val="BodyText"/>
    <w:uiPriority w:val="39"/>
    <w:unhideWhenUsed/>
    <w:qFormat/>
    <w:pPr>
      <w:outlineLvl w:val="9"/>
    </w:pPr>
  </w:style>
  <w:style w:customStyle="1" w:styleId="TableText" w:type="paragraph">
    <w:name w:val="Table Text"/>
    <w:basedOn w:val="Normal"/>
    <w:qFormat/>
    <w:pPr>
      <w:spacing w:after="0" w:before="0" w:line="240" w:lineRule="auto"/>
    </w:pPr>
    <w:rPr>
      <w:sz w:val="18"/>
      <w:szCs w:val="18"/>
    </w:rPr>
  </w:style>
  <w:style w:customStyle="1" w:styleId="TitleDescriptor" w:type="paragraph">
    <w:name w:val="Title Descriptor"/>
    <w:basedOn w:val="Normal"/>
    <w:pPr>
      <w:spacing w:after="240" w:before="0"/>
    </w:pPr>
    <w:rPr>
      <w:i/>
      <w:color w:val="404040"/>
      <w:sz w:val="26"/>
      <w:szCs w:val="26"/>
    </w:rPr>
  </w:style>
  <w:style w:customStyle="1" w:styleId="TitleMeta" w:type="paragraph">
    <w:name w:val="Title Meta"/>
    <w:basedOn w:val="Normal"/>
    <w:pPr>
      <w:spacing w:after="1200" w:before="0"/>
    </w:pPr>
    <w:rPr>
      <w:color w:val="595959"/>
      <w:sz w:val="22"/>
      <w:szCs w:val="22"/>
    </w:rPr>
  </w:style>
  <w:style w:customStyle="1" w:styleId="TitleThesis" w:type="paragraph">
    <w:name w:val="Title Thesis"/>
    <w:basedOn w:val="Normal"/>
    <w:pPr>
      <w:pBdr>
        <w:left w:color="2A5DA8" w:space="10" w:sz="24" w:val="single"/>
      </w:pBdr>
      <w:shd w:color="auto" w:fill="EEF3FA" w:val="clear"/>
      <w:spacing w:after="120" w:before="0"/>
      <w:ind w:left="300"/>
    </w:pPr>
    <w:rPr>
      <w:color w:val="1F3864"/>
      <w:sz w:val="22"/>
      <w:szCs w:val="22"/>
    </w:rPr>
  </w:style>
  <w:style w:styleId="TOC1" w:type="paragraph">
    <w:name w:val="toc 1"/>
    <w:basedOn w:val="Normal"/>
    <w:next w:val="Normal"/>
    <w:uiPriority w:val="39"/>
    <w:unhideWhenUsed/>
    <w:pPr>
      <w:tabs>
        <w:tab w:leader="dot" w:pos="9360" w:val="right"/>
      </w:tabs>
      <w:spacing w:after="40" w:before="140"/>
    </w:pPr>
    <w:rPr>
      <w:b/>
      <w:color w:val="1F3864"/>
    </w:rPr>
  </w:style>
  <w:style w:styleId="TOC2" w:type="paragraph">
    <w:name w:val="toc 2"/>
    <w:basedOn w:val="Normal"/>
    <w:next w:val="Normal"/>
    <w:uiPriority w:val="39"/>
    <w:unhideWhenUsed/>
    <w:pPr>
      <w:tabs>
        <w:tab w:leader="dot" w:pos="9360" w:val="right"/>
      </w:tabs>
      <w:spacing w:after="20" w:before="0"/>
      <w:ind w:left="240"/>
    </w:pPr>
    <w:rPr>
      <w:sz w:val="20"/>
      <w:szCs w:val="20"/>
    </w:rPr>
  </w:style>
  <w:style w:styleId="TOC3" w:type="paragraph">
    <w:name w:val="toc 3"/>
    <w:basedOn w:val="Normal"/>
    <w:next w:val="Normal"/>
    <w:uiPriority w:val="39"/>
    <w:unhideWhenUsed/>
    <w:pPr>
      <w:tabs>
        <w:tab w:leader="dot" w:pos="9360" w:val="right"/>
      </w:tabs>
      <w:spacing w:after="20" w:before="0"/>
      <w:ind w:left="480"/>
    </w:pPr>
    <w:rPr>
      <w:i/>
      <w:sz w:val="19"/>
      <w:szCs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66" Target="media/rId66.png"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hyperlink" Id="rId93" Target="https://blogs.worldbank.org/en/peoplemove/in-2024--remittance-flows-to-low--and-middle-income-countries-ar" TargetMode="External" /><Relationship Type="http://schemas.openxmlformats.org/officeDocument/2006/relationships/hyperlink" Id="rId86" Target="https://iea.org/commentaries/access-to-electricity-stagnates-leaving-globally-730-million-in-the-dark" TargetMode="External" /><Relationship Type="http://schemas.openxmlformats.org/officeDocument/2006/relationships/hyperlink" Id="rId81" Target="https://ifr.org/ifr-press-releases/news/global-robot-demand-in-factories-doubles-over-10-years" TargetMode="External" /><Relationship Type="http://schemas.openxmlformats.org/officeDocument/2006/relationships/hyperlink" Id="rId87" Target="https://mckinsey.com/~/media/McKinsey/Industries/Automotive%20and%20Assembly/Our%20Insights/Second%20life%20EV%20batteries%20The%20newest%20value%20pool%20in%20energy%20storage/Second-life-EV-batteries-The-newest-value-pool-in-energy-storage.pdf" TargetMode="External" /><Relationship Type="http://schemas.openxmlformats.org/officeDocument/2006/relationships/hyperlink" Id="rId88" Target="https://www.advancedenergy.org/news/electric-vehicle-battery-reuse-and-recycling" TargetMode="External" /><Relationship Type="http://schemas.openxmlformats.org/officeDocument/2006/relationships/hyperlink" Id="rId84" Target="https://www.axios.com/2024/10/30/climate-change-heat-health-effects" TargetMode="External" /><Relationship Type="http://schemas.openxmlformats.org/officeDocument/2006/relationships/hyperlink" Id="rId90" Target="https://www.cidrap.umn.edu/antimicrobial-stewardship/study-forecasts-more-39-million-deaths-antimicrobial-resistance-2050" TargetMode="External" /><Relationship Type="http://schemas.openxmlformats.org/officeDocument/2006/relationships/hyperlink" Id="rId83" Target="https://www.deloitte.com/us/en/insights/industry/financial-services/deepfake-banking-fraud-risk-on-the-rise" TargetMode="External" /><Relationship Type="http://schemas.openxmlformats.org/officeDocument/2006/relationships/hyperlink" Id="rId85" Target="https://www.irishtimes.com/environment/climate-crisis/2024/10/30/climate-change-is-not-a-distant-threat-but-an-immediate-risk-to-health-record-heat-related-deaths-report-finds" TargetMode="External" /><Relationship Type="http://schemas.openxmlformats.org/officeDocument/2006/relationships/hyperlink" Id="rId92" Target="https://www.mckinsey.com/industries/retail/our-insights/the-agentic-commerce-opportunity-how-ai-agents-are-ushering-in-a-new-era-for-consumers-and-merchants" TargetMode="External" /><Relationship Type="http://schemas.openxmlformats.org/officeDocument/2006/relationships/hyperlink" Id="rId89" Target="https://www.ox.ac.uk/news/2024-09-17-antibiotic-resistance-has-claimed-least-one-million-lives-each-year-1990" TargetMode="External" /><Relationship Type="http://schemas.openxmlformats.org/officeDocument/2006/relationships/hyperlink" Id="rId82" Target="https://www.therobotreport.com/teleop-not-autonomy-the-path-for-1x-neo-humanoid/" TargetMode="External" /><Relationship Type="http://schemas.openxmlformats.org/officeDocument/2006/relationships/hyperlink" Id="rId91" Target="https://www.worldwildlife.org/our-work/wildlife/wwfs-living-planet-report/" TargetMode="External" /><Relationship Id="rIdFtr1"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93" Target="https://blogs.worldbank.org/en/peoplemove/in-2024--remittance-flows-to-low--and-middle-income-countries-ar" TargetMode="External" /><Relationship Type="http://schemas.openxmlformats.org/officeDocument/2006/relationships/hyperlink" Id="rId86" Target="https://iea.org/commentaries/access-to-electricity-stagnates-leaving-globally-730-million-in-the-dark" TargetMode="External" /><Relationship Type="http://schemas.openxmlformats.org/officeDocument/2006/relationships/hyperlink" Id="rId81" Target="https://ifr.org/ifr-press-releases/news/global-robot-demand-in-factories-doubles-over-10-years" TargetMode="External" /><Relationship Type="http://schemas.openxmlformats.org/officeDocument/2006/relationships/hyperlink" Id="rId87" Target="https://mckinsey.com/~/media/McKinsey/Industries/Automotive%20and%20Assembly/Our%20Insights/Second%20life%20EV%20batteries%20The%20newest%20value%20pool%20in%20energy%20storage/Second-life-EV-batteries-The-newest-value-pool-in-energy-storage.pdf" TargetMode="External" /><Relationship Type="http://schemas.openxmlformats.org/officeDocument/2006/relationships/hyperlink" Id="rId88" Target="https://www.advancedenergy.org/news/electric-vehicle-battery-reuse-and-recycling" TargetMode="External" /><Relationship Type="http://schemas.openxmlformats.org/officeDocument/2006/relationships/hyperlink" Id="rId84" Target="https://www.axios.com/2024/10/30/climate-change-heat-health-effects" TargetMode="External" /><Relationship Type="http://schemas.openxmlformats.org/officeDocument/2006/relationships/hyperlink" Id="rId90" Target="https://www.cidrap.umn.edu/antimicrobial-stewardship/study-forecasts-more-39-million-deaths-antimicrobial-resistance-2050" TargetMode="External" /><Relationship Type="http://schemas.openxmlformats.org/officeDocument/2006/relationships/hyperlink" Id="rId83" Target="https://www.deloitte.com/us/en/insights/industry/financial-services/deepfake-banking-fraud-risk-on-the-rise" TargetMode="External" /><Relationship Type="http://schemas.openxmlformats.org/officeDocument/2006/relationships/hyperlink" Id="rId85" Target="https://www.irishtimes.com/environment/climate-crisis/2024/10/30/climate-change-is-not-a-distant-threat-but-an-immediate-risk-to-health-record-heat-related-deaths-report-finds" TargetMode="External" /><Relationship Type="http://schemas.openxmlformats.org/officeDocument/2006/relationships/hyperlink" Id="rId92" Target="https://www.mckinsey.com/industries/retail/our-insights/the-agentic-commerce-opportunity-how-ai-agents-are-ushering-in-a-new-era-for-consumers-and-merchants" TargetMode="External" /><Relationship Type="http://schemas.openxmlformats.org/officeDocument/2006/relationships/hyperlink" Id="rId89" Target="https://www.ox.ac.uk/news/2024-09-17-antibiotic-resistance-has-claimed-least-one-million-lives-each-year-1990" TargetMode="External" /><Relationship Type="http://schemas.openxmlformats.org/officeDocument/2006/relationships/hyperlink" Id="rId82" Target="https://www.therobotreport.com/teleop-not-autonomy-the-path-for-1x-neo-humanoid/" TargetMode="External" /><Relationship Type="http://schemas.openxmlformats.org/officeDocument/2006/relationships/hyperlink" Id="rId91" Target="https://www.worldwildlife.org/our-work/wildlife/wwfs-living-planet-re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2026-10-27T20:16:57Z</dcterms:created>
  <dcterms:modified xsi:type="dcterms:W3CDTF">2026-10-27T20:16:57Z</dcterms:modified>
</cp:coreProperties>
</file>

<file path=docProps/custom.xml><?xml version="1.0" encoding="utf-8"?>
<Properties xmlns="http://schemas.openxmlformats.org/officeDocument/2006/custom-properties" xmlns:vt="http://schemas.openxmlformats.org/officeDocument/2006/docPropsVTypes"/>
</file>