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Manager | Entrepreneurship and Youth Leadership Programs</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Program manager with more than four years planning and delivering multi-stakeholder programs and projects, currently leading the Black Youth in Business entrepreneurship program at Emole Futures Initiative in Kingston across four concurrent workstreams of workshops, mentoring sessions, and public events. Builds strong working relationships with schools, mentors, community organizations, and executive teams; recruits, schedules, and supports program assistants and volunteer mentors; manages program budgets and calendars; and measures impact through survey design and evaluation. Brings first-hand knowledge of Ontario post-secondary campuses as a Master of Digital Product Management candidate at the Smith School of Business, Queen's University, and a graduate of Sheridan College's Graduate Certificate in Project Management.</w:t>
      </w:r>
    </w:p>
    <w:p>
      <w:pPr>
        <w:pStyle w:val="Heading1"/>
      </w:pPr>
      <w:r>
        <w:t xml:space="preserve">CORE SKILLS</w:t>
      </w:r>
    </w:p>
    <w:p>
      <w:pPr>
        <w:spacing w:after="60"/>
      </w:pPr>
      <w:r>
        <w:t xml:space="preserve">Program Management  |  Program Design and Delivery  |  Youth Entrepreneurship Programming  |  Partner and Stakeholder Relations  |  Volunteer and Mentor Coordination  |  Workshop and Event Planning  |  Program Evaluation and Survey Design  |  Budgeting and Expense Tracking  |  Status Reporting and Executive Dashboards  |  Risk Management  |  Cross-functional Team Leadership  |  Public Presentations  |  Agile and Hybrid Delivery  |  Continuous Improvement</w:t>
      </w:r>
    </w:p>
    <w:p>
      <w:pPr>
        <w:pStyle w:val="Heading1"/>
      </w:pPr>
      <w:r>
        <w:t xml:space="preserve">SELECTED PROJECT MANAGEMENT COMPETENCIES</w:t>
      </w:r>
    </w:p>
    <w:p>
      <w:pPr>
        <w:pStyle w:val="ListParagraph"/>
        <w:numPr>
          <w:ilvl w:val="0"/>
          <w:numId w:val="2"/>
        </w:numPr>
        <w:spacing w:after="0"/>
      </w:pPr>
      <w:r>
        <w:rPr>
          <w:b/>
          <w:bCs/>
        </w:rPr>
        <w:t xml:space="preserve">Program planning: </w:t>
      </w:r>
      <w:r>
        <w:t xml:space="preserve">defining program parameters and objectives with leadership, building integrated plans, calendars, and milestone schedules, and planning resources and facilitator engagements against a baselined budget</w:t>
      </w:r>
    </w:p>
    <w:p>
      <w:pPr>
        <w:pStyle w:val="ListParagraph"/>
        <w:numPr>
          <w:ilvl w:val="0"/>
          <w:numId w:val="2"/>
        </w:numPr>
        <w:spacing w:after="0"/>
      </w:pPr>
      <w:r>
        <w:rPr>
          <w:b/>
          <w:bCs/>
        </w:rPr>
        <w:t xml:space="preserve">Stakeholder management: </w:t>
      </w:r>
      <w:r>
        <w:t xml:space="preserve">identifying and analysing stakeholders, planning engagement, building positive relationships with internal and external partners, and managing expectations under competing priorities</w:t>
      </w:r>
    </w:p>
    <w:p>
      <w:pPr>
        <w:pStyle w:val="ListParagraph"/>
        <w:numPr>
          <w:ilvl w:val="0"/>
          <w:numId w:val="2"/>
        </w:numPr>
        <w:spacing w:after="0"/>
      </w:pPr>
      <w:r>
        <w:rPr>
          <w:b/>
          <w:bCs/>
        </w:rPr>
        <w:t xml:space="preserve">Resource and team management: </w:t>
      </w:r>
      <w:r>
        <w:t xml:space="preserve">recruiting, scheduling, and supervising staff and volunteers, routing work to the right owner, and developing team capability across concurrent workstreams</w:t>
      </w:r>
    </w:p>
    <w:p>
      <w:pPr>
        <w:pStyle w:val="ListParagraph"/>
        <w:numPr>
          <w:ilvl w:val="0"/>
          <w:numId w:val="2"/>
        </w:numPr>
        <w:spacing w:after="0"/>
      </w:pPr>
      <w:r>
        <w:rPr>
          <w:b/>
          <w:bCs/>
        </w:rPr>
        <w:t xml:space="preserve">Communications and reporting: </w:t>
      </w:r>
      <w:r>
        <w:t xml:space="preserve">planning communications cadence, producing status reports, dashboards, and outcome summaries, and running planning and triage meetings</w:t>
      </w:r>
    </w:p>
    <w:p>
      <w:pPr>
        <w:pStyle w:val="ListParagraph"/>
        <w:numPr>
          <w:ilvl w:val="0"/>
          <w:numId w:val="2"/>
        </w:numPr>
        <w:spacing w:after="0"/>
      </w:pPr>
      <w:r>
        <w:rPr>
          <w:b/>
          <w:bCs/>
        </w:rPr>
        <w:t xml:space="preserve">Risk and quality: </w:t>
      </w:r>
      <w:r>
        <w:t xml:space="preserve">identifying risks early, planning mitigation and contingency responses, and applying quality review to facilitator and program output</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Lead the Black Youth in Business program from concept through workshops, mentoring sessions, and public events, defining program parameters and objectives with the executive team and translating them into documented scope, deliverables, and calendars.</w:t>
      </w:r>
    </w:p>
    <w:p>
      <w:pPr>
        <w:pStyle w:val="ListParagraph"/>
        <w:numPr>
          <w:ilvl w:val="0"/>
          <w:numId w:val="2"/>
        </w:numPr>
        <w:spacing w:after="0"/>
      </w:pPr>
      <w:r>
        <w:t xml:space="preserve">Identify and engage stakeholders across schools, volunteer mentors, and community organizations, and review incoming partner and participant requests to confirm required information is complete.</w:t>
      </w:r>
    </w:p>
    <w:p>
      <w:pPr>
        <w:pStyle w:val="ListParagraph"/>
        <w:numPr>
          <w:ilvl w:val="0"/>
          <w:numId w:val="2"/>
        </w:numPr>
        <w:spacing w:after="0"/>
      </w:pPr>
      <w:r>
        <w:t xml:space="preserve">Recruit, schedule, and supervise program assistants and volunteer mentors, and route activities to the right facilitators so work reaches the correct owner the first time.</w:t>
      </w:r>
    </w:p>
    <w:p>
      <w:pPr>
        <w:pStyle w:val="ListParagraph"/>
        <w:numPr>
          <w:ilvl w:val="0"/>
          <w:numId w:val="2"/>
        </w:numPr>
        <w:spacing w:after="0"/>
      </w:pPr>
      <w:r>
        <w:t xml:space="preserve">Plan schedules and milestones across four concurrent workstreams and manage a baselined budget for facilitator fees, materials, and events, updating expense reports on a regular cadence and analysing variance.</w:t>
      </w:r>
    </w:p>
    <w:p>
      <w:pPr>
        <w:pStyle w:val="ListParagraph"/>
        <w:numPr>
          <w:ilvl w:val="0"/>
          <w:numId w:val="2"/>
        </w:numPr>
        <w:spacing w:after="0"/>
      </w:pPr>
      <w:r>
        <w:t xml:space="preserve">Designed and analysed a 27-question community intake survey and applied established evaluation methods to measure outcomes against objectives, using findings to improve the next delivery cycle.</w:t>
      </w:r>
    </w:p>
    <w:p>
      <w:pPr>
        <w:pStyle w:val="ListParagraph"/>
        <w:numPr>
          <w:ilvl w:val="0"/>
          <w:numId w:val="2"/>
        </w:numPr>
        <w:spacing w:after="0"/>
      </w:pPr>
      <w:r>
        <w:t xml:space="preserve">Present dashboards and outcome summaries to executives and external stakeholders, and escalate scope changes to leadership while they remain small enough to absorb.</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delivered against a fixed, publicly announced opening date.</w:t>
      </w:r>
    </w:p>
    <w:p>
      <w:pPr>
        <w:pStyle w:val="ListParagraph"/>
        <w:numPr>
          <w:ilvl w:val="0"/>
          <w:numId w:val="2"/>
        </w:numPr>
        <w:spacing w:after="0"/>
      </w:pPr>
      <w:r>
        <w:t xml:space="preserve">Aligned curatorial, conservation, registration, education, and design teams, consulting the appropriate specialists for input and approvals on content, timing, and display decisions.</w:t>
      </w:r>
    </w:p>
    <w:p>
      <w:pPr>
        <w:pStyle w:val="ListParagraph"/>
        <w:numPr>
          <w:ilvl w:val="0"/>
          <w:numId w:val="2"/>
        </w:numPr>
        <w:spacing w:after="0"/>
      </w:pPr>
      <w:r>
        <w:t xml:space="preserve">Documented outcomes and next steps from cross-team planning meetings, identified workflow gaps and schedule risks, and escalated issues to senior staff for resolution.</w:t>
      </w:r>
    </w:p>
    <w:p>
      <w:pPr>
        <w:pStyle w:val="ListParagraph"/>
        <w:numPr>
          <w:ilvl w:val="0"/>
          <w:numId w:val="2"/>
        </w:numPr>
        <w:spacing w:after="0"/>
      </w:pPr>
      <w:r>
        <w:t xml:space="preserve">Delivered presentations to staff and stakeholders; the wing reopened to the public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Collaborated with community advisors to shape exhibitions and public programming, incorporating stakeholder feedback into scope and content decisions.</w:t>
      </w:r>
    </w:p>
    <w:p>
      <w:pPr>
        <w:pStyle w:val="ListParagraph"/>
        <w:numPr>
          <w:ilvl w:val="0"/>
          <w:numId w:val="2"/>
        </w:numPr>
        <w:spacing w:after="0"/>
      </w:pPr>
      <w:r>
        <w:t xml:space="preserve">Coordinated deliverables and budgets across concurrent projects with fixed opening dates, juggling competing priorities while keeping results on schedule and within budget.</w:t>
      </w:r>
    </w:p>
    <w:p>
      <w:pPr>
        <w:pStyle w:val="ListParagraph"/>
        <w:numPr>
          <w:ilvl w:val="0"/>
          <w:numId w:val="2"/>
        </w:numPr>
        <w:spacing w:after="0"/>
      </w:pPr>
      <w:r>
        <w:t xml:space="preserve">Coordinated day-to-day work across curatorial, education, design, and registration partners, communicating changes as scope and schedules shifted.</w:t>
      </w:r>
    </w:p>
    <w:p>
      <w:pPr>
        <w:pStyle w:val="ListParagraph"/>
        <w:numPr>
          <w:ilvl w:val="0"/>
          <w:numId w:val="2"/>
        </w:numPr>
        <w:spacing w:after="0"/>
      </w:pPr>
      <w:r>
        <w:t xml:space="preserve">Managed print and digital deliverables, including gallery labels, catalogue copy, and digital interpretive content, from drafting through approval and final output.</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Supported exhibition planning and public engagement across curatorial, conservation, and registration teams in a cross-functional, networked environment.</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Manager, Programs</dc:title>
  <dc:creator>Adekunle Adeniji</dc:creator>
  <cp:lastModifiedBy>Un-named</cp:lastModifiedBy>
  <cp:revision>1</cp:revision>
  <dcterms:created xsi:type="dcterms:W3CDTF">2026-10-30T16:53:17.322Z</dcterms:created>
  <dcterms:modified xsi:type="dcterms:W3CDTF">2026-10-30T16:53:17.322Z</dcterms:modified>
</cp:coreProperties>
</file>

<file path=docProps/custom.xml><?xml version="1.0" encoding="utf-8"?>
<Properties xmlns="http://schemas.openxmlformats.org/officeDocument/2006/custom-properties" xmlns:vt="http://schemas.openxmlformats.org/officeDocument/2006/docPropsVTypes"/>
</file>