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0"/>
          <w:szCs w:val="30"/>
        </w:rPr>
        <w:t xml:space="preserve">(설비도입/장비투자) 타당성 검토 및 자료 작성 업무지침 (Rev.1)</w:t>
      </w:r>
    </w:p>
    <w:p>
      <w:pPr>
        <w:spacing w:after="240"/>
      </w:pPr>
      <w:r>
        <w:rPr>
          <w:i/>
          <w:iCs/>
          <w:sz w:val="20"/>
          <w:szCs w:val="20"/>
        </w:rPr>
        <w:t xml:space="preserve">— 설비자재구매그룹·투자관리그룹 연계용 테스트 지침서(더미) 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표준명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(설비도입/장비투자) 타당성 검토 및 자료 작성 업무지침 (Rev.1)</w:t>
            </w:r>
          </w:p>
        </w:tc>
      </w:tr>
      <w:tr>
        <w:tc>
          <w:tcPr>
            <w:tcW w:type="dxa" w:w="22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표준번호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DUM-PUR-118 (더미)</w:t>
            </w:r>
          </w:p>
        </w:tc>
      </w:tr>
      <w:tr>
        <w:tc>
          <w:tcPr>
            <w:tcW w:type="dxa" w:w="22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Rev.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시행일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2025-03-01</w:t>
            </w:r>
          </w:p>
        </w:tc>
      </w:tr>
      <w:tr>
        <w:tc>
          <w:tcPr>
            <w:tcW w:type="dxa" w:w="22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검토일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2026-03-01</w:t>
            </w:r>
          </w:p>
        </w:tc>
      </w:tr>
      <w:tr>
        <w:tc>
          <w:tcPr>
            <w:tcW w:type="dxa" w:w="22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담당자 / 담당부서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이수민(가명) / 설비자재구매그룹(더미)</w:t>
            </w:r>
          </w:p>
        </w:tc>
      </w:tr>
      <w:tr>
        <w:tc>
          <w:tcPr>
            <w:tcW w:type="dxa" w:w="22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검토자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정하윤(가명)</w:t>
            </w:r>
          </w:p>
        </w:tc>
      </w:tr>
      <w:tr>
        <w:tc>
          <w:tcPr>
            <w:tcW w:type="dxa" w:w="22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승인자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강민준(가명, 118273)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1. 적용범위</w:t>
      </w:r>
    </w:p>
    <w:p>
      <w:pPr>
        <w:spacing w:after="120"/>
      </w:pPr>
      <w:r>
        <w:t xml:space="preserve">본 지침은 설비자재구매그룹이 수행하는 생산설비·장비의 신규 구매 및 도입 관련 업무 중 (1) 구매 타당성 검토, (2) 제안서 및 근거자료 작성, (3) 투자관리그룹 심의 이관 지원 활동에 적용한다.</w:t>
      </w:r>
    </w:p>
    <w:p>
      <w:pPr>
        <w:spacing w:after="120"/>
      </w:pPr>
      <w:r>
        <w:t xml:space="preserve">본 지침의 적용 대상은 다음과 같다.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5억원 이상 생산설비 신규 구매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5억원 이상 장비 도입(노후 설비 교체 포함)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그 외 설비자재구매그룹장이 타당성 검토가 필요하다고 인정하는 설비·장비 구매 건</w:t>
      </w:r>
    </w:p>
    <w:p>
      <w:pPr>
        <w:pStyle w:val="Heading1"/>
        <w:spacing w:after="120" w:before="240"/>
      </w:pPr>
      <w:r>
        <w:t xml:space="preserve">2. 목적</w:t>
      </w:r>
    </w:p>
    <w:p>
      <w:pPr>
        <w:spacing w:after="120"/>
      </w:pPr>
      <w:r>
        <w:t xml:space="preserve">본 지침은 생산설비·장비를 신규로 구매하거나 도입하기에 앞서 사업적·기술적 타당성을 사전에 검토하고 관련 근거자료를 표준화된 형식으로 작성함으로써, 후속되는 투자관리그룹 주관의 투자심의 절차가 지연 없이 진행되도록 하는 것을 목적으로 한다.</w:t>
      </w:r>
    </w:p>
    <w:p>
      <w:pPr>
        <w:pStyle w:val="Heading1"/>
        <w:spacing w:after="120" w:before="240"/>
      </w:pPr>
      <w:r>
        <w:t xml:space="preserve">3. 선행/후행 업무지침(연계)</w:t>
      </w:r>
    </w:p>
    <w:p>
      <w:pPr>
        <w:pStyle w:val="Heading2"/>
        <w:spacing w:after="100" w:before="200"/>
      </w:pPr>
      <w:r>
        <w:t xml:space="preserve">3.1 선행 업무지침</w:t>
      </w:r>
    </w:p>
    <w:p>
      <w:pPr>
        <w:spacing w:after="120"/>
      </w:pPr>
      <w:r>
        <w:t xml:space="preserve">생산부서 또는 설비 사용부서로부터 "설비 신규 도입 요청서"를 접수하여 본 지침에 따른 타당성 검토를 개시한다.</w:t>
      </w:r>
    </w:p>
    <w:p>
      <w:pPr>
        <w:pStyle w:val="Heading2"/>
        <w:spacing w:after="100" w:before="200"/>
      </w:pPr>
      <w:r>
        <w:t xml:space="preserve">3.2 후행 업무지침</w:t>
      </w:r>
    </w:p>
    <w:p>
      <w:pPr>
        <w:spacing w:after="120"/>
      </w:pPr>
      <w:r>
        <w:t xml:space="preserve">본 지침에 따라 작성이 완료된 제안서 및 근거자료는 투자관리그룹이 주관하는 "(5억 이상) 타당성 평가 및 심의 지침"의 Activity 10(타당성 평가 및 효과분석) 절차로 이관하여 투자심의회 심의를 받는다. 5억원 미만 건은 부서 내부 승인으로 구매를 진행할 수 있다.</w:t>
      </w:r>
    </w:p>
    <w:p>
      <w:pPr>
        <w:pStyle w:val="Heading1"/>
        <w:spacing w:after="120" w:before="240"/>
      </w:pPr>
      <w:r>
        <w:t xml:space="preserve">4. 용어 정의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생산설비: 제품 생산 공정에 직접 사용되는 기계·장치 및 부대설비를 말한다.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신규 구매: 기존에 보유하지 않은 설비·장비를 새로 취득하는 것을 말하며, 노후 설비의 교체를 포함한다.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타당성 검토: 설비·장비 구매에 앞서 필요성, 규모, 기술적 적합성, 투자비 및 예상 효과를 사전에 분석하는 절차를 말한다.</w:t>
      </w:r>
    </w:p>
    <w:p>
      <w:pPr>
        <w:pStyle w:val="Heading1"/>
        <w:spacing w:after="120" w:before="240"/>
      </w:pPr>
      <w:r>
        <w:t xml:space="preserve">5. 역할과 책임(R&amp;R)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68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주요 역할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설비자재구매그룹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설비 신규 도입 요청 접수, 공급사 조사·견적 비교, 타당성 검토안 작성 및 투자관리그룹 이관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투자관리그룹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이관받은 타당성 검토안을 "(5억 이상) 타당성 평가 및 심의 지침" Activity 10 절차에 따라 접수하고 투자심의회 심의를 주관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회계세무그룹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구매 확정 후 고정자산 등록 및 감가상각 기준 적용을 위한 자료 확인·지원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생산부서 / 설비 사용부서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설비 신규 도입 필요성 제기 및 요청서 작성, 현장확인 대응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6. 업무절차(프로세스)</w:t>
      </w:r>
    </w:p>
    <w:p>
      <w:pPr>
        <w:pStyle w:val="Heading2"/>
        <w:spacing w:after="100" w:before="200"/>
      </w:pPr>
      <w:r>
        <w:t xml:space="preserve">6.1 설비 신규 도입 요청 접수</w:t>
      </w:r>
    </w:p>
    <w:p>
      <w:pPr>
        <w:spacing w:after="120"/>
      </w:pPr>
      <w:r>
        <w:t xml:space="preserve">생산부서 또는 설비 사용부서로부터 설비 신규 도입 요청서를 접수한다.</w:t>
      </w:r>
    </w:p>
    <w:p>
      <w:pPr>
        <w:pStyle w:val="Heading2"/>
        <w:spacing w:after="100" w:before="200"/>
      </w:pPr>
      <w:r>
        <w:t xml:space="preserve">6.2 공급사 조사 및 견적 비교</w:t>
      </w:r>
    </w:p>
    <w:p>
      <w:pPr>
        <w:spacing w:after="120"/>
      </w:pPr>
      <w:r>
        <w:t xml:space="preserve">복수 공급사로부터 견적 또는 제안서를 수령하여 가격, 납기, 기술사양을 비교한다.</w:t>
      </w:r>
    </w:p>
    <w:p>
      <w:pPr>
        <w:pStyle w:val="Heading2"/>
        <w:spacing w:after="100" w:before="200"/>
      </w:pPr>
      <w:r>
        <w:t xml:space="preserve">6.3 타당성 검토안 작성</w:t>
      </w:r>
    </w:p>
    <w:p>
      <w:pPr>
        <w:spacing w:after="120"/>
      </w:pPr>
      <w:r>
        <w:t xml:space="preserve">투자 규모(5억원 이상 여부), 기술적 타당성, 투자비 및 예상 효과, 리스크를 포함한 검토안을 작성한다.</w:t>
      </w:r>
    </w:p>
    <w:p>
      <w:pPr>
        <w:pStyle w:val="Heading2"/>
        <w:spacing w:after="100" w:before="200"/>
      </w:pPr>
      <w:r>
        <w:t xml:space="preserve">6.4 투자관리그룹 이관</w:t>
      </w:r>
    </w:p>
    <w:p>
      <w:pPr>
        <w:spacing w:after="120"/>
      </w:pPr>
      <w:r>
        <w:t xml:space="preserve">5억원 이상 생산설비 신규 구매·장비 도입 건은 작성된 검토안을 투자관리그룹에 이관하여 투자심의회 심의를 요청한다.</w:t>
      </w:r>
    </w:p>
    <w:p>
      <w:pPr>
        <w:pStyle w:val="Heading2"/>
        <w:spacing w:after="100" w:before="200"/>
      </w:pPr>
      <w:r>
        <w:t xml:space="preserve">6.5 심의 결과 반영 및 구매 확정</w:t>
      </w:r>
    </w:p>
    <w:p>
      <w:pPr>
        <w:spacing w:after="120"/>
      </w:pPr>
      <w:r>
        <w:t xml:space="preserve">투자심의회 심의를 통과한 건은 구매관리규정에 따른 계약 절차를 진행하며, 고정자산 등록 및 감가상각 기준 적용을 위해 회계세무그룹에 구매 확정 결과를 통보한다.</w:t>
      </w:r>
    </w:p>
    <w:p>
      <w:pPr>
        <w:pStyle w:val="Heading1"/>
        <w:spacing w:after="120" w:before="240"/>
      </w:pPr>
      <w:r>
        <w:t xml:space="preserve">7. 부록(표 형식 더미 데이터)</w:t>
      </w:r>
    </w:p>
    <w:p>
      <w:pPr>
        <w:spacing w:after="120"/>
      </w:pPr>
      <w:r>
        <w:rPr>
          <w:b/>
          <w:bCs/>
        </w:rPr>
        <w:t xml:space="preserve">[부록 A] 문서(표준) 마스터 더미 데이터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doc_id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STD-PUR-0007</w:t>
            </w:r>
          </w:p>
        </w:tc>
      </w:tr>
      <w:tr>
        <w:tc>
          <w:tcPr>
            <w:tcW w:type="dxa" w:w="22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표준명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(설비도입/장비투자) 타당성 검토 및 자료 작성 업무지침</w:t>
            </w:r>
          </w:p>
        </w:tc>
      </w:tr>
      <w:tr>
        <w:tc>
          <w:tcPr>
            <w:tcW w:type="dxa" w:w="22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표준경로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전사공통 &gt; 업무지침 &gt; 구매</w:t>
            </w:r>
          </w:p>
        </w:tc>
      </w:tr>
      <w:tr>
        <w:tc>
          <w:tcPr>
            <w:tcW w:type="dxa" w:w="22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담당부서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설비자재구매그룹</w:t>
            </w:r>
          </w:p>
        </w:tc>
      </w:tr>
      <w:tr>
        <w:tc>
          <w:tcPr>
            <w:tcW w:type="dxa" w:w="22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Rev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후행(연계) 문서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(5억 이상) 타당성 평가 및 심의 지침 (STD-INV-0002, 담당부서: 투자관리그룹)</w:t>
            </w:r>
          </w:p>
        </w:tc>
      </w:tr>
      <w:tr>
        <w:tc>
          <w:tcPr>
            <w:tcW w:type="dxa" w:w="22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최근이력요약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신규 제정 — 설비·장비 구매 타당성 검토와 투자심의 이관 절차를 표준화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부칙(더미)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 문서는 department-rag-eval 프로젝트의 부서 매칭(RAG) 테스트를 위해 작성된 가상 문서이며, 실제 사내 규정이 아니다.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문서 내 담당자명은 모두 가명이며, 표준번호·시행일 등은 테스트 목적의 더미 값이다.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)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2026-09-11T04:31:23.777Z</dcterms:created>
  <dcterms:modified xsi:type="dcterms:W3CDTF">2026-09-11T04:31:23.778Z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