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0"/>
          <w:szCs w:val="30"/>
        </w:rPr>
        <w:t xml:space="preserve">(5억 이상) 타당성 평가 및 심의 지침 적용대상 해설 (부칙, Rev.1)</w:t>
      </w:r>
    </w:p>
    <w:p>
      <w:pPr>
        <w:spacing w:after="240"/>
      </w:pPr>
      <w:r>
        <w:rPr>
          <w:i/>
          <w:iCs/>
          <w:sz w:val="20"/>
          <w:szCs w:val="20"/>
        </w:rPr>
        <w:t xml:space="preserve">— 생산설비 신규 구매 포함 여부 명확화용 테스트 부칙(더미) 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E7E6E6" w:val="clear"/>
          </w:tcPr>
          <w:p>
            <w:r>
              <w:rPr>
                <w:b/>
                <w:bCs/>
                <w:sz w:val="18"/>
                <w:szCs w:val="18"/>
              </w:rPr>
              <w:t xml:space="preserve">표준명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(5억 이상) 타당성 평가 및 심의 지침 적용대상 해설 — 생산설비 신규 구매 포함 (부칙)</w:t>
            </w:r>
          </w:p>
        </w:tc>
      </w:tr>
      <w:tr>
        <w:tc>
          <w:tcPr>
            <w:tcW w:type="dxa" w:w="2200"/>
            <w:shd w:fill="E7E6E6" w:val="clear"/>
          </w:tcPr>
          <w:p>
            <w:r>
              <w:rPr>
                <w:b/>
                <w:bCs/>
                <w:sz w:val="18"/>
                <w:szCs w:val="18"/>
              </w:rPr>
              <w:t xml:space="preserve">표준번호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DUM-INV-0003 (더미)</w:t>
            </w:r>
          </w:p>
        </w:tc>
      </w:tr>
      <w:tr>
        <w:tc>
          <w:tcPr>
            <w:tcW w:type="dxa" w:w="2200"/>
            <w:shd w:fill="E7E6E6" w:val="clear"/>
          </w:tcPr>
          <w:p>
            <w:r>
              <w:rPr>
                <w:b/>
                <w:bCs/>
                <w:sz w:val="18"/>
                <w:szCs w:val="18"/>
              </w:rPr>
              <w:t xml:space="preserve">Rev.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200"/>
            <w:shd w:fill="E7E6E6" w:val="clear"/>
          </w:tcPr>
          <w:p>
            <w:r>
              <w:rPr>
                <w:b/>
                <w:bCs/>
                <w:sz w:val="18"/>
                <w:szCs w:val="18"/>
              </w:rPr>
              <w:t xml:space="preserve">시행일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2025-09-01</w:t>
            </w:r>
          </w:p>
        </w:tc>
      </w:tr>
      <w:tr>
        <w:tc>
          <w:tcPr>
            <w:tcW w:type="dxa" w:w="2200"/>
            <w:shd w:fill="E7E6E6" w:val="clear"/>
          </w:tcPr>
          <w:p>
            <w:r>
              <w:rPr>
                <w:b/>
                <w:bCs/>
                <w:sz w:val="18"/>
                <w:szCs w:val="18"/>
              </w:rPr>
              <w:t xml:space="preserve">검토일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2026-09-01</w:t>
            </w:r>
          </w:p>
        </w:tc>
      </w:tr>
      <w:tr>
        <w:tc>
          <w:tcPr>
            <w:tcW w:type="dxa" w:w="2200"/>
            <w:shd w:fill="E7E6E6" w:val="clear"/>
          </w:tcPr>
          <w:p>
            <w:r>
              <w:rPr>
                <w:b/>
                <w:bCs/>
                <w:sz w:val="18"/>
                <w:szCs w:val="18"/>
              </w:rPr>
              <w:t xml:space="preserve">담당자 / 담당부서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박서현(가명) / 투자관리그룹(더미)</w:t>
            </w:r>
          </w:p>
        </w:tc>
      </w:tr>
      <w:tr>
        <w:tc>
          <w:tcPr>
            <w:tcW w:type="dxa" w:w="2200"/>
            <w:shd w:fill="E7E6E6" w:val="clear"/>
          </w:tcPr>
          <w:p>
            <w:r>
              <w:rPr>
                <w:b/>
                <w:bCs/>
                <w:sz w:val="18"/>
                <w:szCs w:val="18"/>
              </w:rPr>
              <w:t xml:space="preserve">검토자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김태윤(가명)</w:t>
            </w:r>
          </w:p>
        </w:tc>
      </w:tr>
      <w:tr>
        <w:tc>
          <w:tcPr>
            <w:tcW w:type="dxa" w:w="2200"/>
            <w:shd w:fill="E7E6E6" w:val="clear"/>
          </w:tcPr>
          <w:p>
            <w:r>
              <w:rPr>
                <w:b/>
                <w:bCs/>
                <w:sz w:val="18"/>
                <w:szCs w:val="18"/>
              </w:rPr>
              <w:t xml:space="preserve">승인자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박서현(가명, 221614)</w:t>
            </w:r>
          </w:p>
        </w:tc>
      </w:tr>
      <w:tr>
        <w:tc>
          <w:tcPr>
            <w:tcW w:type="dxa" w:w="2200"/>
            <w:shd w:fill="E7E6E6" w:val="clear"/>
          </w:tcPr>
          <w:p>
            <w:r>
              <w:rPr>
                <w:b/>
                <w:bCs/>
                <w:sz w:val="18"/>
                <w:szCs w:val="18"/>
              </w:rPr>
              <w:t xml:space="preserve">연계 문서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(5억 이상) 타당성 평가 및 심의 지침 (STD-INV-0002, 투자관리그룹)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1. 목적</w:t>
      </w:r>
    </w:p>
    <w:p>
      <w:pPr>
        <w:spacing w:after="120"/>
      </w:pPr>
      <w:r>
        <w:t xml:space="preserve">본 부칙은 "(5억 이상) 타당성 평가 및 심의 지침(STD-INV-0002)"의 적용대상인 "5억원 이상 프로젝트성 투자", "5억원 이상 정비성 투자"에 생산설비·장비의 신규 구매가 포함됨을 명확히 하기 위해 작성한다.</w:t>
      </w:r>
    </w:p>
    <w:p>
      <w:pPr>
        <w:pStyle w:val="Heading1"/>
        <w:spacing w:after="120" w:before="240"/>
      </w:pPr>
      <w:r>
        <w:t xml:space="preserve">2. 적용범위 해설</w:t>
      </w:r>
    </w:p>
    <w:p>
      <w:pPr>
        <w:spacing w:after="120"/>
      </w:pPr>
      <w:r>
        <w:t xml:space="preserve">다음 사항은 모두 본 지침의 적용대상인 5억원 이상 투자에 해당하며, 투자관리그룹이 주관하는 투자심의를 거쳐야 한다.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5억원 이상 생산설비 신규 구매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5억원 이상 설비·장비 도입(노후 설비 교체 포함)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5억원 이상 정비성·경상 투자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5억원 이상 노후 설비 정비성 투자(노후화된 생산설비의 교체·보수를 위한 투자 포함)</w:t>
      </w:r>
    </w:p>
    <w:p>
      <w:pPr>
        <w:pStyle w:val="Heading1"/>
        <w:spacing w:after="120" w:before="240"/>
      </w:pPr>
      <w:r>
        <w:t xml:space="preserve">3. 부서 간 역할과 책임(R&amp;R)</w:t>
      </w:r>
    </w:p>
    <w:p>
      <w:pPr>
        <w:spacing w:after="120"/>
      </w:pPr>
      <w:r>
        <w:t xml:space="preserve">5억원 이상 생산설비 신규 구매 건이나 5억원 이상 노후 설비 정비성 투자 건이 발생하면, 투자관리그룹이 투자심의를 주관하는 주관부서가 되며, 설비자재구매그룹과 회계세무그룹은 아래와 같이 협업부서로서 참여한다.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000"/>
      </w:tblGrid>
      <w:tr>
        <w:tc>
          <w:tcPr>
            <w:tcW w:type="dxa" w:w="2200"/>
            <w:shd w:fill="E7E6E6" w:val="clear"/>
          </w:tcPr>
          <w:p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4800"/>
            <w:shd w:fill="E7E6E6" w:val="clear"/>
          </w:tcPr>
          <w:p>
            <w:r>
              <w:rPr>
                <w:b/>
                <w:bCs/>
                <w:sz w:val="18"/>
                <w:szCs w:val="18"/>
              </w:rPr>
              <w:t xml:space="preserve">역할</w:t>
            </w:r>
          </w:p>
        </w:tc>
        <w:tc>
          <w:tcPr>
            <w:tcW w:type="dxa" w:w="2000"/>
            <w:shd w:fill="E7E6E6" w:val="clear"/>
          </w:tcPr>
          <w:p>
            <w:r>
              <w:rPr>
                <w:b/>
                <w:bCs/>
                <w:sz w:val="18"/>
                <w:szCs w:val="18"/>
              </w:rPr>
              <w:t xml:space="preserve">지위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투자관리그룹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5억원 이상 생산설비 신규 구매 건에 대한 타당성 평가 접수, 투자심의회 주관, 심의 통과 여부 결정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주관부서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설비자재구매그룹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심의 통과 후 공급사 선정, 계약체결, 발주 등 구매 실행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협업부서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회계세무그룹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구매 확정 후 고정자산 등록 및 감가상각 기준 적용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협업부서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t xml:space="preserve">4. 처리 순서(요약)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설비자재구매그룹이 생산설비 신규 구매 제안서(공급사 견적 포함)를 작성한다.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투자관리그룹이 제안서를 접수하여 "(5억 이상) 타당성 평가 및 심의 지침" Activity 10~20에 따라 타당성 평가와 투자심의회 심의를 주관한다.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심의를 통과하면 설비자재구매그룹이 계약 체결 및 발주 등 구매를 실행한다.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구매 확정 후 회계세무그룹이 고정자산 등록 및 감가상각 기준 적용을 지원한다.</w:t>
      </w:r>
    </w:p>
    <w:p>
      <w:pPr>
        <w:pStyle w:val="Heading1"/>
        <w:spacing w:after="120" w:before="240"/>
      </w:pPr>
      <w:r>
        <w:t xml:space="preserve">부칙(더미)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 문서는 department-rag-eval 프로젝트의 부서 매칭(RAG) 테스트를 위해 작성된 가상 문서이며, 실제 사내 규정이 아니다.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문서 내 담당자명은 모두 가명이며, 표준번호·시행일 등은 테스트 목적의 더미 값이다.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)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2026-09-11T04:58:14.938Z</dcterms:created>
  <dcterms:modified xsi:type="dcterms:W3CDTF">2026-09-11T04:58:14.946Z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