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EA" w:rsidRPr="00A874EA" w:rsidRDefault="00A874EA" w:rsidP="00A874E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</w:pPr>
      <w:r w:rsidRPr="00A874EA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en-CA"/>
        </w:rPr>
        <w:t>Introduction to the Standard Directory Layout</w:t>
      </w:r>
    </w:p>
    <w:p w:rsidR="00A874EA" w:rsidRPr="00A874EA" w:rsidRDefault="00A874EA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Having a common directory layout would allow for users familiar with one Maven project to immediately feel at home in another Maven project. The advantages are analogous to adopting a site-wide look-and-feel.</w:t>
      </w:r>
    </w:p>
    <w:p w:rsidR="00A874EA" w:rsidRPr="00A874EA" w:rsidRDefault="00A874EA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 next section documents the directory layout expected by Maven and the directory layout created by Maven. Please try to conform to this structure as much as possible; however, if you can't these settings can be overridden via the project descriptor.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4"/>
        <w:gridCol w:w="16236"/>
      </w:tblGrid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/main/java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Application/Library sources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/main/resources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Application/Library resources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/main/filters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Resource filter files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/main/</w:t>
            </w: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webapp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Web application sources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/test/java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Test sources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/test/resources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Test resources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/test/filters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Test resource filter files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/it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Integration Tests (primarily for plugins)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/assembly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Assembly descriptors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proofErr w:type="spellStart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src</w:t>
            </w:r>
            <w:proofErr w:type="spellEnd"/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/site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Site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LICENSE.txt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Project's license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lastRenderedPageBreak/>
              <w:t>NOTICE.txt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Notices and attributions required by libraries that the project depends on</w:t>
            </w:r>
          </w:p>
        </w:tc>
      </w:tr>
      <w:tr w:rsidR="00A874EA" w:rsidRPr="00A874EA" w:rsidTr="00A874EA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EE9CC"/>
                <w:lang w:eastAsia="en-CA"/>
              </w:rPr>
              <w:t>README.txt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4EA" w:rsidRPr="00A874EA" w:rsidRDefault="00A874EA" w:rsidP="00A874EA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</w:pPr>
            <w:r w:rsidRPr="00A874E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CA"/>
              </w:rPr>
              <w:t>Project's readme</w:t>
            </w:r>
          </w:p>
        </w:tc>
      </w:tr>
    </w:tbl>
    <w:p w:rsidR="00A874EA" w:rsidRPr="00A874EA" w:rsidRDefault="00A874EA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At the top level files descriptive of the project: a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pom.xml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file </w:t>
      </w:r>
      <w:proofErr w:type="gramStart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In</w:t>
      </w:r>
      <w:proofErr w:type="gram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addition, there are textual documents meant for the user to be able to read immediately on receiving the source: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README.txt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LICENSE.txt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 etc.</w:t>
      </w:r>
    </w:p>
    <w:p w:rsidR="00A874EA" w:rsidRPr="00A874EA" w:rsidRDefault="00A874EA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There are just two subdirectories of this structure: </w:t>
      </w:r>
      <w:proofErr w:type="spellStart"/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src</w:t>
      </w:r>
      <w:proofErr w:type="spell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target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 The only other directories that would be expected here are metadata like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CVS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.git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or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.</w:t>
      </w:r>
      <w:proofErr w:type="spellStart"/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svn</w:t>
      </w:r>
      <w:proofErr w:type="spell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, and any subprojects in a </w:t>
      </w:r>
      <w:proofErr w:type="spellStart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multiproject</w:t>
      </w:r>
      <w:proofErr w:type="spell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build (each of which would be laid out as above).</w:t>
      </w:r>
    </w:p>
    <w:p w:rsidR="00A874EA" w:rsidRPr="00A874EA" w:rsidRDefault="00A874EA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target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directory is used to house all output of the build.</w:t>
      </w:r>
    </w:p>
    <w:p w:rsidR="00A874EA" w:rsidRPr="00A874EA" w:rsidRDefault="00A874EA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The </w:t>
      </w:r>
      <w:proofErr w:type="spellStart"/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src</w:t>
      </w:r>
      <w:proofErr w:type="spell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directory contains all of the source material for building the project, its site and so on. It contains a subdirectory for each type: </w:t>
      </w:r>
      <w:r w:rsidRPr="00CD3062">
        <w:rPr>
          <w:rFonts w:ascii="Courier New" w:eastAsia="Times New Roman" w:hAnsi="Courier New" w:cs="Courier New"/>
          <w:color w:val="333333"/>
          <w:sz w:val="19"/>
          <w:szCs w:val="19"/>
          <w:highlight w:val="yellow"/>
          <w:shd w:val="clear" w:color="auto" w:fill="FEE9CC"/>
          <w:lang w:eastAsia="en-CA"/>
        </w:rPr>
        <w:t>main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CA"/>
        </w:rPr>
        <w:t> for the main build artifact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 </w:t>
      </w:r>
      <w:r w:rsidRPr="00CD3062">
        <w:rPr>
          <w:rFonts w:ascii="Courier New" w:eastAsia="Times New Roman" w:hAnsi="Courier New" w:cs="Courier New"/>
          <w:color w:val="333333"/>
          <w:sz w:val="19"/>
          <w:szCs w:val="19"/>
          <w:highlight w:val="yellow"/>
          <w:shd w:val="clear" w:color="auto" w:fill="FEE9CC"/>
          <w:lang w:eastAsia="en-CA"/>
        </w:rPr>
        <w:t>test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CA"/>
        </w:rPr>
        <w:t> for the unit test code and resources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,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site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 so on.</w:t>
      </w:r>
    </w:p>
    <w:p w:rsidR="00A874EA" w:rsidRPr="00A874EA" w:rsidRDefault="00A874EA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Within artifact producing source directories (</w:t>
      </w:r>
      <w:proofErr w:type="spellStart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ie</w:t>
      </w:r>
      <w:proofErr w:type="spell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main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 and </w:t>
      </w:r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test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), there is 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CA"/>
        </w:rPr>
        <w:t>one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directory for the language </w:t>
      </w:r>
      <w:r w:rsidRPr="00037949">
        <w:rPr>
          <w:rFonts w:ascii="Courier New" w:eastAsia="Times New Roman" w:hAnsi="Courier New" w:cs="Courier New"/>
          <w:b/>
          <w:color w:val="333333"/>
          <w:sz w:val="19"/>
          <w:szCs w:val="19"/>
          <w:highlight w:val="yellow"/>
          <w:shd w:val="clear" w:color="auto" w:fill="FEE9CC"/>
          <w:lang w:eastAsia="en-CA"/>
        </w:rPr>
        <w:t>java</w:t>
      </w:r>
      <w:bookmarkStart w:id="0" w:name="_GoBack"/>
      <w:bookmarkEnd w:id="0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(under which the normal package hierarchy exists), and 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highlight w:val="yellow"/>
          <w:lang w:eastAsia="en-CA"/>
        </w:rPr>
        <w:t>one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for </w:t>
      </w:r>
      <w:r w:rsidRPr="00037949">
        <w:rPr>
          <w:rFonts w:ascii="Courier New" w:eastAsia="Times New Roman" w:hAnsi="Courier New" w:cs="Courier New"/>
          <w:color w:val="333333"/>
          <w:sz w:val="19"/>
          <w:szCs w:val="19"/>
          <w:highlight w:val="yellow"/>
          <w:shd w:val="clear" w:color="auto" w:fill="FEE9CC"/>
          <w:lang w:eastAsia="en-CA"/>
        </w:rPr>
        <w:t>resources</w:t>
      </w: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(the structure which is copied to the target </w:t>
      </w:r>
      <w:proofErr w:type="spellStart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classpath</w:t>
      </w:r>
      <w:proofErr w:type="spell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given the default resource definition).</w:t>
      </w:r>
    </w:p>
    <w:p w:rsidR="00A874EA" w:rsidRDefault="00A874EA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If there are other contributing sources to the artifact build, they would be under other subdirectories: for example </w:t>
      </w:r>
      <w:proofErr w:type="spellStart"/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src</w:t>
      </w:r>
      <w:proofErr w:type="spellEnd"/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/main/</w:t>
      </w:r>
      <w:proofErr w:type="spellStart"/>
      <w:r w:rsidRPr="00A874E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EE9CC"/>
          <w:lang w:eastAsia="en-CA"/>
        </w:rPr>
        <w:t>antlr</w:t>
      </w:r>
      <w:proofErr w:type="spell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 would contain </w:t>
      </w:r>
      <w:proofErr w:type="spellStart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Antlr</w:t>
      </w:r>
      <w:proofErr w:type="spellEnd"/>
      <w:r w:rsidRPr="00A874E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 grammar definition files.</w:t>
      </w:r>
    </w:p>
    <w:p w:rsidR="00BD2BE5" w:rsidRPr="00A874EA" w:rsidRDefault="00BD2BE5" w:rsidP="00A874EA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</w:p>
    <w:p w:rsidR="00B2030F" w:rsidRDefault="00BD2BE5">
      <w:hyperlink r:id="rId4" w:history="1">
        <w:r w:rsidRPr="00D77F40">
          <w:rPr>
            <w:rStyle w:val="Hyperlink"/>
          </w:rPr>
          <w:t>http://maven.apache.org/guides/introduction/introduction-to-the-standard-directory-layout.html</w:t>
        </w:r>
      </w:hyperlink>
    </w:p>
    <w:p w:rsidR="00BD2BE5" w:rsidRDefault="00BD2BE5"/>
    <w:sectPr w:rsidR="00BD2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0A"/>
    <w:rsid w:val="00037949"/>
    <w:rsid w:val="00A874EA"/>
    <w:rsid w:val="00B2030F"/>
    <w:rsid w:val="00BD2BE5"/>
    <w:rsid w:val="00CD3062"/>
    <w:rsid w:val="00E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28381-6062-4011-85B4-3801ACEE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7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74E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8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A874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ven.apache.org/guides/introduction/introduction-to-the-standard-directory-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2094</Characters>
  <Application>Microsoft Office Word</Application>
  <DocSecurity>0</DocSecurity>
  <Lines>17</Lines>
  <Paragraphs>4</Paragraphs>
  <ScaleCrop>false</ScaleCrop>
  <Company>CPP Investment Board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5</cp:revision>
  <dcterms:created xsi:type="dcterms:W3CDTF">2017-12-27T20:20:00Z</dcterms:created>
  <dcterms:modified xsi:type="dcterms:W3CDTF">2017-12-27T20:22:00Z</dcterms:modified>
</cp:coreProperties>
</file>