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66" w:rsidRDefault="00AB7F84" w:rsidP="007A426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 </w:t>
      </w:r>
      <w:r w:rsidR="007A4266">
        <w:rPr>
          <w:rFonts w:ascii="NewBaskerville-Roman" w:hAnsi="NewBaskerville-Roman" w:cs="NewBaskerville-Roman"/>
          <w:sz w:val="20"/>
          <w:szCs w:val="20"/>
        </w:rPr>
        <w:t>can see how referring to a bean by calling its method can be confusing. There’s</w:t>
      </w:r>
    </w:p>
    <w:p w:rsidR="007A4266" w:rsidRDefault="007A4266" w:rsidP="007A426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another way that might be easier to digest:</w:t>
      </w:r>
    </w:p>
    <w:p w:rsidR="002B3442" w:rsidRDefault="002B3442" w:rsidP="007A426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7A4266" w:rsidRPr="00977ACF" w:rsidRDefault="007A4266" w:rsidP="007A42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highlight w:val="yellow"/>
        </w:rPr>
      </w:pPr>
      <w:r>
        <w:rPr>
          <w:rFonts w:ascii="Courier" w:hAnsi="Courier" w:cs="Courier"/>
          <w:sz w:val="16"/>
          <w:szCs w:val="16"/>
        </w:rPr>
        <w:t>@</w:t>
      </w:r>
      <w:r w:rsidRPr="00977ACF">
        <w:rPr>
          <w:rFonts w:ascii="Courier" w:hAnsi="Courier" w:cs="Courier"/>
          <w:sz w:val="16"/>
          <w:szCs w:val="16"/>
          <w:highlight w:val="yellow"/>
        </w:rPr>
        <w:t>Bean</w:t>
      </w:r>
    </w:p>
    <w:p w:rsidR="007A4266" w:rsidRPr="00977ACF" w:rsidRDefault="007A4266" w:rsidP="007A42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highlight w:val="yellow"/>
        </w:rPr>
      </w:pPr>
      <w:r w:rsidRPr="00977ACF">
        <w:rPr>
          <w:rFonts w:ascii="Courier" w:hAnsi="Courier" w:cs="Courier"/>
          <w:sz w:val="16"/>
          <w:szCs w:val="16"/>
          <w:highlight w:val="yellow"/>
        </w:rPr>
        <w:t>public CDPlayer cdPlayer(CompactDisc compactDisc) {</w:t>
      </w:r>
    </w:p>
    <w:p w:rsidR="007A4266" w:rsidRPr="00977ACF" w:rsidRDefault="007A4266" w:rsidP="002B3442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  <w:highlight w:val="yellow"/>
        </w:rPr>
      </w:pPr>
      <w:r w:rsidRPr="00977ACF">
        <w:rPr>
          <w:rFonts w:ascii="Courier" w:hAnsi="Courier" w:cs="Courier"/>
          <w:sz w:val="16"/>
          <w:szCs w:val="16"/>
          <w:highlight w:val="yellow"/>
        </w:rPr>
        <w:t>return new CDPlayer(compactDisc);</w:t>
      </w:r>
    </w:p>
    <w:p w:rsidR="007A4266" w:rsidRDefault="007A4266" w:rsidP="007A42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77ACF">
        <w:rPr>
          <w:rFonts w:ascii="Courier" w:hAnsi="Courier" w:cs="Courier"/>
          <w:sz w:val="16"/>
          <w:szCs w:val="16"/>
          <w:highlight w:val="yellow"/>
        </w:rPr>
        <w:t>}</w:t>
      </w:r>
    </w:p>
    <w:p w:rsidR="002B3442" w:rsidRDefault="002B3442" w:rsidP="007A42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A4266" w:rsidRPr="00616E12" w:rsidRDefault="007A4266" w:rsidP="007A426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highlight w:val="yellow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Here, the </w:t>
      </w:r>
      <w:r>
        <w:rPr>
          <w:rFonts w:ascii="Courier" w:hAnsi="Courier" w:cs="Courier"/>
          <w:sz w:val="19"/>
          <w:szCs w:val="19"/>
        </w:rPr>
        <w:t xml:space="preserve">cdPlayer() </w:t>
      </w:r>
      <w:r>
        <w:rPr>
          <w:rFonts w:ascii="NewBaskerville-Roman" w:hAnsi="NewBaskerville-Roman" w:cs="NewBaskerville-Roman"/>
          <w:sz w:val="20"/>
          <w:szCs w:val="20"/>
        </w:rPr>
        <w:t xml:space="preserve">method asks for a </w:t>
      </w:r>
      <w:r>
        <w:rPr>
          <w:rFonts w:ascii="Courier" w:hAnsi="Courier" w:cs="Courier"/>
          <w:sz w:val="19"/>
          <w:szCs w:val="19"/>
        </w:rPr>
        <w:t xml:space="preserve">CompactDisc </w:t>
      </w:r>
      <w:r>
        <w:rPr>
          <w:rFonts w:ascii="NewBaskerville-Roman" w:hAnsi="NewBaskerville-Roman" w:cs="NewBaskerville-Roman"/>
          <w:sz w:val="20"/>
          <w:szCs w:val="20"/>
        </w:rPr>
        <w:t xml:space="preserve">as a parameter. </w:t>
      </w:r>
      <w:r w:rsidRPr="00616E12">
        <w:rPr>
          <w:rFonts w:ascii="NewBaskerville-Roman" w:hAnsi="NewBaskerville-Roman" w:cs="NewBaskerville-Roman"/>
          <w:sz w:val="20"/>
          <w:szCs w:val="20"/>
          <w:highlight w:val="yellow"/>
        </w:rPr>
        <w:t>When Spring</w:t>
      </w:r>
    </w:p>
    <w:p w:rsidR="007A4266" w:rsidRPr="00616E12" w:rsidRDefault="007A4266" w:rsidP="007A426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highlight w:val="yellow"/>
        </w:rPr>
      </w:pPr>
      <w:r w:rsidRPr="00616E12">
        <w:rPr>
          <w:rFonts w:ascii="NewBaskerville-Roman" w:hAnsi="NewBaskerville-Roman" w:cs="NewBaskerville-Roman"/>
          <w:sz w:val="20"/>
          <w:szCs w:val="20"/>
          <w:highlight w:val="yellow"/>
        </w:rPr>
        <w:t xml:space="preserve">calls </w:t>
      </w:r>
      <w:r w:rsidRPr="00616E12">
        <w:rPr>
          <w:rFonts w:ascii="Courier" w:hAnsi="Courier" w:cs="Courier"/>
          <w:sz w:val="19"/>
          <w:szCs w:val="19"/>
          <w:highlight w:val="yellow"/>
        </w:rPr>
        <w:t xml:space="preserve">cdPlayer() </w:t>
      </w:r>
      <w:r w:rsidRPr="00616E12">
        <w:rPr>
          <w:rFonts w:ascii="NewBaskerville-Roman" w:hAnsi="NewBaskerville-Roman" w:cs="NewBaskerville-Roman"/>
          <w:sz w:val="20"/>
          <w:szCs w:val="20"/>
          <w:highlight w:val="yellow"/>
        </w:rPr>
        <w:t xml:space="preserve">to create the </w:t>
      </w:r>
      <w:r w:rsidRPr="00616E12">
        <w:rPr>
          <w:rFonts w:ascii="Courier" w:hAnsi="Courier" w:cs="Courier"/>
          <w:sz w:val="19"/>
          <w:szCs w:val="19"/>
          <w:highlight w:val="yellow"/>
        </w:rPr>
        <w:t xml:space="preserve">CDPlayer </w:t>
      </w:r>
      <w:r w:rsidRPr="00616E12">
        <w:rPr>
          <w:rFonts w:ascii="NewBaskerville-Roman" w:hAnsi="NewBaskerville-Roman" w:cs="NewBaskerville-Roman"/>
          <w:sz w:val="20"/>
          <w:szCs w:val="20"/>
          <w:highlight w:val="yellow"/>
        </w:rPr>
        <w:t xml:space="preserve">bean, it autowires a </w:t>
      </w:r>
      <w:r w:rsidRPr="00616E12">
        <w:rPr>
          <w:rFonts w:ascii="Courier" w:hAnsi="Courier" w:cs="Courier"/>
          <w:sz w:val="19"/>
          <w:szCs w:val="19"/>
          <w:highlight w:val="yellow"/>
        </w:rPr>
        <w:t xml:space="preserve">CompactDisc </w:t>
      </w:r>
      <w:r w:rsidRPr="00616E12">
        <w:rPr>
          <w:rFonts w:ascii="NewBaskerville-Roman" w:hAnsi="NewBaskerville-Roman" w:cs="NewBaskerville-Roman"/>
          <w:sz w:val="20"/>
          <w:szCs w:val="20"/>
          <w:highlight w:val="yellow"/>
        </w:rPr>
        <w:t>into the</w:t>
      </w:r>
    </w:p>
    <w:p w:rsidR="007A4266" w:rsidRDefault="007A4266" w:rsidP="007A426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616E12">
        <w:rPr>
          <w:rFonts w:ascii="NewBaskerville-Roman" w:hAnsi="NewBaskerville-Roman" w:cs="NewBaskerville-Roman"/>
          <w:sz w:val="20"/>
          <w:szCs w:val="20"/>
          <w:highlight w:val="yellow"/>
        </w:rPr>
        <w:t>configuration method</w:t>
      </w:r>
      <w:r>
        <w:rPr>
          <w:rFonts w:ascii="NewBaskerville-Roman" w:hAnsi="NewBaskerville-Roman" w:cs="NewBaskerville-Roman"/>
          <w:sz w:val="20"/>
          <w:szCs w:val="20"/>
        </w:rPr>
        <w:t>. Then the body of the method can use it however it sees fit.</w:t>
      </w:r>
    </w:p>
    <w:p w:rsidR="007A4266" w:rsidRDefault="007A4266" w:rsidP="007A426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With this technique, the </w:t>
      </w:r>
      <w:r>
        <w:rPr>
          <w:rFonts w:ascii="Courier" w:hAnsi="Courier" w:cs="Courier"/>
          <w:sz w:val="19"/>
          <w:szCs w:val="19"/>
        </w:rPr>
        <w:t xml:space="preserve">cdPlayer() </w:t>
      </w:r>
      <w:r>
        <w:rPr>
          <w:rFonts w:ascii="NewBaskerville-Roman" w:hAnsi="NewBaskerville-Roman" w:cs="NewBaskerville-Roman"/>
          <w:sz w:val="20"/>
          <w:szCs w:val="20"/>
        </w:rPr>
        <w:t xml:space="preserve">method can still inject the </w:t>
      </w:r>
      <w:r>
        <w:rPr>
          <w:rFonts w:ascii="Courier" w:hAnsi="Courier" w:cs="Courier"/>
          <w:sz w:val="19"/>
          <w:szCs w:val="19"/>
        </w:rPr>
        <w:t xml:space="preserve">CompactDisc </w:t>
      </w:r>
      <w:r>
        <w:rPr>
          <w:rFonts w:ascii="NewBaskerville-Roman" w:hAnsi="NewBaskerville-Roman" w:cs="NewBaskerville-Roman"/>
          <w:sz w:val="20"/>
          <w:szCs w:val="20"/>
        </w:rPr>
        <w:t>into the</w:t>
      </w:r>
    </w:p>
    <w:p w:rsidR="007A4266" w:rsidRDefault="007A4266" w:rsidP="007A42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CDPlayer</w:t>
      </w:r>
      <w:r>
        <w:rPr>
          <w:rFonts w:ascii="NewBaskerville-Roman" w:hAnsi="NewBaskerville-Roman" w:cs="NewBaskerville-Roman"/>
          <w:sz w:val="20"/>
          <w:szCs w:val="20"/>
        </w:rPr>
        <w:t xml:space="preserve">’s constructor without explicitly referring to the </w:t>
      </w:r>
      <w:r>
        <w:rPr>
          <w:rFonts w:ascii="Courier" w:hAnsi="Courier" w:cs="Courier"/>
          <w:sz w:val="19"/>
          <w:szCs w:val="19"/>
        </w:rPr>
        <w:t>CompactDisc</w:t>
      </w:r>
      <w:r>
        <w:rPr>
          <w:rFonts w:ascii="NewBaskerville-Roman" w:hAnsi="NewBaskerville-Roman" w:cs="NewBaskerville-Roman"/>
          <w:sz w:val="20"/>
          <w:szCs w:val="20"/>
        </w:rPr>
        <w:t xml:space="preserve">’s </w:t>
      </w:r>
      <w:r>
        <w:rPr>
          <w:rFonts w:ascii="Courier" w:hAnsi="Courier" w:cs="Courier"/>
          <w:sz w:val="19"/>
          <w:szCs w:val="19"/>
        </w:rPr>
        <w:t>@Bean</w:t>
      </w:r>
    </w:p>
    <w:p w:rsidR="007A4266" w:rsidRDefault="007A4266" w:rsidP="007A426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method.</w:t>
      </w:r>
    </w:p>
    <w:p w:rsidR="00616E12" w:rsidRDefault="00616E12" w:rsidP="007A426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7A4266" w:rsidRPr="00616E12" w:rsidRDefault="007A4266" w:rsidP="007A426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highlight w:val="yellow"/>
        </w:rPr>
      </w:pPr>
      <w:r w:rsidRPr="00616E12">
        <w:rPr>
          <w:rFonts w:ascii="NewBaskerville-Roman" w:hAnsi="NewBaskerville-Roman" w:cs="NewBaskerville-Roman"/>
          <w:sz w:val="20"/>
          <w:szCs w:val="20"/>
          <w:highlight w:val="yellow"/>
        </w:rPr>
        <w:t>This approach to referring to other beans is usually the best choice because it</w:t>
      </w:r>
    </w:p>
    <w:p w:rsidR="007A4266" w:rsidRPr="00616E12" w:rsidRDefault="007A4266" w:rsidP="007A426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highlight w:val="yellow"/>
        </w:rPr>
      </w:pPr>
      <w:r w:rsidRPr="00616E12">
        <w:rPr>
          <w:rFonts w:ascii="NewBaskerville-Roman" w:hAnsi="NewBaskerville-Roman" w:cs="NewBaskerville-Roman"/>
          <w:sz w:val="20"/>
          <w:szCs w:val="20"/>
          <w:highlight w:val="yellow"/>
        </w:rPr>
        <w:t xml:space="preserve">doesn’t depend on the </w:t>
      </w:r>
      <w:r w:rsidRPr="00616E12">
        <w:rPr>
          <w:rFonts w:ascii="Courier" w:hAnsi="Courier" w:cs="Courier"/>
          <w:sz w:val="19"/>
          <w:szCs w:val="19"/>
          <w:highlight w:val="yellow"/>
        </w:rPr>
        <w:t xml:space="preserve">CompactDisc </w:t>
      </w:r>
      <w:r w:rsidRPr="00616E12">
        <w:rPr>
          <w:rFonts w:ascii="NewBaskerville-Roman" w:hAnsi="NewBaskerville-Roman" w:cs="NewBaskerville-Roman"/>
          <w:sz w:val="20"/>
          <w:szCs w:val="20"/>
          <w:highlight w:val="yellow"/>
        </w:rPr>
        <w:t>bean being declared in the same configuration</w:t>
      </w:r>
    </w:p>
    <w:p w:rsidR="007A4266" w:rsidRPr="00616E12" w:rsidRDefault="007A4266" w:rsidP="007A426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highlight w:val="yellow"/>
        </w:rPr>
      </w:pPr>
      <w:r w:rsidRPr="00616E12">
        <w:rPr>
          <w:rFonts w:ascii="NewBaskerville-Roman" w:hAnsi="NewBaskerville-Roman" w:cs="NewBaskerville-Roman"/>
          <w:sz w:val="20"/>
          <w:szCs w:val="20"/>
          <w:highlight w:val="yellow"/>
        </w:rPr>
        <w:t xml:space="preserve">class. In fact, there’s nothing that says the </w:t>
      </w:r>
      <w:r w:rsidRPr="00616E12">
        <w:rPr>
          <w:rFonts w:ascii="Courier" w:hAnsi="Courier" w:cs="Courier"/>
          <w:sz w:val="19"/>
          <w:szCs w:val="19"/>
          <w:highlight w:val="yellow"/>
        </w:rPr>
        <w:t xml:space="preserve">CompactDisc </w:t>
      </w:r>
      <w:r w:rsidRPr="00616E12">
        <w:rPr>
          <w:rFonts w:ascii="NewBaskerville-Roman" w:hAnsi="NewBaskerville-Roman" w:cs="NewBaskerville-Roman"/>
          <w:sz w:val="20"/>
          <w:szCs w:val="20"/>
          <w:highlight w:val="yellow"/>
        </w:rPr>
        <w:t>bean even needs to be</w:t>
      </w:r>
    </w:p>
    <w:p w:rsidR="007A4266" w:rsidRPr="00616E12" w:rsidRDefault="007A4266" w:rsidP="007A426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highlight w:val="yellow"/>
        </w:rPr>
      </w:pPr>
      <w:r w:rsidRPr="00616E12">
        <w:rPr>
          <w:rFonts w:ascii="NewBaskerville-Roman" w:hAnsi="NewBaskerville-Roman" w:cs="NewBaskerville-Roman"/>
          <w:sz w:val="20"/>
          <w:szCs w:val="20"/>
          <w:highlight w:val="yellow"/>
        </w:rPr>
        <w:t>declared in JavaConfig; it could have been discovered by component scanning or</w:t>
      </w:r>
    </w:p>
    <w:p w:rsidR="007A4266" w:rsidRDefault="007A4266" w:rsidP="007A426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616E12">
        <w:rPr>
          <w:rFonts w:ascii="NewBaskerville-Roman" w:hAnsi="NewBaskerville-Roman" w:cs="NewBaskerville-Roman"/>
          <w:sz w:val="20"/>
          <w:szCs w:val="20"/>
          <w:highlight w:val="yellow"/>
        </w:rPr>
        <w:t xml:space="preserve">declared in </w:t>
      </w:r>
      <w:r w:rsidRPr="00616E12">
        <w:rPr>
          <w:rFonts w:ascii="NewBaskerville-Roman" w:hAnsi="NewBaskerville-Roman" w:cs="NewBaskerville-Roman"/>
          <w:sz w:val="18"/>
          <w:szCs w:val="18"/>
          <w:highlight w:val="yellow"/>
        </w:rPr>
        <w:t>XML</w:t>
      </w:r>
      <w:r>
        <w:rPr>
          <w:rFonts w:ascii="NewBaskerville-Roman" w:hAnsi="NewBaskerville-Roman" w:cs="NewBaskerville-Roman"/>
          <w:sz w:val="20"/>
          <w:szCs w:val="20"/>
        </w:rPr>
        <w:t>. You could break up your configuration into a healthy mix of configuration</w:t>
      </w:r>
    </w:p>
    <w:p w:rsidR="007A4266" w:rsidRDefault="007A4266" w:rsidP="007A426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classes, </w:t>
      </w:r>
      <w:r>
        <w:rPr>
          <w:rFonts w:ascii="NewBaskerville-Roman" w:hAnsi="NewBaskerville-Roman" w:cs="NewBaskerville-Roman"/>
          <w:sz w:val="18"/>
          <w:szCs w:val="18"/>
        </w:rPr>
        <w:t xml:space="preserve">XML </w:t>
      </w:r>
      <w:r>
        <w:rPr>
          <w:rFonts w:ascii="NewBaskerville-Roman" w:hAnsi="NewBaskerville-Roman" w:cs="NewBaskerville-Roman"/>
          <w:sz w:val="20"/>
          <w:szCs w:val="20"/>
        </w:rPr>
        <w:t>files, and automatically scanned and wired beans. No matter how</w:t>
      </w:r>
    </w:p>
    <w:p w:rsidR="007A4266" w:rsidRDefault="007A4266" w:rsidP="007A426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CompactDisc </w:t>
      </w:r>
      <w:r>
        <w:rPr>
          <w:rFonts w:ascii="NewBaskerville-Roman" w:hAnsi="NewBaskerville-Roman" w:cs="NewBaskerville-Roman"/>
          <w:sz w:val="20"/>
          <w:szCs w:val="20"/>
        </w:rPr>
        <w:t>was created, Spring will be happy to hand it to this configuration</w:t>
      </w:r>
    </w:p>
    <w:p w:rsidR="00C83424" w:rsidRDefault="007A4266" w:rsidP="007A4266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method to create the </w:t>
      </w:r>
      <w:r>
        <w:rPr>
          <w:rFonts w:ascii="Courier" w:hAnsi="Courier" w:cs="Courier"/>
          <w:sz w:val="19"/>
          <w:szCs w:val="19"/>
        </w:rPr>
        <w:t xml:space="preserve">CDPlayer </w:t>
      </w:r>
      <w:r>
        <w:rPr>
          <w:rFonts w:ascii="NewBaskerville-Roman" w:hAnsi="NewBaskerville-Roman" w:cs="NewBaskerville-Roman"/>
          <w:sz w:val="20"/>
          <w:szCs w:val="20"/>
        </w:rPr>
        <w:t>bean.</w:t>
      </w:r>
    </w:p>
    <w:p w:rsidR="00951DAA" w:rsidRDefault="00951DAA" w:rsidP="007A4266">
      <w:r>
        <w:rPr>
          <w:rFonts w:ascii="NewBaskerville-Roman" w:hAnsi="NewBaskerville-Roman" w:cs="NewBaskerville-Roman"/>
          <w:sz w:val="20"/>
          <w:szCs w:val="20"/>
        </w:rPr>
        <w:t>Spring In Action 4</w:t>
      </w:r>
      <w:r w:rsidRPr="00951DAA">
        <w:rPr>
          <w:rFonts w:ascii="NewBaskerville-Roman" w:hAnsi="NewBaskerville-Roman" w:cs="NewBaskerville-Roman"/>
          <w:sz w:val="20"/>
          <w:szCs w:val="20"/>
          <w:vertAlign w:val="superscript"/>
        </w:rPr>
        <w:t>th</w:t>
      </w:r>
      <w:r>
        <w:rPr>
          <w:rFonts w:ascii="NewBaskerville-Roman" w:hAnsi="NewBaskerville-Roman" w:cs="NewBaskerville-Roman"/>
          <w:sz w:val="20"/>
          <w:szCs w:val="20"/>
        </w:rPr>
        <w:t xml:space="preserve"> Edition(2.3.3</w:t>
      </w:r>
      <w:bookmarkStart w:id="0" w:name="_GoBack"/>
      <w:bookmarkEnd w:id="0"/>
      <w:r>
        <w:rPr>
          <w:rFonts w:ascii="NewBaskerville-Roman" w:hAnsi="NewBaskerville-Roman" w:cs="NewBaskerville-Roman"/>
          <w:sz w:val="20"/>
          <w:szCs w:val="20"/>
        </w:rPr>
        <w:t>)</w:t>
      </w:r>
    </w:p>
    <w:sectPr w:rsidR="00951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ED"/>
    <w:rsid w:val="002B3442"/>
    <w:rsid w:val="003873ED"/>
    <w:rsid w:val="00616E12"/>
    <w:rsid w:val="007A4266"/>
    <w:rsid w:val="00951DAA"/>
    <w:rsid w:val="00977ACF"/>
    <w:rsid w:val="00AB7F84"/>
    <w:rsid w:val="00C8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7072C-EEC3-4F0C-A559-43DA9CE0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1089</Characters>
  <Application>Microsoft Office Word</Application>
  <DocSecurity>0</DocSecurity>
  <Lines>9</Lines>
  <Paragraphs>2</Paragraphs>
  <ScaleCrop>false</ScaleCrop>
  <Company>CPP Investment Board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8</cp:revision>
  <dcterms:created xsi:type="dcterms:W3CDTF">2018-01-11T19:45:00Z</dcterms:created>
  <dcterms:modified xsi:type="dcterms:W3CDTF">2018-01-11T19:47:00Z</dcterms:modified>
</cp:coreProperties>
</file>