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20" w:before="0"/>
        <w:jc w:val="center"/>
      </w:pPr>
      <w:r>
        <w:rPr>
          <w:rFonts w:ascii="Arial" w:cs="Arial" w:eastAsia="Arial" w:hAnsi="Arial"/>
          <w:b/>
          <w:bCs/>
          <w:color w:val="6D28D9"/>
          <w:sz w:val="96"/>
          <w:szCs w:val="96"/>
        </w:rPr>
        <w:t xml:space="preserve">SolAgent</w:t>
      </w:r>
    </w:p>
    <w:p>
      <w:pPr>
        <w:spacing w:after="60" w:before="0"/>
        <w:jc w:val="center"/>
      </w:pPr>
      <w:r>
        <w:rPr>
          <w:rFonts w:ascii="Arial" w:cs="Arial" w:eastAsia="Arial" w:hAnsi="Arial"/>
          <w:i/>
          <w:iCs/>
          <w:color w:val="374151"/>
          <w:sz w:val="30"/>
          <w:szCs w:val="30"/>
        </w:rPr>
        <w:t xml:space="preserve">Trust Infrastructure for Autonomous Finance on Solana</w:t>
      </w:r>
    </w:p>
    <w:p>
      <w:pPr>
        <w:spacing w:after="300" w:before="0"/>
        <w:jc w:val="center"/>
      </w:pPr>
      <w:r>
        <w:rPr>
          <w:rFonts w:ascii="Arial" w:cs="Arial" w:eastAsia="Arial" w:hAnsi="Arial"/>
          <w:color w:val="6B7280"/>
          <w:sz w:val="18"/>
          <w:szCs w:val="18"/>
        </w:rPr>
        <w:t xml:space="preserve">Production Architecture &amp; Product Document  —  Version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5E7EB" w:sz="1"/>
              <w:left w:val="single" w:color="E5E7EB" w:sz="1"/>
              <w:bottom w:val="single" w:color="E5E7EB" w:sz="1"/>
              <w:right w:val="single" w:color="E5E7EB" w:sz="1"/>
            </w:tcBorders>
            <w:shd w:fill="EDE9FE" w:val="clear"/>
            <w:tcMar>
              <w:top w:type="dxa" w:w="90"/>
              <w:left w:type="dxa" w:w="130"/>
              <w:bottom w:type="dxa" w:w="90"/>
              <w:right w:type="dxa" w:w="130"/>
            </w:tcMar>
            <w:vAlign w:val="top"/>
          </w:tcPr>
          <w:p>
            <w:pPr>
              <w:spacing w:after="80" w:before="80"/>
              <w:jc w:val="center"/>
            </w:pPr>
            <w:r>
              <w:rPr>
                <w:rFonts w:ascii="Arial" w:cs="Arial" w:eastAsia="Arial" w:hAnsi="Arial"/>
                <w:b/>
                <w:bCs/>
                <w:color w:val="6D28D9"/>
                <w:sz w:val="21"/>
                <w:szCs w:val="21"/>
              </w:rPr>
              <w:t xml:space="preserve">Event-Driven</w:t>
            </w:r>
            <w:r>
              <w:rPr>
                <w:rFonts w:ascii="Arial" w:cs="Arial" w:eastAsia="Arial" w:hAnsi="Arial"/>
                <w:color w:val="6B7280"/>
                <w:sz w:val="17"/>
                <w:szCs w:val="17"/>
              </w:rPr>
              <w:t xml:space="preserve">
Helius webhooks,
not polling</w:t>
            </w:r>
          </w:p>
        </w:tc>
        <w:tc>
          <w:tcPr>
            <w:tcW w:type="dxa" w:w="2340"/>
            <w:tcBorders>
              <w:top w:val="single" w:color="E5E7EB" w:sz="1"/>
              <w:left w:val="single" w:color="E5E7EB" w:sz="1"/>
              <w:bottom w:val="single" w:color="E5E7EB" w:sz="1"/>
              <w:right w:val="single" w:color="E5E7EB" w:sz="1"/>
            </w:tcBorders>
            <w:shd w:fill="EDE9FE" w:val="clear"/>
            <w:tcMar>
              <w:top w:type="dxa" w:w="90"/>
              <w:left w:type="dxa" w:w="130"/>
              <w:bottom w:type="dxa" w:w="90"/>
              <w:right w:type="dxa" w:w="130"/>
            </w:tcMar>
            <w:vAlign w:val="top"/>
          </w:tcPr>
          <w:p>
            <w:pPr>
              <w:spacing w:after="80" w:before="80"/>
              <w:jc w:val="center"/>
            </w:pPr>
            <w:r>
              <w:rPr>
                <w:rFonts w:ascii="Arial" w:cs="Arial" w:eastAsia="Arial" w:hAnsi="Arial"/>
                <w:b/>
                <w:bCs/>
                <w:color w:val="6D28D9"/>
                <w:sz w:val="21"/>
                <w:szCs w:val="21"/>
              </w:rPr>
              <w:t xml:space="preserve">Semi-Custodial</w:t>
            </w:r>
            <w:r>
              <w:rPr>
                <w:rFonts w:ascii="Arial" w:cs="Arial" w:eastAsia="Arial" w:hAnsi="Arial"/>
                <w:color w:val="6B7280"/>
                <w:sz w:val="17"/>
                <w:szCs w:val="17"/>
              </w:rPr>
              <w:t xml:space="preserve">
Honest model,
TEE migration path</w:t>
            </w:r>
          </w:p>
        </w:tc>
        <w:tc>
          <w:tcPr>
            <w:tcW w:type="dxa" w:w="2340"/>
            <w:tcBorders>
              <w:top w:val="single" w:color="E5E7EB" w:sz="1"/>
              <w:left w:val="single" w:color="E5E7EB" w:sz="1"/>
              <w:bottom w:val="single" w:color="E5E7EB" w:sz="1"/>
              <w:right w:val="single" w:color="E5E7EB" w:sz="1"/>
            </w:tcBorders>
            <w:shd w:fill="EDE9FE" w:val="clear"/>
            <w:tcMar>
              <w:top w:type="dxa" w:w="90"/>
              <w:left w:type="dxa" w:w="130"/>
              <w:bottom w:type="dxa" w:w="90"/>
              <w:right w:type="dxa" w:w="130"/>
            </w:tcMar>
            <w:vAlign w:val="top"/>
          </w:tcPr>
          <w:p>
            <w:pPr>
              <w:spacing w:after="80" w:before="80"/>
              <w:jc w:val="center"/>
            </w:pPr>
            <w:r>
              <w:rPr>
                <w:rFonts w:ascii="Arial" w:cs="Arial" w:eastAsia="Arial" w:hAnsi="Arial"/>
                <w:b/>
                <w:bCs/>
                <w:color w:val="6D28D9"/>
                <w:sz w:val="21"/>
                <w:szCs w:val="21"/>
              </w:rPr>
              <w:t xml:space="preserve">Idempotent</w:t>
            </w:r>
            <w:r>
              <w:rPr>
                <w:rFonts w:ascii="Arial" w:cs="Arial" w:eastAsia="Arial" w:hAnsi="Arial"/>
                <w:color w:val="6B7280"/>
                <w:sz w:val="17"/>
                <w:szCs w:val="17"/>
              </w:rPr>
              <w:t xml:space="preserve">
Double-fire is
architecturally impossible</w:t>
            </w:r>
          </w:p>
        </w:tc>
        <w:tc>
          <w:tcPr>
            <w:tcW w:type="dxa" w:w="2340"/>
            <w:tcBorders>
              <w:top w:val="single" w:color="E5E7EB" w:sz="1"/>
              <w:left w:val="single" w:color="E5E7EB" w:sz="1"/>
              <w:bottom w:val="single" w:color="E5E7EB" w:sz="1"/>
              <w:right w:val="single" w:color="E5E7EB" w:sz="1"/>
            </w:tcBorders>
            <w:shd w:fill="EDE9FE" w:val="clear"/>
            <w:tcMar>
              <w:top w:type="dxa" w:w="90"/>
              <w:left w:type="dxa" w:w="130"/>
              <w:bottom w:type="dxa" w:w="90"/>
              <w:right w:type="dxa" w:w="130"/>
            </w:tcMar>
            <w:vAlign w:val="top"/>
          </w:tcPr>
          <w:p>
            <w:pPr>
              <w:spacing w:after="80" w:before="80"/>
              <w:jc w:val="center"/>
            </w:pPr>
            <w:r>
              <w:rPr>
                <w:rFonts w:ascii="Arial" w:cs="Arial" w:eastAsia="Arial" w:hAnsi="Arial"/>
                <w:b/>
                <w:bCs/>
                <w:color w:val="6D28D9"/>
                <w:sz w:val="21"/>
                <w:szCs w:val="21"/>
              </w:rPr>
              <w:t xml:space="preserve">Dual-Oracle</w:t>
            </w:r>
            <w:r>
              <w:rPr>
                <w:rFonts w:ascii="Arial" w:cs="Arial" w:eastAsia="Arial" w:hAnsi="Arial"/>
                <w:color w:val="6B7280"/>
                <w:sz w:val="17"/>
                <w:szCs w:val="17"/>
              </w:rPr>
              <w:t xml:space="preserve">
Jupiter + Pyth
cross-verified</w:t>
            </w:r>
          </w:p>
        </w:tc>
      </w:tr>
    </w:tbl>
    <w:p>
      <w:pPr>
        <w:spacing w:after="0" w:before="200"/>
      </w:pPr>
      <w:r>
        <w:t xml:space="preserve"/>
      </w:r>
    </w:p>
    <w:p>
      <w:r>
        <w:br w:type="page"/>
      </w:r>
    </w:p>
    <w:p>
      <w:pPr>
        <w:pStyle w:val="Heading1"/>
        <w:pBdr>
          <w:bottom w:val="single" w:color="6D28D9" w:sz="6" w:space="6"/>
        </w:pBdr>
        <w:spacing w:after="180" w:before="480"/>
      </w:pPr>
      <w:r>
        <w:rPr>
          <w:rFonts w:ascii="Arial" w:cs="Arial" w:eastAsia="Arial" w:hAnsi="Arial"/>
          <w:b/>
          <w:bCs/>
          <w:color w:val="4C1D95"/>
          <w:sz w:val="40"/>
          <w:szCs w:val="40"/>
        </w:rPr>
        <w:t xml:space="preserve">1. Product Philosophy &amp; Repositioning</w:t>
      </w:r>
    </w:p>
    <w:p>
      <w:pPr>
        <w:pStyle w:val="Heading2"/>
        <w:spacing w:after="120" w:before="300"/>
      </w:pPr>
      <w:r>
        <w:rPr>
          <w:rFonts w:ascii="Arial" w:cs="Arial" w:eastAsia="Arial" w:hAnsi="Arial"/>
          <w:b/>
          <w:bCs/>
          <w:color w:val="6D28D9"/>
          <w:sz w:val="28"/>
          <w:szCs w:val="28"/>
        </w:rPr>
        <w:t xml:space="preserve">1.1  What SolAgent Actually Is</w:t>
      </w:r>
    </w:p>
    <w:p>
      <w:pPr>
        <w:spacing w:after="80" w:before="80"/>
      </w:pPr>
      <w:r>
        <w:rPr>
          <w:rFonts w:ascii="Arial" w:cs="Arial" w:eastAsia="Arial" w:hAnsi="Arial"/>
          <w:b w:val="false"/>
          <w:bCs w:val="false"/>
          <w:color w:val="374151"/>
          <w:sz w:val="19"/>
          <w:szCs w:val="19"/>
        </w:rPr>
        <w:t xml:space="preserve">SolAgent is not a trading bot. It is not a DeFi automation tool. It is an observability and execution layer for AI agents operating on Solana — the first product that makes AI financial decisions independently verifiable by anyone, without trusting any company's server.</w:t>
      </w:r>
    </w:p>
    <w:p>
      <w:pPr>
        <w:spacing w:after="0" w:before="80"/>
      </w:pPr>
      <w:r>
        <w:t xml:space="preserve"/>
      </w:r>
    </w:p>
    <w:p>
      <w:pPr>
        <w:pBdr>
          <w:left w:val="single" w:color="0F766E" w:sz="20" w:space="8"/>
        </w:pBdr>
        <w:shd w:fill="CCFBF1" w:val="clear"/>
        <w:spacing w:after="140" w:before="140"/>
        <w:ind w:left="240"/>
      </w:pPr>
      <w:r>
        <w:rPr>
          <w:rFonts w:ascii="Arial" w:cs="Arial" w:eastAsia="Arial" w:hAnsi="Arial"/>
          <w:b/>
          <w:bCs/>
          <w:color w:val="0F766E"/>
          <w:sz w:val="19"/>
          <w:szCs w:val="19"/>
        </w:rPr>
        <w:t xml:space="preserve">INSIGHT  </w:t>
      </w:r>
      <w:r>
        <w:rPr>
          <w:rFonts w:ascii="Arial" w:cs="Arial" w:eastAsia="Arial" w:hAnsi="Arial"/>
          <w:color w:val="111827"/>
          <w:sz w:val="19"/>
          <w:szCs w:val="19"/>
        </w:rPr>
        <w:t xml:space="preserve">The repositioning: SolAgent is to AI wallet agents what Etherscan is to smart contracts. You do not trust Etherscan's UI — you trust the blockchain it reads. SolAgent makes AI agent behavior readable at the same level.</w:t>
      </w:r>
    </w:p>
    <w:p>
      <w:pPr>
        <w:spacing w:after="0" w:before="80"/>
      </w:pPr>
      <w:r>
        <w:t xml:space="preserve"/>
      </w:r>
    </w:p>
    <w:p>
      <w:pPr>
        <w:pStyle w:val="Heading2"/>
        <w:spacing w:after="120" w:before="300"/>
      </w:pPr>
      <w:r>
        <w:rPr>
          <w:rFonts w:ascii="Arial" w:cs="Arial" w:eastAsia="Arial" w:hAnsi="Arial"/>
          <w:b/>
          <w:bCs/>
          <w:color w:val="6D28D9"/>
          <w:sz w:val="28"/>
          <w:szCs w:val="28"/>
        </w:rPr>
        <w:t xml:space="preserve">1.2  The Trust Model</w:t>
      </w:r>
    </w:p>
    <w:p>
      <w:pPr>
        <w:spacing w:after="80" w:before="80"/>
      </w:pPr>
      <w:r>
        <w:rPr>
          <w:rFonts w:ascii="Arial" w:cs="Arial" w:eastAsia="Arial" w:hAnsi="Arial"/>
          <w:b w:val="false"/>
          <w:bCs w:val="false"/>
          <w:color w:val="374151"/>
          <w:sz w:val="19"/>
          <w:szCs w:val="19"/>
        </w:rPr>
        <w:t xml:space="preserve">Every AI system that manages money has a trust problem. Today that problem is solved by: 'trust the company.' SolAgent replaces that with a cryptographic trust model. The claim is precise and honest: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vAlign w:val="top"/>
          </w:tcPr>
          <w:p>
            <w:pPr>
              <w:spacing w:after="20" w:before="20"/>
              <w:jc w:val="left"/>
            </w:pPr>
            <w:r>
              <w:rPr>
                <w:rFonts w:ascii="Arial" w:cs="Arial" w:eastAsia="Arial" w:hAnsi="Arial"/>
                <w:b/>
                <w:bCs/>
                <w:i w:val="false"/>
                <w:iCs w:val="false"/>
                <w:color w:val="FFFFFF"/>
                <w:sz w:val="19"/>
                <w:szCs w:val="19"/>
              </w:rPr>
              <w:t xml:space="preserve">What SolAgent Proves</w:t>
            </w:r>
          </w:p>
        </w:tc>
        <w:tc>
          <w:tcPr>
            <w:tcW w:type="dxa" w:w="468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vAlign w:val="top"/>
          </w:tcPr>
          <w:p>
            <w:pPr>
              <w:spacing w:after="20" w:before="20"/>
              <w:jc w:val="left"/>
            </w:pPr>
            <w:r>
              <w:rPr>
                <w:rFonts w:ascii="Arial" w:cs="Arial" w:eastAsia="Arial" w:hAnsi="Arial"/>
                <w:b/>
                <w:bCs/>
                <w:i w:val="false"/>
                <w:iCs w:val="false"/>
                <w:color w:val="FFFFFF"/>
                <w:sz w:val="19"/>
                <w:szCs w:val="19"/>
              </w:rPr>
              <w:t xml:space="preserve">What SolAgent Does Not Prove</w:t>
            </w:r>
          </w:p>
        </w:tc>
      </w:tr>
      <w:tr>
        <w:tc>
          <w:tcPr>
            <w:tcW w:type="dxa" w:w="468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What action was executed (swap, transfer, pause)</w:t>
            </w:r>
          </w:p>
        </w:tc>
        <w:tc>
          <w:tcPr>
            <w:tcW w:type="dxa" w:w="468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Whether the input data (price feed) was correct</w:t>
            </w:r>
          </w:p>
        </w:tc>
      </w:tr>
      <w:tr>
        <w:tc>
          <w:tcPr>
            <w:tcW w:type="dxa" w:w="468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What on-chain condition was observed at execution time</w:t>
            </w:r>
          </w:p>
        </w:tc>
        <w:tc>
          <w:tcPr>
            <w:tcW w:type="dxa" w:w="468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Whether the LLM parsed the original rule with 100% fidelity</w:t>
            </w:r>
          </w:p>
        </w:tc>
      </w:tr>
      <w:tr>
        <w:tc>
          <w:tcPr>
            <w:tcW w:type="dxa" w:w="468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Which rule ID triggered the action</w:t>
            </w:r>
          </w:p>
        </w:tc>
        <w:tc>
          <w:tcPr>
            <w:tcW w:type="dxa" w:w="468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Whether the backend condition evaluation logic is bug-free</w:t>
            </w:r>
          </w:p>
        </w:tc>
      </w:tr>
      <w:tr>
        <w:tc>
          <w:tcPr>
            <w:tcW w:type="dxa" w:w="468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Exact timestamp and block height of decision</w:t>
            </w:r>
          </w:p>
        </w:tc>
        <w:tc>
          <w:tcPr>
            <w:tcW w:type="dxa" w:w="468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Whether user intent perfectly matches rule semantics</w:t>
            </w:r>
          </w:p>
        </w:tc>
      </w:tr>
      <w:tr>
        <w:tc>
          <w:tcPr>
            <w:tcW w:type="dxa" w:w="468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Agent pubkey that signed the transaction</w:t>
            </w:r>
          </w:p>
        </w:tc>
        <w:tc>
          <w:tcPr>
            <w:tcW w:type="dxa" w:w="468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Absence of bugs in the execution engine itself</w:t>
            </w:r>
          </w:p>
        </w:tc>
      </w:tr>
    </w:tbl>
    <w:p>
      <w:pPr>
        <w:spacing w:after="0" w:before="80"/>
      </w:pPr>
      <w:r>
        <w:t xml:space="preserve"/>
      </w:r>
    </w:p>
    <w:p>
      <w:pPr>
        <w:pBdr>
          <w:left w:val="single" w:color="0F766E" w:sz="20" w:space="8"/>
        </w:pBdr>
        <w:shd w:fill="CCFBF1" w:val="clear"/>
        <w:spacing w:after="140" w:before="140"/>
        <w:ind w:left="240"/>
      </w:pPr>
      <w:r>
        <w:rPr>
          <w:rFonts w:ascii="Arial" w:cs="Arial" w:eastAsia="Arial" w:hAnsi="Arial"/>
          <w:b/>
          <w:bCs/>
          <w:color w:val="0F766E"/>
          <w:sz w:val="19"/>
          <w:szCs w:val="19"/>
        </w:rPr>
        <w:t xml:space="preserve">STRATEGIC HONESTY  </w:t>
      </w:r>
      <w:r>
        <w:rPr>
          <w:rFonts w:ascii="Arial" w:cs="Arial" w:eastAsia="Arial" w:hAnsi="Arial"/>
          <w:color w:val="111827"/>
          <w:sz w:val="19"/>
          <w:szCs w:val="19"/>
        </w:rPr>
        <w:t xml:space="preserve">This distinction is not a weakness — it is the honest boundary of what a blockchain can prove. Any system claiming more is lying. Stating this boundary clearly is itself a competitive advantage with sophisticated judges and investors.</w:t>
      </w:r>
    </w:p>
    <w:p>
      <w:pPr>
        <w:spacing w:after="0" w:before="80"/>
      </w:pPr>
      <w:r>
        <w:t xml:space="preserve"/>
      </w:r>
    </w:p>
    <w:p>
      <w:pPr>
        <w:pStyle w:val="Heading2"/>
        <w:spacing w:after="120" w:before="300"/>
      </w:pPr>
      <w:r>
        <w:rPr>
          <w:rFonts w:ascii="Arial" w:cs="Arial" w:eastAsia="Arial" w:hAnsi="Arial"/>
          <w:b/>
          <w:bCs/>
          <w:color w:val="6D28D9"/>
          <w:sz w:val="28"/>
          <w:szCs w:val="28"/>
        </w:rPr>
        <w:t xml:space="preserve">1.3  The Correct Product Framing</w:t>
      </w:r>
    </w:p>
    <w:p>
      <w:pPr>
        <w:spacing w:after="80" w:before="80"/>
      </w:pPr>
      <w:r>
        <w:rPr>
          <w:rFonts w:ascii="Arial" w:cs="Arial" w:eastAsia="Arial" w:hAnsi="Arial"/>
          <w:b w:val="false"/>
          <w:bCs w:val="false"/>
          <w:color w:val="374151"/>
          <w:sz w:val="19"/>
          <w:szCs w:val="19"/>
        </w:rPr>
        <w:t xml:space="preserve">SolAgent is positioned across three surfaces simultaneously: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vAlign w:val="top"/>
          </w:tcPr>
          <w:p>
            <w:pPr>
              <w:spacing w:after="20" w:before="20"/>
              <w:jc w:val="left"/>
            </w:pPr>
            <w:r>
              <w:rPr>
                <w:rFonts w:ascii="Arial" w:cs="Arial" w:eastAsia="Arial" w:hAnsi="Arial"/>
                <w:b/>
                <w:bCs/>
                <w:i w:val="false"/>
                <w:iCs w:val="false"/>
                <w:color w:val="FFFFFF"/>
                <w:sz w:val="19"/>
                <w:szCs w:val="19"/>
              </w:rPr>
              <w:t xml:space="preserve">Surface</w:t>
            </w:r>
          </w:p>
        </w:tc>
        <w:tc>
          <w:tcPr>
            <w:tcW w:type="dxa" w:w="380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vAlign w:val="top"/>
          </w:tcPr>
          <w:p>
            <w:pPr>
              <w:spacing w:after="20" w:before="20"/>
              <w:jc w:val="left"/>
            </w:pPr>
            <w:r>
              <w:rPr>
                <w:rFonts w:ascii="Arial" w:cs="Arial" w:eastAsia="Arial" w:hAnsi="Arial"/>
                <w:b/>
                <w:bCs/>
                <w:i w:val="false"/>
                <w:iCs w:val="false"/>
                <w:color w:val="FFFFFF"/>
                <w:sz w:val="19"/>
                <w:szCs w:val="19"/>
              </w:rPr>
              <w:t xml:space="preserve">What We Are</w:t>
            </w:r>
          </w:p>
        </w:tc>
        <w:tc>
          <w:tcPr>
            <w:tcW w:type="dxa" w:w="356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vAlign w:val="top"/>
          </w:tcPr>
          <w:p>
            <w:pPr>
              <w:spacing w:after="20" w:before="20"/>
              <w:jc w:val="left"/>
            </w:pPr>
            <w:r>
              <w:rPr>
                <w:rFonts w:ascii="Arial" w:cs="Arial" w:eastAsia="Arial" w:hAnsi="Arial"/>
                <w:b/>
                <w:bCs/>
                <w:i w:val="false"/>
                <w:iCs w:val="false"/>
                <w:color w:val="FFFFFF"/>
                <w:sz w:val="19"/>
                <w:szCs w:val="19"/>
              </w:rPr>
              <w:t xml:space="preserve">Value Delivered</w:t>
            </w:r>
          </w:p>
        </w:tc>
      </w:tr>
      <w:tr>
        <w:tc>
          <w:tcPr>
            <w:tcW w:type="dxa" w:w="20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Consumer</w:t>
            </w:r>
          </w:p>
        </w:tc>
        <w:tc>
          <w:tcPr>
            <w:tcW w:type="dxa" w:w="38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AI wallet agent with natural language rules</w:t>
            </w:r>
          </w:p>
        </w:tc>
        <w:tc>
          <w:tcPr>
            <w:tcW w:type="dxa" w:w="356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Automation without code, with trust</w:t>
            </w:r>
          </w:p>
        </w:tc>
      </w:tr>
      <w:tr>
        <w:tc>
          <w:tcPr>
            <w:tcW w:type="dxa" w:w="20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Developer / Protocol</w:t>
            </w:r>
          </w:p>
        </w:tc>
        <w:tc>
          <w:tcPr>
            <w:tcW w:type="dxa" w:w="38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Verifiable agent execution API</w:t>
            </w:r>
          </w:p>
        </w:tc>
        <w:tc>
          <w:tcPr>
            <w:tcW w:type="dxa" w:w="356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Query any wallet's agent history; build credit, risk, insurance on top</w:t>
            </w:r>
          </w:p>
        </w:tc>
      </w:tr>
      <w:tr>
        <w:tc>
          <w:tcPr>
            <w:tcW w:type="dxa" w:w="20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Ecosystem</w:t>
            </w:r>
          </w:p>
        </w:tc>
        <w:tc>
          <w:tcPr>
            <w:tcW w:type="dxa" w:w="38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On-chain AI audit standard for Solana</w:t>
            </w:r>
          </w:p>
        </w:tc>
        <w:tc>
          <w:tcPr>
            <w:tcW w:type="dxa" w:w="356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If SolAgent's memo schema becomes the standard, every other agent uses our format</w:t>
            </w:r>
          </w:p>
        </w:tc>
      </w:tr>
    </w:tbl>
    <w:p>
      <w:pPr>
        <w:spacing w:after="0" w:before="120"/>
      </w:pPr>
      <w:r>
        <w:t xml:space="preserve"/>
      </w:r>
    </w:p>
    <w:p>
      <w:r>
        <w:br w:type="page"/>
      </w:r>
    </w:p>
    <w:p>
      <w:pPr>
        <w:pStyle w:val="Heading1"/>
        <w:pBdr>
          <w:bottom w:val="single" w:color="6D28D9" w:sz="6" w:space="6"/>
        </w:pBdr>
        <w:spacing w:after="180" w:before="480"/>
      </w:pPr>
      <w:r>
        <w:rPr>
          <w:rFonts w:ascii="Arial" w:cs="Arial" w:eastAsia="Arial" w:hAnsi="Arial"/>
          <w:b/>
          <w:bCs/>
          <w:color w:val="4C1D95"/>
          <w:sz w:val="40"/>
          <w:szCs w:val="40"/>
        </w:rPr>
        <w:t xml:space="preserve">2. System Architecture Overview</w:t>
      </w:r>
    </w:p>
    <w:p>
      <w:pPr>
        <w:pStyle w:val="Heading2"/>
        <w:spacing w:after="120" w:before="300"/>
      </w:pPr>
      <w:r>
        <w:rPr>
          <w:rFonts w:ascii="Arial" w:cs="Arial" w:eastAsia="Arial" w:hAnsi="Arial"/>
          <w:b/>
          <w:bCs/>
          <w:color w:val="6D28D9"/>
          <w:sz w:val="28"/>
          <w:szCs w:val="28"/>
        </w:rPr>
        <w:t xml:space="preserve">2.1  High-Level Service Map</w:t>
      </w:r>
    </w:p>
    <w:p>
      <w:pPr>
        <w:spacing w:after="80" w:before="80"/>
      </w:pPr>
      <w:r>
        <w:rPr>
          <w:rFonts w:ascii="Arial" w:cs="Arial" w:eastAsia="Arial" w:hAnsi="Arial"/>
          <w:b w:val="false"/>
          <w:bCs w:val="false"/>
          <w:color w:val="374151"/>
          <w:sz w:val="19"/>
          <w:szCs w:val="19"/>
        </w:rPr>
        <w:t xml:space="preserve">SolAgent is composed of six independent services. Each service has a single responsibility, communicates over well-defined interfaces, and can fail independently without cascading system failure.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600"/>
        <w:gridCol w:w="1560"/>
      </w:tblGrid>
      <w:tr>
        <w:tc>
          <w:tcPr>
            <w:tcW w:type="dxa" w:w="200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vAlign w:val="top"/>
          </w:tcPr>
          <w:p>
            <w:pPr>
              <w:spacing w:after="20" w:before="20"/>
              <w:jc w:val="left"/>
            </w:pPr>
            <w:r>
              <w:rPr>
                <w:rFonts w:ascii="Arial" w:cs="Arial" w:eastAsia="Arial" w:hAnsi="Arial"/>
                <w:b/>
                <w:bCs/>
                <w:i w:val="false"/>
                <w:iCs w:val="false"/>
                <w:color w:val="FFFFFF"/>
                <w:sz w:val="19"/>
                <w:szCs w:val="19"/>
              </w:rPr>
              <w:t xml:space="preserve">Service</w:t>
            </w:r>
          </w:p>
        </w:tc>
        <w:tc>
          <w:tcPr>
            <w:tcW w:type="dxa" w:w="320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vAlign w:val="top"/>
          </w:tcPr>
          <w:p>
            <w:pPr>
              <w:spacing w:after="20" w:before="20"/>
              <w:jc w:val="left"/>
            </w:pPr>
            <w:r>
              <w:rPr>
                <w:rFonts w:ascii="Arial" w:cs="Arial" w:eastAsia="Arial" w:hAnsi="Arial"/>
                <w:b/>
                <w:bCs/>
                <w:i w:val="false"/>
                <w:iCs w:val="false"/>
                <w:color w:val="FFFFFF"/>
                <w:sz w:val="19"/>
                <w:szCs w:val="19"/>
              </w:rPr>
              <w:t xml:space="preserve">Responsibility</w:t>
            </w:r>
          </w:p>
        </w:tc>
        <w:tc>
          <w:tcPr>
            <w:tcW w:type="dxa" w:w="260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vAlign w:val="top"/>
          </w:tcPr>
          <w:p>
            <w:pPr>
              <w:spacing w:after="20" w:before="20"/>
              <w:jc w:val="left"/>
            </w:pPr>
            <w:r>
              <w:rPr>
                <w:rFonts w:ascii="Arial" w:cs="Arial" w:eastAsia="Arial" w:hAnsi="Arial"/>
                <w:b/>
                <w:bCs/>
                <w:i w:val="false"/>
                <w:iCs w:val="false"/>
                <w:color w:val="FFFFFF"/>
                <w:sz w:val="19"/>
                <w:szCs w:val="19"/>
              </w:rPr>
              <w:t xml:space="preserve">Technology</w:t>
            </w:r>
          </w:p>
        </w:tc>
        <w:tc>
          <w:tcPr>
            <w:tcW w:type="dxa" w:w="156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vAlign w:val="top"/>
          </w:tcPr>
          <w:p>
            <w:pPr>
              <w:spacing w:after="20" w:before="20"/>
              <w:jc w:val="left"/>
            </w:pPr>
            <w:r>
              <w:rPr>
                <w:rFonts w:ascii="Arial" w:cs="Arial" w:eastAsia="Arial" w:hAnsi="Arial"/>
                <w:b/>
                <w:bCs/>
                <w:i w:val="false"/>
                <w:iCs w:val="false"/>
                <w:color w:val="FFFFFF"/>
                <w:sz w:val="19"/>
                <w:szCs w:val="19"/>
              </w:rPr>
              <w:t xml:space="preserve">Scales Independently</w:t>
            </w:r>
          </w:p>
        </w:tc>
      </w:tr>
      <w:tr>
        <w:tc>
          <w:tcPr>
            <w:tcW w:type="dxa" w:w="20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API Gateway</w:t>
            </w:r>
          </w:p>
        </w:tc>
        <w:tc>
          <w:tcPr>
            <w:tcW w:type="dxa" w:w="32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Auth, rate limiting, request routing, public REST API</w:t>
            </w:r>
          </w:p>
        </w:tc>
        <w:tc>
          <w:tcPr>
            <w:tcW w:type="dxa" w:w="26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Fastify + Redis (rate limit)</w:t>
            </w:r>
          </w:p>
        </w:tc>
        <w:tc>
          <w:tcPr>
            <w:tcW w:type="dxa" w:w="1560"/>
            <w:tcBorders>
              <w:top w:val="single" w:color="E5E7EB" w:sz="1"/>
              <w:left w:val="single" w:color="E5E7EB" w:sz="1"/>
              <w:bottom w:val="single" w:color="E5E7EB" w:sz="1"/>
              <w:right w:val="single" w:color="E5E7EB" w:sz="1"/>
            </w:tcBorders>
            <w:shd w:fill="D1FAE5" w:val="clear"/>
            <w:tcMar>
              <w:top w:type="dxa" w:w="90"/>
              <w:left w:type="dxa" w:w="130"/>
              <w:bottom w:type="dxa" w:w="90"/>
              <w:right w:type="dxa" w:w="130"/>
            </w:tcMar>
            <w:vAlign w:val="top"/>
          </w:tcPr>
          <w:p>
            <w:pPr>
              <w:spacing w:after="20" w:before="20"/>
              <w:jc w:val="left"/>
            </w:pPr>
            <w:r>
              <w:rPr>
                <w:rFonts w:ascii="Arial" w:cs="Arial" w:eastAsia="Arial" w:hAnsi="Arial"/>
                <w:b/>
                <w:bCs/>
                <w:i w:val="false"/>
                <w:iCs w:val="false"/>
                <w:color w:val="065F46"/>
                <w:sz w:val="19"/>
                <w:szCs w:val="19"/>
              </w:rPr>
              <w:t xml:space="preserve">Yes</w:t>
            </w:r>
          </w:p>
        </w:tc>
      </w:tr>
      <w:tr>
        <w:tc>
          <w:tcPr>
            <w:tcW w:type="dxa" w:w="20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Rule Engine</w:t>
            </w:r>
          </w:p>
        </w:tc>
        <w:tc>
          <w:tcPr>
            <w:tcW w:type="dxa" w:w="32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NLP parsing, rule validation, rule storage and lifecycle</w:t>
            </w:r>
          </w:p>
        </w:tc>
        <w:tc>
          <w:tcPr>
            <w:tcW w:type="dxa" w:w="26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Node.js + Claude API + PostgreSQL</w:t>
            </w:r>
          </w:p>
        </w:tc>
        <w:tc>
          <w:tcPr>
            <w:tcW w:type="dxa" w:w="1560"/>
            <w:tcBorders>
              <w:top w:val="single" w:color="E5E7EB" w:sz="1"/>
              <w:left w:val="single" w:color="E5E7EB" w:sz="1"/>
              <w:bottom w:val="single" w:color="E5E7EB" w:sz="1"/>
              <w:right w:val="single" w:color="E5E7EB" w:sz="1"/>
            </w:tcBorders>
            <w:shd w:fill="D1FAE5" w:val="clear"/>
            <w:tcMar>
              <w:top w:type="dxa" w:w="90"/>
              <w:left w:type="dxa" w:w="130"/>
              <w:bottom w:type="dxa" w:w="90"/>
              <w:right w:type="dxa" w:w="130"/>
            </w:tcMar>
            <w:vAlign w:val="top"/>
          </w:tcPr>
          <w:p>
            <w:pPr>
              <w:spacing w:after="20" w:before="20"/>
              <w:jc w:val="left"/>
            </w:pPr>
            <w:r>
              <w:rPr>
                <w:rFonts w:ascii="Arial" w:cs="Arial" w:eastAsia="Arial" w:hAnsi="Arial"/>
                <w:b/>
                <w:bCs/>
                <w:i w:val="false"/>
                <w:iCs w:val="false"/>
                <w:color w:val="065F46"/>
                <w:sz w:val="19"/>
                <w:szCs w:val="19"/>
              </w:rPr>
              <w:t xml:space="preserve">Yes</w:t>
            </w:r>
          </w:p>
        </w:tc>
      </w:tr>
      <w:tr>
        <w:tc>
          <w:tcPr>
            <w:tcW w:type="dxa" w:w="20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Event Listener</w:t>
            </w:r>
          </w:p>
        </w:tc>
        <w:tc>
          <w:tcPr>
            <w:tcW w:type="dxa" w:w="32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Receive Helius webhooks, fan out to condition evaluators</w:t>
            </w:r>
          </w:p>
        </w:tc>
        <w:tc>
          <w:tcPr>
            <w:tcW w:type="dxa" w:w="26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Node.js + Redis pub/sub</w:t>
            </w:r>
          </w:p>
        </w:tc>
        <w:tc>
          <w:tcPr>
            <w:tcW w:type="dxa" w:w="1560"/>
            <w:tcBorders>
              <w:top w:val="single" w:color="E5E7EB" w:sz="1"/>
              <w:left w:val="single" w:color="E5E7EB" w:sz="1"/>
              <w:bottom w:val="single" w:color="E5E7EB" w:sz="1"/>
              <w:right w:val="single" w:color="E5E7EB" w:sz="1"/>
            </w:tcBorders>
            <w:shd w:fill="D1FAE5" w:val="clear"/>
            <w:tcMar>
              <w:top w:type="dxa" w:w="90"/>
              <w:left w:type="dxa" w:w="130"/>
              <w:bottom w:type="dxa" w:w="90"/>
              <w:right w:type="dxa" w:w="130"/>
            </w:tcMar>
            <w:vAlign w:val="top"/>
          </w:tcPr>
          <w:p>
            <w:pPr>
              <w:spacing w:after="20" w:before="20"/>
              <w:jc w:val="left"/>
            </w:pPr>
            <w:r>
              <w:rPr>
                <w:rFonts w:ascii="Arial" w:cs="Arial" w:eastAsia="Arial" w:hAnsi="Arial"/>
                <w:b/>
                <w:bCs/>
                <w:i w:val="false"/>
                <w:iCs w:val="false"/>
                <w:color w:val="065F46"/>
                <w:sz w:val="19"/>
                <w:szCs w:val="19"/>
              </w:rPr>
              <w:t xml:space="preserve">Yes</w:t>
            </w:r>
          </w:p>
        </w:tc>
      </w:tr>
      <w:tr>
        <w:tc>
          <w:tcPr>
            <w:tcW w:type="dxa" w:w="20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Condition Evaluator</w:t>
            </w:r>
          </w:p>
        </w:tc>
        <w:tc>
          <w:tcPr>
            <w:tcW w:type="dxa" w:w="32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Evaluate rule conditions against observed events</w:t>
            </w:r>
          </w:p>
        </w:tc>
        <w:tc>
          <w:tcPr>
            <w:tcW w:type="dxa" w:w="26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Node.js workers + BullMQ</w:t>
            </w:r>
          </w:p>
        </w:tc>
        <w:tc>
          <w:tcPr>
            <w:tcW w:type="dxa" w:w="1560"/>
            <w:tcBorders>
              <w:top w:val="single" w:color="E5E7EB" w:sz="1"/>
              <w:left w:val="single" w:color="E5E7EB" w:sz="1"/>
              <w:bottom w:val="single" w:color="E5E7EB" w:sz="1"/>
              <w:right w:val="single" w:color="E5E7EB" w:sz="1"/>
            </w:tcBorders>
            <w:shd w:fill="D1FAE5" w:val="clear"/>
            <w:tcMar>
              <w:top w:type="dxa" w:w="90"/>
              <w:left w:type="dxa" w:w="130"/>
              <w:bottom w:type="dxa" w:w="90"/>
              <w:right w:type="dxa" w:w="130"/>
            </w:tcMar>
            <w:vAlign w:val="top"/>
          </w:tcPr>
          <w:p>
            <w:pPr>
              <w:spacing w:after="20" w:before="20"/>
              <w:jc w:val="left"/>
            </w:pPr>
            <w:r>
              <w:rPr>
                <w:rFonts w:ascii="Arial" w:cs="Arial" w:eastAsia="Arial" w:hAnsi="Arial"/>
                <w:b/>
                <w:bCs/>
                <w:i w:val="false"/>
                <w:iCs w:val="false"/>
                <w:color w:val="065F46"/>
                <w:sz w:val="19"/>
                <w:szCs w:val="19"/>
              </w:rPr>
              <w:t xml:space="preserve">Yes</w:t>
            </w:r>
          </w:p>
        </w:tc>
      </w:tr>
      <w:tr>
        <w:tc>
          <w:tcPr>
            <w:tcW w:type="dxa" w:w="20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Execution Engine</w:t>
            </w:r>
          </w:p>
        </w:tc>
        <w:tc>
          <w:tcPr>
            <w:tcW w:type="dxa" w:w="32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Build, sign, and submit transactions; attach memo proofs</w:t>
            </w:r>
          </w:p>
        </w:tc>
        <w:tc>
          <w:tcPr>
            <w:tcW w:type="dxa" w:w="26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Node.js + @solana/web3.js v2</w:t>
            </w:r>
          </w:p>
        </w:tc>
        <w:tc>
          <w:tcPr>
            <w:tcW w:type="dxa" w:w="1560"/>
            <w:tcBorders>
              <w:top w:val="single" w:color="E5E7EB" w:sz="1"/>
              <w:left w:val="single" w:color="E5E7EB" w:sz="1"/>
              <w:bottom w:val="single" w:color="E5E7EB" w:sz="1"/>
              <w:right w:val="single" w:color="E5E7EB" w:sz="1"/>
            </w:tcBorders>
            <w:shd w:fill="FEF3C7" w:val="clear"/>
            <w:tcMar>
              <w:top w:type="dxa" w:w="90"/>
              <w:left w:type="dxa" w:w="130"/>
              <w:bottom w:type="dxa" w:w="90"/>
              <w:right w:type="dxa" w:w="130"/>
            </w:tcMar>
            <w:vAlign w:val="top"/>
          </w:tcPr>
          <w:p>
            <w:pPr>
              <w:spacing w:after="20" w:before="20"/>
              <w:jc w:val="left"/>
            </w:pPr>
            <w:r>
              <w:rPr>
                <w:rFonts w:ascii="Arial" w:cs="Arial" w:eastAsia="Arial" w:hAnsi="Arial"/>
                <w:b/>
                <w:bCs/>
                <w:i w:val="false"/>
                <w:iCs w:val="false"/>
                <w:color w:val="D97706"/>
                <w:sz w:val="19"/>
                <w:szCs w:val="19"/>
              </w:rPr>
              <w:t xml:space="preserve">No — singleton by wallet</w:t>
            </w:r>
          </w:p>
        </w:tc>
      </w:tr>
      <w:tr>
        <w:tc>
          <w:tcPr>
            <w:tcW w:type="dxa" w:w="20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Audit Indexer</w:t>
            </w:r>
          </w:p>
        </w:tc>
        <w:tc>
          <w:tcPr>
            <w:tcW w:type="dxa" w:w="32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Index on-chain memos; serve replay and history API</w:t>
            </w:r>
          </w:p>
        </w:tc>
        <w:tc>
          <w:tcPr>
            <w:tcW w:type="dxa" w:w="26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Node.js + PostgreSQL + Helius RPC</w:t>
            </w:r>
          </w:p>
        </w:tc>
        <w:tc>
          <w:tcPr>
            <w:tcW w:type="dxa" w:w="1560"/>
            <w:tcBorders>
              <w:top w:val="single" w:color="E5E7EB" w:sz="1"/>
              <w:left w:val="single" w:color="E5E7EB" w:sz="1"/>
              <w:bottom w:val="single" w:color="E5E7EB" w:sz="1"/>
              <w:right w:val="single" w:color="E5E7EB" w:sz="1"/>
            </w:tcBorders>
            <w:shd w:fill="D1FAE5" w:val="clear"/>
            <w:tcMar>
              <w:top w:type="dxa" w:w="90"/>
              <w:left w:type="dxa" w:w="130"/>
              <w:bottom w:type="dxa" w:w="90"/>
              <w:right w:type="dxa" w:w="130"/>
            </w:tcMar>
            <w:vAlign w:val="top"/>
          </w:tcPr>
          <w:p>
            <w:pPr>
              <w:spacing w:after="20" w:before="20"/>
              <w:jc w:val="left"/>
            </w:pPr>
            <w:r>
              <w:rPr>
                <w:rFonts w:ascii="Arial" w:cs="Arial" w:eastAsia="Arial" w:hAnsi="Arial"/>
                <w:b/>
                <w:bCs/>
                <w:i w:val="false"/>
                <w:iCs w:val="false"/>
                <w:color w:val="065F46"/>
                <w:sz w:val="19"/>
                <w:szCs w:val="19"/>
              </w:rPr>
              <w:t xml:space="preserve">Yes</w:t>
            </w:r>
          </w:p>
        </w:tc>
      </w:tr>
    </w:tbl>
    <w:p>
      <w:pPr>
        <w:spacing w:after="0" w:before="80"/>
      </w:pPr>
      <w:r>
        <w:t xml:space="preserve"/>
      </w:r>
    </w:p>
    <w:p>
      <w:pPr>
        <w:pBdr>
          <w:left w:val="single" w:color="DC2626" w:sz="20" w:space="8"/>
        </w:pBdr>
        <w:shd w:fill="FEE2E2" w:val="clear"/>
        <w:spacing w:after="140" w:before="140"/>
        <w:ind w:left="240"/>
      </w:pPr>
      <w:r>
        <w:rPr>
          <w:rFonts w:ascii="Arial" w:cs="Arial" w:eastAsia="Arial" w:hAnsi="Arial"/>
          <w:b/>
          <w:bCs/>
          <w:color w:val="DC2626"/>
          <w:sz w:val="19"/>
          <w:szCs w:val="19"/>
        </w:rPr>
        <w:t xml:space="preserve">WARNING  </w:t>
      </w:r>
      <w:r>
        <w:rPr>
          <w:rFonts w:ascii="Arial" w:cs="Arial" w:eastAsia="Arial" w:hAnsi="Arial"/>
          <w:color w:val="111827"/>
          <w:sz w:val="19"/>
          <w:szCs w:val="19"/>
        </w:rPr>
        <w:t xml:space="preserve">The Execution Engine is intentionally a singleton per wallet. Concurrent execution for the same wallet is an architectural guarantee violation — it can cause double-spend. BullMQ wallet-keyed queues enforce this at the infrastructure level.</w:t>
      </w:r>
    </w:p>
    <w:p>
      <w:pPr>
        <w:spacing w:after="0" w:before="100"/>
      </w:pPr>
      <w:r>
        <w:t xml:space="preserve"/>
      </w:r>
    </w:p>
    <w:p>
      <w:pPr>
        <w:pStyle w:val="Heading2"/>
        <w:spacing w:after="120" w:before="300"/>
      </w:pPr>
      <w:r>
        <w:rPr>
          <w:rFonts w:ascii="Arial" w:cs="Arial" w:eastAsia="Arial" w:hAnsi="Arial"/>
          <w:b/>
          <w:bCs/>
          <w:color w:val="6D28D9"/>
          <w:sz w:val="28"/>
          <w:szCs w:val="28"/>
        </w:rPr>
        <w:t xml:space="preserve">2.2  Communication Architecture</w:t>
      </w:r>
    </w:p>
    <w:p>
      <w:pPr>
        <w:spacing w:after="80" w:before="80"/>
      </w:pPr>
      <w:r>
        <w:rPr>
          <w:rFonts w:ascii="Arial" w:cs="Arial" w:eastAsia="Arial" w:hAnsi="Arial"/>
          <w:b w:val="false"/>
          <w:bCs w:val="false"/>
          <w:color w:val="374151"/>
          <w:sz w:val="19"/>
          <w:szCs w:val="19"/>
        </w:rPr>
        <w:t xml:space="preserve">Services communicate through two channels only — no direct service-to-service HTTP calls in the hot path:</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200"/>
        <w:gridCol w:w="2160"/>
      </w:tblGrid>
      <w:tr>
        <w:tc>
          <w:tcPr>
            <w:tcW w:type="dxa" w:w="200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vAlign w:val="top"/>
          </w:tcPr>
          <w:p>
            <w:pPr>
              <w:spacing w:after="20" w:before="20"/>
              <w:jc w:val="left"/>
            </w:pPr>
            <w:r>
              <w:rPr>
                <w:rFonts w:ascii="Arial" w:cs="Arial" w:eastAsia="Arial" w:hAnsi="Arial"/>
                <w:b/>
                <w:bCs/>
                <w:i w:val="false"/>
                <w:iCs w:val="false"/>
                <w:color w:val="FFFFFF"/>
                <w:sz w:val="19"/>
                <w:szCs w:val="19"/>
              </w:rPr>
              <w:t xml:space="preserve">Channel</w:t>
            </w:r>
          </w:p>
        </w:tc>
        <w:tc>
          <w:tcPr>
            <w:tcW w:type="dxa" w:w="300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vAlign w:val="top"/>
          </w:tcPr>
          <w:p>
            <w:pPr>
              <w:spacing w:after="20" w:before="20"/>
              <w:jc w:val="left"/>
            </w:pPr>
            <w:r>
              <w:rPr>
                <w:rFonts w:ascii="Arial" w:cs="Arial" w:eastAsia="Arial" w:hAnsi="Arial"/>
                <w:b/>
                <w:bCs/>
                <w:i w:val="false"/>
                <w:iCs w:val="false"/>
                <w:color w:val="FFFFFF"/>
                <w:sz w:val="19"/>
                <w:szCs w:val="19"/>
              </w:rPr>
              <w:t xml:space="preserve">Used For</w:t>
            </w:r>
          </w:p>
        </w:tc>
        <w:tc>
          <w:tcPr>
            <w:tcW w:type="dxa" w:w="220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vAlign w:val="top"/>
          </w:tcPr>
          <w:p>
            <w:pPr>
              <w:spacing w:after="20" w:before="20"/>
              <w:jc w:val="left"/>
            </w:pPr>
            <w:r>
              <w:rPr>
                <w:rFonts w:ascii="Arial" w:cs="Arial" w:eastAsia="Arial" w:hAnsi="Arial"/>
                <w:b/>
                <w:bCs/>
                <w:i w:val="false"/>
                <w:iCs w:val="false"/>
                <w:color w:val="FFFFFF"/>
                <w:sz w:val="19"/>
                <w:szCs w:val="19"/>
              </w:rPr>
              <w:t xml:space="preserve">Technology</w:t>
            </w:r>
          </w:p>
        </w:tc>
        <w:tc>
          <w:tcPr>
            <w:tcW w:type="dxa" w:w="216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vAlign w:val="top"/>
          </w:tcPr>
          <w:p>
            <w:pPr>
              <w:spacing w:after="20" w:before="20"/>
              <w:jc w:val="left"/>
            </w:pPr>
            <w:r>
              <w:rPr>
                <w:rFonts w:ascii="Arial" w:cs="Arial" w:eastAsia="Arial" w:hAnsi="Arial"/>
                <w:b/>
                <w:bCs/>
                <w:i w:val="false"/>
                <w:iCs w:val="false"/>
                <w:color w:val="FFFFFF"/>
                <w:sz w:val="19"/>
                <w:szCs w:val="19"/>
              </w:rPr>
              <w:t xml:space="preserve">Why</w:t>
            </w:r>
          </w:p>
        </w:tc>
      </w:tr>
      <w:tr>
        <w:tc>
          <w:tcPr>
            <w:tcW w:type="dxa" w:w="20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Message Queue</w:t>
            </w:r>
          </w:p>
        </w:tc>
        <w:tc>
          <w:tcPr>
            <w:tcW w:type="dxa" w:w="30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All async work: condition evaluation, execution jobs</w:t>
            </w:r>
          </w:p>
        </w:tc>
        <w:tc>
          <w:tcPr>
            <w:tcW w:type="dxa" w:w="22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BullMQ (Redis-backed)</w:t>
            </w:r>
          </w:p>
        </w:tc>
        <w:tc>
          <w:tcPr>
            <w:tcW w:type="dxa" w:w="216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Durable, retryable, observable, backpressure-aware</w:t>
            </w:r>
          </w:p>
        </w:tc>
      </w:tr>
      <w:tr>
        <w:tc>
          <w:tcPr>
            <w:tcW w:type="dxa" w:w="20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Event Bus</w:t>
            </w:r>
          </w:p>
        </w:tc>
        <w:tc>
          <w:tcPr>
            <w:tcW w:type="dxa" w:w="30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Helius webhook fan-out to condition evaluators</w:t>
            </w:r>
          </w:p>
        </w:tc>
        <w:tc>
          <w:tcPr>
            <w:tcW w:type="dxa" w:w="22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Redis pub/sub</w:t>
            </w:r>
          </w:p>
        </w:tc>
        <w:tc>
          <w:tcPr>
            <w:tcW w:type="dxa" w:w="216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Low-latency broadcast to N evaluator workers</w:t>
            </w:r>
          </w:p>
        </w:tc>
      </w:tr>
      <w:tr>
        <w:tc>
          <w:tcPr>
            <w:tcW w:type="dxa" w:w="20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Direct HTTP</w:t>
            </w:r>
          </w:p>
        </w:tc>
        <w:tc>
          <w:tcPr>
            <w:tcW w:type="dxa" w:w="30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Only: API Gateway → Rule Engine (synchronous rule creation)</w:t>
            </w:r>
          </w:p>
        </w:tc>
        <w:tc>
          <w:tcPr>
            <w:tcW w:type="dxa" w:w="22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REST/JSON</w:t>
            </w:r>
          </w:p>
        </w:tc>
        <w:tc>
          <w:tcPr>
            <w:tcW w:type="dxa" w:w="216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User-facing, low volume, needs immediate response</w:t>
            </w:r>
          </w:p>
        </w:tc>
      </w:tr>
      <w:tr>
        <w:tc>
          <w:tcPr>
            <w:tcW w:type="dxa" w:w="20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PostgreSQL</w:t>
            </w:r>
          </w:p>
        </w:tc>
        <w:tc>
          <w:tcPr>
            <w:tcW w:type="dxa" w:w="30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Persistent state: rules, execution history, user sessions</w:t>
            </w:r>
          </w:p>
        </w:tc>
        <w:tc>
          <w:tcPr>
            <w:tcW w:type="dxa" w:w="22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Connection pooling via pgBouncer</w:t>
            </w:r>
          </w:p>
        </w:tc>
        <w:tc>
          <w:tcPr>
            <w:tcW w:type="dxa" w:w="216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ACID guarantees for financial state</w:t>
            </w:r>
          </w:p>
        </w:tc>
      </w:tr>
    </w:tbl>
    <w:p>
      <w:pPr>
        <w:spacing w:after="0" w:before="120"/>
      </w:pPr>
      <w:r>
        <w:t xml:space="preserve"/>
      </w:r>
    </w:p>
    <w:p>
      <w:pPr>
        <w:pStyle w:val="Heading2"/>
        <w:spacing w:after="120" w:before="300"/>
      </w:pPr>
      <w:r>
        <w:rPr>
          <w:rFonts w:ascii="Arial" w:cs="Arial" w:eastAsia="Arial" w:hAnsi="Arial"/>
          <w:b/>
          <w:bCs/>
          <w:color w:val="6D28D9"/>
          <w:sz w:val="28"/>
          <w:szCs w:val="28"/>
        </w:rPr>
        <w:t xml:space="preserve">2.3  Data Flow — Full Lifecycle</w:t>
      </w:r>
    </w:p>
    <w:p>
      <w:pPr>
        <w:pStyle w:val="Heading3"/>
        <w:spacing w:after="80" w:before="200"/>
      </w:pPr>
      <w:r>
        <w:rPr>
          <w:rFonts w:ascii="Arial" w:cs="Arial" w:eastAsia="Arial" w:hAnsi="Arial"/>
          <w:b/>
          <w:bCs/>
          <w:color w:val="111827"/>
          <w:sz w:val="22"/>
          <w:szCs w:val="22"/>
        </w:rPr>
        <w:t xml:space="preserve">Path A: Rule Creation</w:t>
      </w:r>
    </w:p>
    <w:p>
      <w:pPr>
        <w:pStyle w:val="ListParagraph"/>
        <w:numPr>
          <w:ilvl w:val="0"/>
          <w:numId w:val="2"/>
        </w:numPr>
        <w:spacing w:after="50" w:before="50"/>
      </w:pPr>
      <w:r>
        <w:rPr>
          <w:rFonts w:ascii="Arial" w:cs="Arial" w:eastAsia="Arial" w:hAnsi="Arial"/>
          <w:color w:val="374151"/>
          <w:sz w:val="19"/>
          <w:szCs w:val="19"/>
        </w:rPr>
        <w:t xml:space="preserve">User connects wallet via SIWS (Sign-In With Solana). JWT issued, 24h expiry, scoped to wallet pubkey.</w:t>
      </w:r>
    </w:p>
    <w:p>
      <w:pPr>
        <w:pStyle w:val="ListParagraph"/>
        <w:numPr>
          <w:ilvl w:val="0"/>
          <w:numId w:val="2"/>
        </w:numPr>
        <w:spacing w:after="50" w:before="50"/>
      </w:pPr>
      <w:r>
        <w:rPr>
          <w:rFonts w:ascii="Arial" w:cs="Arial" w:eastAsia="Arial" w:hAnsi="Arial"/>
          <w:color w:val="374151"/>
          <w:sz w:val="19"/>
          <w:szCs w:val="19"/>
        </w:rPr>
        <w:t xml:space="preserve">User types natural language rule into the UI.</w:t>
      </w:r>
    </w:p>
    <w:p>
      <w:pPr>
        <w:pStyle w:val="ListParagraph"/>
        <w:numPr>
          <w:ilvl w:val="0"/>
          <w:numId w:val="2"/>
        </w:numPr>
        <w:spacing w:after="50" w:before="50"/>
      </w:pPr>
      <w:r>
        <w:rPr>
          <w:rFonts w:ascii="Arial" w:cs="Arial" w:eastAsia="Arial" w:hAnsi="Arial"/>
          <w:color w:val="374151"/>
          <w:sz w:val="19"/>
          <w:szCs w:val="19"/>
        </w:rPr>
        <w:t xml:space="preserve">API Gateway validates JWT, rate-limits request (10 rule creations/hour/wallet), forwards to Rule Engine.</w:t>
      </w:r>
    </w:p>
    <w:p>
      <w:pPr>
        <w:pStyle w:val="ListParagraph"/>
        <w:numPr>
          <w:ilvl w:val="0"/>
          <w:numId w:val="2"/>
        </w:numPr>
        <w:spacing w:after="50" w:before="50"/>
      </w:pPr>
      <w:r>
        <w:rPr>
          <w:rFonts w:ascii="Arial" w:cs="Arial" w:eastAsia="Arial" w:hAnsi="Arial"/>
          <w:color w:val="374151"/>
          <w:sz w:val="19"/>
          <w:szCs w:val="19"/>
        </w:rPr>
        <w:t xml:space="preserve">Rule Engine calls Claude API with structured output schema. LLM populates typed JSON — cannot produce free-form text.</w:t>
      </w:r>
    </w:p>
    <w:p>
      <w:pPr>
        <w:pStyle w:val="ListParagraph"/>
        <w:numPr>
          <w:ilvl w:val="0"/>
          <w:numId w:val="2"/>
        </w:numPr>
        <w:spacing w:after="50" w:before="50"/>
      </w:pPr>
      <w:r>
        <w:rPr>
          <w:rFonts w:ascii="Arial" w:cs="Arial" w:eastAsia="Arial" w:hAnsi="Arial"/>
          <w:color w:val="374151"/>
          <w:sz w:val="19"/>
          <w:szCs w:val="19"/>
        </w:rPr>
        <w:t xml:space="preserve">Rule Engine validates schema server-side (Zod). Any validation failure returns 422 with specific field errors.</w:t>
      </w:r>
    </w:p>
    <w:p>
      <w:pPr>
        <w:pStyle w:val="ListParagraph"/>
        <w:numPr>
          <w:ilvl w:val="0"/>
          <w:numId w:val="2"/>
        </w:numPr>
        <w:spacing w:after="50" w:before="50"/>
      </w:pPr>
      <w:r>
        <w:rPr>
          <w:rFonts w:ascii="Arial" w:cs="Arial" w:eastAsia="Arial" w:hAnsi="Arial"/>
          <w:color w:val="374151"/>
          <w:sz w:val="19"/>
          <w:szCs w:val="19"/>
        </w:rPr>
        <w:t xml:space="preserve">Rule Engine displays human-readable rule preview to user. User explicitly confirms.</w:t>
      </w:r>
    </w:p>
    <w:p>
      <w:pPr>
        <w:pStyle w:val="ListParagraph"/>
        <w:numPr>
          <w:ilvl w:val="0"/>
          <w:numId w:val="2"/>
        </w:numPr>
        <w:spacing w:after="50" w:before="50"/>
      </w:pPr>
      <w:r>
        <w:rPr>
          <w:rFonts w:ascii="Arial" w:cs="Arial" w:eastAsia="Arial" w:hAnsi="Arial"/>
          <w:color w:val="374151"/>
          <w:sz w:val="19"/>
          <w:szCs w:val="19"/>
        </w:rPr>
        <w:t xml:space="preserve">Rule is stored in PostgreSQL with status: PENDING_ACTIVATION. Agent wallet address linked.</w:t>
      </w:r>
    </w:p>
    <w:p>
      <w:pPr>
        <w:pStyle w:val="ListParagraph"/>
        <w:numPr>
          <w:ilvl w:val="0"/>
          <w:numId w:val="2"/>
        </w:numPr>
        <w:spacing w:after="50" w:before="50"/>
      </w:pPr>
      <w:r>
        <w:rPr>
          <w:rFonts w:ascii="Arial" w:cs="Arial" w:eastAsia="Arial" w:hAnsi="Arial"/>
          <w:color w:val="374151"/>
          <w:sz w:val="19"/>
          <w:szCs w:val="19"/>
        </w:rPr>
        <w:t xml:space="preserve">Rule Engine registers the agent wallet with Event Listener (subscribes to account-change webhooks via Helius).</w:t>
      </w:r>
    </w:p>
    <w:p>
      <w:pPr>
        <w:pStyle w:val="ListParagraph"/>
        <w:numPr>
          <w:ilvl w:val="0"/>
          <w:numId w:val="2"/>
        </w:numPr>
        <w:spacing w:after="50" w:before="50"/>
      </w:pPr>
      <w:r>
        <w:rPr>
          <w:rFonts w:ascii="Arial" w:cs="Arial" w:eastAsia="Arial" w:hAnsi="Arial"/>
          <w:color w:val="374151"/>
          <w:sz w:val="19"/>
          <w:szCs w:val="19"/>
        </w:rPr>
        <w:t xml:space="preserve">Rule status transitions to ACTIVE. User sees confirmation with rule ID.</w:t>
      </w:r>
    </w:p>
    <w:p>
      <w:pPr>
        <w:spacing w:after="0" w:before="80"/>
      </w:pPr>
      <w:r>
        <w:t xml:space="preserve"/>
      </w:r>
    </w:p>
    <w:p>
      <w:pPr>
        <w:pStyle w:val="Heading3"/>
        <w:spacing w:after="80" w:before="200"/>
      </w:pPr>
      <w:r>
        <w:rPr>
          <w:rFonts w:ascii="Arial" w:cs="Arial" w:eastAsia="Arial" w:hAnsi="Arial"/>
          <w:b/>
          <w:bCs/>
          <w:color w:val="111827"/>
          <w:sz w:val="22"/>
          <w:szCs w:val="22"/>
        </w:rPr>
        <w:t xml:space="preserve">Path B: Condition Detection &amp; Execution</w:t>
      </w:r>
    </w:p>
    <w:p>
      <w:pPr>
        <w:pStyle w:val="ListParagraph"/>
        <w:numPr>
          <w:ilvl w:val="0"/>
          <w:numId w:val="2"/>
        </w:numPr>
        <w:spacing w:after="50" w:before="50"/>
      </w:pPr>
      <w:r>
        <w:rPr>
          <w:rFonts w:ascii="Arial" w:cs="Arial" w:eastAsia="Arial" w:hAnsi="Arial"/>
          <w:color w:val="374151"/>
          <w:sz w:val="19"/>
          <w:szCs w:val="19"/>
        </w:rPr>
        <w:t xml:space="preserve">On-chain event occurs (account balance change, slot boundary for time-based rules).</w:t>
      </w:r>
    </w:p>
    <w:p>
      <w:pPr>
        <w:pStyle w:val="ListParagraph"/>
        <w:numPr>
          <w:ilvl w:val="0"/>
          <w:numId w:val="2"/>
        </w:numPr>
        <w:spacing w:after="50" w:before="50"/>
      </w:pPr>
      <w:r>
        <w:rPr>
          <w:rFonts w:ascii="Arial" w:cs="Arial" w:eastAsia="Arial" w:hAnsi="Arial"/>
          <w:color w:val="374151"/>
          <w:sz w:val="19"/>
          <w:szCs w:val="19"/>
        </w:rPr>
        <w:t xml:space="preserve">Helius fires webhook to Event Listener within ~500ms of on-chain confirmation.</w:t>
      </w:r>
    </w:p>
    <w:p>
      <w:pPr>
        <w:pStyle w:val="ListParagraph"/>
        <w:numPr>
          <w:ilvl w:val="0"/>
          <w:numId w:val="2"/>
        </w:numPr>
        <w:spacing w:after="50" w:before="50"/>
      </w:pPr>
      <w:r>
        <w:rPr>
          <w:rFonts w:ascii="Arial" w:cs="Arial" w:eastAsia="Arial" w:hAnsi="Arial"/>
          <w:color w:val="374151"/>
          <w:sz w:val="19"/>
          <w:szCs w:val="19"/>
        </w:rPr>
        <w:t xml:space="preserve">Event Listener publishes event to Redis pub/sub channel keyed by wallet address.</w:t>
      </w:r>
    </w:p>
    <w:p>
      <w:pPr>
        <w:pStyle w:val="ListParagraph"/>
        <w:numPr>
          <w:ilvl w:val="0"/>
          <w:numId w:val="2"/>
        </w:numPr>
        <w:spacing w:after="50" w:before="50"/>
      </w:pPr>
      <w:r>
        <w:rPr>
          <w:rFonts w:ascii="Arial" w:cs="Arial" w:eastAsia="Arial" w:hAnsi="Arial"/>
          <w:color w:val="374151"/>
          <w:sz w:val="19"/>
          <w:szCs w:val="19"/>
        </w:rPr>
        <w:t xml:space="preserve">Condition Evaluator workers (subscribed to relevant channels) receive event.</w:t>
      </w:r>
    </w:p>
    <w:p>
      <w:pPr>
        <w:pStyle w:val="ListParagraph"/>
        <w:numPr>
          <w:ilvl w:val="0"/>
          <w:numId w:val="2"/>
        </w:numPr>
        <w:spacing w:after="50" w:before="50"/>
      </w:pPr>
      <w:r>
        <w:rPr>
          <w:rFonts w:ascii="Arial" w:cs="Arial" w:eastAsia="Arial" w:hAnsi="Arial"/>
          <w:color w:val="374151"/>
          <w:sz w:val="19"/>
          <w:szCs w:val="19"/>
        </w:rPr>
        <w:t xml:space="preserve">Evaluator queries all ACTIVE rules for that wallet. Evaluates each rule's trigger condition against event data.</w:t>
      </w:r>
    </w:p>
    <w:p>
      <w:pPr>
        <w:pStyle w:val="ListParagraph"/>
        <w:numPr>
          <w:ilvl w:val="0"/>
          <w:numId w:val="2"/>
        </w:numPr>
        <w:spacing w:after="50" w:before="50"/>
      </w:pPr>
      <w:r>
        <w:rPr>
          <w:rFonts w:ascii="Arial" w:cs="Arial" w:eastAsia="Arial" w:hAnsi="Arial"/>
          <w:color w:val="374151"/>
          <w:sz w:val="19"/>
          <w:szCs w:val="19"/>
        </w:rPr>
        <w:t xml:space="preserve">For each triggered rule: Evaluator pushes an EXECUTION_JOB to BullMQ, keyed by wallet address (ensures serial processing).</w:t>
      </w:r>
    </w:p>
    <w:p>
      <w:pPr>
        <w:pStyle w:val="ListParagraph"/>
        <w:numPr>
          <w:ilvl w:val="0"/>
          <w:numId w:val="2"/>
        </w:numPr>
        <w:spacing w:after="50" w:before="50"/>
      </w:pPr>
      <w:r>
        <w:rPr>
          <w:rFonts w:ascii="Arial" w:cs="Arial" w:eastAsia="Arial" w:hAnsi="Arial"/>
          <w:color w:val="374151"/>
          <w:sz w:val="19"/>
          <w:szCs w:val="19"/>
        </w:rPr>
        <w:t xml:space="preserve">Execution Engine dequeues job. Checks idempotency: has this rule_id + trigger_event_signature already been processed? If yes — discard.</w:t>
      </w:r>
    </w:p>
    <w:p>
      <w:pPr>
        <w:pStyle w:val="ListParagraph"/>
        <w:numPr>
          <w:ilvl w:val="0"/>
          <w:numId w:val="2"/>
        </w:numPr>
        <w:spacing w:after="50" w:before="50"/>
      </w:pPr>
      <w:r>
        <w:rPr>
          <w:rFonts w:ascii="Arial" w:cs="Arial" w:eastAsia="Arial" w:hAnsi="Arial"/>
          <w:color w:val="374151"/>
          <w:sz w:val="19"/>
          <w:szCs w:val="19"/>
        </w:rPr>
        <w:t xml:space="preserve">Execution Engine queries Jupiter v6 for quote (if swap action). Cross-validates price against Pyth oracle. If deviation &gt; 1% — pause and alert.</w:t>
      </w:r>
    </w:p>
    <w:p>
      <w:pPr>
        <w:pStyle w:val="ListParagraph"/>
        <w:numPr>
          <w:ilvl w:val="0"/>
          <w:numId w:val="2"/>
        </w:numPr>
        <w:spacing w:after="50" w:before="50"/>
      </w:pPr>
      <w:r>
        <w:rPr>
          <w:rFonts w:ascii="Arial" w:cs="Arial" w:eastAsia="Arial" w:hAnsi="Arial"/>
          <w:color w:val="374151"/>
          <w:sz w:val="19"/>
          <w:szCs w:val="19"/>
        </w:rPr>
        <w:t xml:space="preserve">Execution Engine builds versioned transaction (v0): primary instruction + Memo Program instruction with structured JSON proof.</w:t>
      </w:r>
    </w:p>
    <w:p>
      <w:pPr>
        <w:pStyle w:val="ListParagraph"/>
        <w:numPr>
          <w:ilvl w:val="0"/>
          <w:numId w:val="2"/>
        </w:numPr>
        <w:spacing w:after="50" w:before="50"/>
      </w:pPr>
      <w:r>
        <w:rPr>
          <w:rFonts w:ascii="Arial" w:cs="Arial" w:eastAsia="Arial" w:hAnsi="Arial"/>
          <w:color w:val="374151"/>
          <w:sz w:val="19"/>
          <w:szCs w:val="19"/>
        </w:rPr>
        <w:t xml:space="preserve">Transaction signed with agent keypair. Submitted with priority fee computed from recent base fees.</w:t>
      </w:r>
    </w:p>
    <w:p>
      <w:pPr>
        <w:pStyle w:val="ListParagraph"/>
        <w:numPr>
          <w:ilvl w:val="0"/>
          <w:numId w:val="2"/>
        </w:numPr>
        <w:spacing w:after="50" w:before="50"/>
      </w:pPr>
      <w:r>
        <w:rPr>
          <w:rFonts w:ascii="Arial" w:cs="Arial" w:eastAsia="Arial" w:hAnsi="Arial"/>
          <w:color w:val="374151"/>
          <w:sz w:val="19"/>
          <w:szCs w:val="19"/>
        </w:rPr>
        <w:t xml:space="preserve">Engine polls for confirmation (commitment: confirmed). Max wait: 60 seconds. On timeout — mark FAILED, do not retry automatically.</w:t>
      </w:r>
    </w:p>
    <w:p>
      <w:pPr>
        <w:pStyle w:val="ListParagraph"/>
        <w:numPr>
          <w:ilvl w:val="0"/>
          <w:numId w:val="2"/>
        </w:numPr>
        <w:spacing w:after="50" w:before="50"/>
      </w:pPr>
      <w:r>
        <w:rPr>
          <w:rFonts w:ascii="Arial" w:cs="Arial" w:eastAsia="Arial" w:hAnsi="Arial"/>
          <w:color w:val="374151"/>
          <w:sz w:val="19"/>
          <w:szCs w:val="19"/>
        </w:rPr>
        <w:t xml:space="preserve">On confirmation: write execution record to PostgreSQL. Emit SSE event to UI. Audit Indexer picks up new transaction.</w:t>
      </w:r>
    </w:p>
    <w:p>
      <w:pPr>
        <w:pStyle w:val="ListParagraph"/>
        <w:numPr>
          <w:ilvl w:val="0"/>
          <w:numId w:val="2"/>
        </w:numPr>
        <w:spacing w:after="50" w:before="50"/>
      </w:pPr>
      <w:r>
        <w:rPr>
          <w:rFonts w:ascii="Arial" w:cs="Arial" w:eastAsia="Arial" w:hAnsi="Arial"/>
          <w:color w:val="374151"/>
          <w:sz w:val="19"/>
          <w:szCs w:val="19"/>
        </w:rPr>
        <w:t xml:space="preserve">User sees activity log entry with on-chain Explorer link within ~2 seconds of execution.</w:t>
      </w:r>
    </w:p>
    <w:p>
      <w:pPr>
        <w:spacing w:after="0" w:before="80"/>
      </w:pPr>
      <w:r>
        <w:t xml:space="preserve"/>
      </w:r>
    </w:p>
    <w:p>
      <w:pPr>
        <w:pBdr>
          <w:left w:val="single" w:color="059669" w:sz="20" w:space="8"/>
        </w:pBdr>
        <w:shd w:fill="D1FAE5" w:val="clear"/>
        <w:spacing w:after="140" w:before="140"/>
        <w:ind w:left="240"/>
      </w:pPr>
      <w:r>
        <w:rPr>
          <w:rFonts w:ascii="Arial" w:cs="Arial" w:eastAsia="Arial" w:hAnsi="Arial"/>
          <w:b/>
          <w:bCs/>
          <w:color w:val="059669"/>
          <w:sz w:val="19"/>
          <w:szCs w:val="19"/>
        </w:rPr>
        <w:t xml:space="preserve">DECISION  </w:t>
      </w:r>
      <w:r>
        <w:rPr>
          <w:rFonts w:ascii="Arial" w:cs="Arial" w:eastAsia="Arial" w:hAnsi="Arial"/>
          <w:color w:val="111827"/>
          <w:sz w:val="19"/>
          <w:szCs w:val="19"/>
        </w:rPr>
        <w:t xml:space="preserve">This path is entirely event-driven. No polling loop in the hot path. Helius webhooks deliver events within ~500ms. The previous 15-second polling architecture is eliminated.</w:t>
      </w:r>
    </w:p>
    <w:p>
      <w:pPr>
        <w:spacing w:after="0" w:before="120"/>
      </w:pPr>
      <w:r>
        <w:t xml:space="preserve"/>
      </w:r>
    </w:p>
    <w:p>
      <w:r>
        <w:br w:type="page"/>
      </w:r>
    </w:p>
    <w:p>
      <w:pPr>
        <w:pStyle w:val="Heading1"/>
        <w:pBdr>
          <w:bottom w:val="single" w:color="6D28D9" w:sz="6" w:space="6"/>
        </w:pBdr>
        <w:spacing w:after="180" w:before="480"/>
      </w:pPr>
      <w:r>
        <w:rPr>
          <w:rFonts w:ascii="Arial" w:cs="Arial" w:eastAsia="Arial" w:hAnsi="Arial"/>
          <w:b/>
          <w:bCs/>
          <w:color w:val="4C1D95"/>
          <w:sz w:val="40"/>
          <w:szCs w:val="40"/>
        </w:rPr>
        <w:t xml:space="preserve">3. Security Architecture</w:t>
      </w:r>
    </w:p>
    <w:p>
      <w:pPr>
        <w:pStyle w:val="Heading2"/>
        <w:spacing w:after="120" w:before="300"/>
      </w:pPr>
      <w:r>
        <w:rPr>
          <w:rFonts w:ascii="Arial" w:cs="Arial" w:eastAsia="Arial" w:hAnsi="Arial"/>
          <w:b/>
          <w:bCs/>
          <w:color w:val="6D28D9"/>
          <w:sz w:val="28"/>
          <w:szCs w:val="28"/>
        </w:rPr>
        <w:t xml:space="preserve">3.1  Custody Model — Honest Classification</w:t>
      </w:r>
    </w:p>
    <w:p>
      <w:pPr>
        <w:pBdr>
          <w:left w:val="single" w:color="DC2626" w:sz="20" w:space="8"/>
        </w:pBdr>
        <w:shd w:fill="FEE2E2" w:val="clear"/>
        <w:spacing w:after="140" w:before="140"/>
        <w:ind w:left="240"/>
      </w:pPr>
      <w:r>
        <w:rPr>
          <w:rFonts w:ascii="Arial" w:cs="Arial" w:eastAsia="Arial" w:hAnsi="Arial"/>
          <w:b/>
          <w:bCs/>
          <w:color w:val="DC2626"/>
          <w:sz w:val="19"/>
          <w:szCs w:val="19"/>
        </w:rPr>
        <w:t xml:space="preserve">WARNING  </w:t>
      </w:r>
      <w:r>
        <w:rPr>
          <w:rFonts w:ascii="Arial" w:cs="Arial" w:eastAsia="Arial" w:hAnsi="Arial"/>
          <w:color w:val="111827"/>
          <w:sz w:val="19"/>
          <w:szCs w:val="19"/>
        </w:rPr>
        <w:t xml:space="preserve">SolAgent v1 is semi-custodial. The agent keypair is stored server-side, encrypted. This must be communicated clearly to users. Calling it 'non-custodial' is false and damages trust with sophisticated users.</w:t>
      </w:r>
    </w:p>
    <w:p>
      <w:pPr>
        <w:spacing w:after="0" w:before="80"/>
      </w:pPr>
      <w:r>
        <w:t xml:space="preserve"/>
      </w:r>
    </w:p>
    <w:p>
      <w:pPr>
        <w:spacing w:after="80" w:before="80"/>
      </w:pPr>
      <w:r>
        <w:rPr>
          <w:rFonts w:ascii="Arial" w:cs="Arial" w:eastAsia="Arial" w:hAnsi="Arial"/>
          <w:b w:val="false"/>
          <w:bCs w:val="false"/>
          <w:color w:val="374151"/>
          <w:sz w:val="19"/>
          <w:szCs w:val="19"/>
        </w:rPr>
        <w:t xml:space="preserve">The three-phase custody evolution: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3000"/>
        <w:gridCol w:w="1800"/>
        <w:gridCol w:w="1960"/>
      </w:tblGrid>
      <w:tr>
        <w:tc>
          <w:tcPr>
            <w:tcW w:type="dxa" w:w="100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vAlign w:val="top"/>
          </w:tcPr>
          <w:p>
            <w:pPr>
              <w:spacing w:after="20" w:before="20"/>
              <w:jc w:val="left"/>
            </w:pPr>
            <w:r>
              <w:rPr>
                <w:rFonts w:ascii="Arial" w:cs="Arial" w:eastAsia="Arial" w:hAnsi="Arial"/>
                <w:b/>
                <w:bCs/>
                <w:i w:val="false"/>
                <w:iCs w:val="false"/>
                <w:color w:val="FFFFFF"/>
                <w:sz w:val="19"/>
                <w:szCs w:val="19"/>
              </w:rPr>
              <w:t xml:space="preserve">Phase</w:t>
            </w:r>
          </w:p>
        </w:tc>
        <w:tc>
          <w:tcPr>
            <w:tcW w:type="dxa" w:w="160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vAlign w:val="top"/>
          </w:tcPr>
          <w:p>
            <w:pPr>
              <w:spacing w:after="20" w:before="20"/>
              <w:jc w:val="left"/>
            </w:pPr>
            <w:r>
              <w:rPr>
                <w:rFonts w:ascii="Arial" w:cs="Arial" w:eastAsia="Arial" w:hAnsi="Arial"/>
                <w:b/>
                <w:bCs/>
                <w:i w:val="false"/>
                <w:iCs w:val="false"/>
                <w:color w:val="FFFFFF"/>
                <w:sz w:val="19"/>
                <w:szCs w:val="19"/>
              </w:rPr>
              <w:t xml:space="preserve">Model</w:t>
            </w:r>
          </w:p>
        </w:tc>
        <w:tc>
          <w:tcPr>
            <w:tcW w:type="dxa" w:w="300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vAlign w:val="top"/>
          </w:tcPr>
          <w:p>
            <w:pPr>
              <w:spacing w:after="20" w:before="20"/>
              <w:jc w:val="left"/>
            </w:pPr>
            <w:r>
              <w:rPr>
                <w:rFonts w:ascii="Arial" w:cs="Arial" w:eastAsia="Arial" w:hAnsi="Arial"/>
                <w:b/>
                <w:bCs/>
                <w:i w:val="false"/>
                <w:iCs w:val="false"/>
                <w:color w:val="FFFFFF"/>
                <w:sz w:val="19"/>
                <w:szCs w:val="19"/>
              </w:rPr>
              <w:t xml:space="preserve">Key Storage</w:t>
            </w:r>
          </w:p>
        </w:tc>
        <w:tc>
          <w:tcPr>
            <w:tcW w:type="dxa" w:w="180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vAlign w:val="top"/>
          </w:tcPr>
          <w:p>
            <w:pPr>
              <w:spacing w:after="20" w:before="20"/>
              <w:jc w:val="left"/>
            </w:pPr>
            <w:r>
              <w:rPr>
                <w:rFonts w:ascii="Arial" w:cs="Arial" w:eastAsia="Arial" w:hAnsi="Arial"/>
                <w:b/>
                <w:bCs/>
                <w:i w:val="false"/>
                <w:iCs w:val="false"/>
                <w:color w:val="FFFFFF"/>
                <w:sz w:val="19"/>
                <w:szCs w:val="19"/>
              </w:rPr>
              <w:t xml:space="preserve">Cryptographic Spend Limit</w:t>
            </w:r>
          </w:p>
        </w:tc>
        <w:tc>
          <w:tcPr>
            <w:tcW w:type="dxa" w:w="196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vAlign w:val="top"/>
          </w:tcPr>
          <w:p>
            <w:pPr>
              <w:spacing w:after="20" w:before="20"/>
              <w:jc w:val="left"/>
            </w:pPr>
            <w:r>
              <w:rPr>
                <w:rFonts w:ascii="Arial" w:cs="Arial" w:eastAsia="Arial" w:hAnsi="Arial"/>
                <w:b/>
                <w:bCs/>
                <w:i w:val="false"/>
                <w:iCs w:val="false"/>
                <w:color w:val="FFFFFF"/>
                <w:sz w:val="19"/>
                <w:szCs w:val="19"/>
              </w:rPr>
              <w:t xml:space="preserve">Trust Assumption</w:t>
            </w:r>
          </w:p>
        </w:tc>
      </w:tr>
      <w:tr>
        <w:tc>
          <w:tcPr>
            <w:tcW w:type="dxa" w:w="10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v1 (Current)</w:t>
            </w:r>
          </w:p>
        </w:tc>
        <w:tc>
          <w:tcPr>
            <w:tcW w:type="dxa" w:w="16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Semi-custodial</w:t>
            </w:r>
          </w:p>
        </w:tc>
        <w:tc>
          <w:tcPr>
            <w:tcW w:type="dxa" w:w="30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AES-256-GCM encrypted, server-side. Encryption key derived from user wallet signature via HKDF — server never sees plaintext key at rest.</w:t>
            </w:r>
          </w:p>
        </w:tc>
        <w:tc>
          <w:tcPr>
            <w:tcW w:type="dxa" w:w="18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None — application-level only</w:t>
            </w:r>
          </w:p>
        </w:tc>
        <w:tc>
          <w:tcPr>
            <w:tcW w:type="dxa" w:w="196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Trust SolAgent's backend</w:t>
            </w:r>
          </w:p>
        </w:tc>
      </w:tr>
      <w:tr>
        <w:tc>
          <w:tcPr>
            <w:tcW w:type="dxa" w:w="10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v2 (Squads)</w:t>
            </w:r>
          </w:p>
        </w:tc>
        <w:tc>
          <w:tcPr>
            <w:tcW w:type="dxa" w:w="16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Threshold semi-custodial</w:t>
            </w:r>
          </w:p>
        </w:tc>
        <w:tc>
          <w:tcPr>
            <w:tcW w:type="dxa" w:w="30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Agent keypair + user-held co-signer key. High-value txns (&gt;$500) require both signatures.</w:t>
            </w:r>
          </w:p>
        </w:tc>
        <w:tc>
          <w:tcPr>
            <w:tcW w:type="dxa" w:w="18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Yes — Squads multisig on-chain</w:t>
            </w:r>
          </w:p>
        </w:tc>
        <w:tc>
          <w:tcPr>
            <w:tcW w:type="dxa" w:w="196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Trust SolAgent + hold your own co-signer key</w:t>
            </w:r>
          </w:p>
        </w:tc>
      </w:tr>
      <w:tr>
        <w:tc>
          <w:tcPr>
            <w:tcW w:type="dxa" w:w="10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v3 (TEE)</w:t>
            </w:r>
          </w:p>
        </w:tc>
        <w:tc>
          <w:tcPr>
            <w:tcW w:type="dxa" w:w="16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Near non-custodial</w:t>
            </w:r>
          </w:p>
        </w:tc>
        <w:tc>
          <w:tcPr>
            <w:tcW w:type="dxa" w:w="30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Agent keypair generated and held inside AWS Nitro Enclave or equivalent TEE. Not accessible to SolAgent operators.</w:t>
            </w:r>
          </w:p>
        </w:tc>
        <w:tc>
          <w:tcPr>
            <w:tcW w:type="dxa" w:w="18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Yes — enforced inside TEE</w:t>
            </w:r>
          </w:p>
        </w:tc>
        <w:tc>
          <w:tcPr>
            <w:tcW w:type="dxa" w:w="196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Trust the TEE hardware attestation</w:t>
            </w:r>
          </w:p>
        </w:tc>
      </w:tr>
    </w:tbl>
    <w:p>
      <w:pPr>
        <w:spacing w:after="0" w:before="80"/>
      </w:pPr>
      <w:r>
        <w:t xml:space="preserve"/>
      </w:r>
    </w:p>
    <w:p>
      <w:pPr>
        <w:pBdr>
          <w:left w:val="single" w:color="6D28D9" w:sz="20" w:space="8"/>
        </w:pBdr>
        <w:shd w:fill="EDE9FE" w:val="clear"/>
        <w:spacing w:after="140" w:before="140"/>
        <w:ind w:left="240"/>
      </w:pPr>
      <w:r>
        <w:rPr>
          <w:rFonts w:ascii="Arial" w:cs="Arial" w:eastAsia="Arial" w:hAnsi="Arial"/>
          <w:b/>
          <w:bCs/>
          <w:color w:val="6D28D9"/>
          <w:sz w:val="19"/>
          <w:szCs w:val="19"/>
        </w:rPr>
        <w:t xml:space="preserve">KEY DERIVATION  </w:t>
      </w:r>
      <w:r>
        <w:rPr>
          <w:rFonts w:ascii="Arial" w:cs="Arial" w:eastAsia="Arial" w:hAnsi="Arial"/>
          <w:color w:val="111827"/>
          <w:sz w:val="19"/>
          <w:szCs w:val="19"/>
        </w:rPr>
        <w:t xml:space="preserve">The v1 encryption model is: key = HKDF(user_wallet_signature, salt, 'solAgent_agent_key'). The user's wallet signature (produced by signing a deterministic nonce with their private key) acts as the master secret. SolAgent's server sees only the encrypted blob. Without the user's wallet signature, the blob is useless. This is materially better than a password-derived encryption key.</w:t>
      </w:r>
    </w:p>
    <w:p>
      <w:pPr>
        <w:spacing w:after="0" w:before="80"/>
      </w:pPr>
      <w:r>
        <w:t xml:space="preserve"/>
      </w:r>
    </w:p>
    <w:p>
      <w:pPr>
        <w:pStyle w:val="Heading2"/>
        <w:spacing w:after="120" w:before="300"/>
      </w:pPr>
      <w:r>
        <w:rPr>
          <w:rFonts w:ascii="Arial" w:cs="Arial" w:eastAsia="Arial" w:hAnsi="Arial"/>
          <w:b/>
          <w:bCs/>
          <w:color w:val="6D28D9"/>
          <w:sz w:val="28"/>
          <w:szCs w:val="28"/>
        </w:rPr>
        <w:t xml:space="preserve">3.2  Agent Wallet Architecture</w:t>
      </w:r>
    </w:p>
    <w:p>
      <w:pPr>
        <w:spacing w:after="80" w:before="80"/>
      </w:pPr>
      <w:r>
        <w:rPr>
          <w:rFonts w:ascii="Arial" w:cs="Arial" w:eastAsia="Arial" w:hAnsi="Arial"/>
          <w:b w:val="false"/>
          <w:bCs w:val="false"/>
          <w:color w:val="374151"/>
          <w:sz w:val="19"/>
          <w:szCs w:val="19"/>
        </w:rPr>
        <w:t xml:space="preserve">The agent wallet is a dedicated Solana keypair separate from the user's main wallet. Its design constraints:</w:t>
      </w:r>
    </w:p>
    <w:p>
      <w:pPr>
        <w:pStyle w:val="ListParagraph"/>
        <w:numPr>
          <w:ilvl w:val="0"/>
          <w:numId w:val="3"/>
        </w:numPr>
        <w:spacing w:after="50" w:before="50"/>
      </w:pPr>
      <w:r>
        <w:rPr>
          <w:rFonts w:ascii="Arial" w:cs="Arial" w:eastAsia="Arial" w:hAnsi="Arial"/>
          <w:color w:val="374151"/>
          <w:sz w:val="19"/>
          <w:szCs w:val="19"/>
        </w:rPr>
        <w:t xml:space="preserve">Funded only with assets the user explicitly transfers to it — blast radius is bounded by what the user chooses to expose</w:t>
      </w:r>
    </w:p>
    <w:p>
      <w:pPr>
        <w:pStyle w:val="ListParagraph"/>
        <w:numPr>
          <w:ilvl w:val="0"/>
          <w:numId w:val="3"/>
        </w:numPr>
        <w:spacing w:after="50" w:before="50"/>
      </w:pPr>
      <w:r>
        <w:rPr>
          <w:rFonts w:ascii="Arial" w:cs="Arial" w:eastAsia="Arial" w:hAnsi="Arial"/>
          <w:color w:val="374151"/>
          <w:sz w:val="19"/>
          <w:szCs w:val="19"/>
        </w:rPr>
        <w:t xml:space="preserve">The user can drain the agent wallet to their main wallet at any time via the UI, instantly revoking all agent authority without any server interaction</w:t>
      </w:r>
    </w:p>
    <w:p>
      <w:pPr>
        <w:pStyle w:val="ListParagraph"/>
        <w:numPr>
          <w:ilvl w:val="0"/>
          <w:numId w:val="3"/>
        </w:numPr>
        <w:spacing w:after="50" w:before="50"/>
      </w:pPr>
      <w:r>
        <w:rPr>
          <w:rFonts w:ascii="Arial" w:cs="Arial" w:eastAsia="Arial" w:hAnsi="Arial"/>
          <w:color w:val="374151"/>
          <w:sz w:val="19"/>
          <w:szCs w:val="19"/>
        </w:rPr>
        <w:t xml:space="preserve">Token accounts are created only for tokens in active rules — agent cannot touch tokens outside rule scope</w:t>
      </w:r>
    </w:p>
    <w:p>
      <w:pPr>
        <w:pStyle w:val="ListParagraph"/>
        <w:numPr>
          <w:ilvl w:val="0"/>
          <w:numId w:val="3"/>
        </w:numPr>
        <w:spacing w:after="50" w:before="50"/>
      </w:pPr>
      <w:r>
        <w:rPr>
          <w:rFonts w:ascii="Arial" w:cs="Arial" w:eastAsia="Arial" w:hAnsi="Arial"/>
          <w:color w:val="374151"/>
          <w:sz w:val="19"/>
          <w:szCs w:val="19"/>
        </w:rPr>
        <w:t xml:space="preserve">Maximum per-rule-execution spend enforced in Execution Engine before signing. Transaction rejected if amount exceeds limit.</w:t>
      </w:r>
    </w:p>
    <w:p>
      <w:pPr>
        <w:pStyle w:val="ListParagraph"/>
        <w:numPr>
          <w:ilvl w:val="0"/>
          <w:numId w:val="3"/>
        </w:numPr>
        <w:spacing w:after="50" w:before="50"/>
      </w:pPr>
      <w:r>
        <w:rPr>
          <w:rFonts w:ascii="Arial" w:cs="Arial" w:eastAsia="Arial" w:hAnsi="Arial"/>
          <w:color w:val="374151"/>
          <w:sz w:val="19"/>
          <w:szCs w:val="19"/>
        </w:rPr>
        <w:t xml:space="preserve">All agent wallet addresses indexed publicly — any user can query what their agent has ever done</w:t>
      </w:r>
    </w:p>
    <w:p>
      <w:pPr>
        <w:spacing w:after="0" w:before="80"/>
      </w:pPr>
      <w:r>
        <w:t xml:space="preserve"/>
      </w:r>
    </w:p>
    <w:p>
      <w:pPr>
        <w:pBdr>
          <w:left w:val="single" w:color="D97706" w:sz="20" w:space="8"/>
        </w:pBdr>
        <w:shd w:fill="FEF3C7" w:val="clear"/>
        <w:spacing w:after="140" w:before="140"/>
        <w:ind w:left="240"/>
      </w:pPr>
      <w:r>
        <w:rPr>
          <w:rFonts w:ascii="Arial" w:cs="Arial" w:eastAsia="Arial" w:hAnsi="Arial"/>
          <w:b/>
          <w:bCs/>
          <w:color w:val="D97706"/>
          <w:sz w:val="19"/>
          <w:szCs w:val="19"/>
        </w:rPr>
        <w:t xml:space="preserve">CAUTION  </w:t>
      </w:r>
      <w:r>
        <w:rPr>
          <w:rFonts w:ascii="Arial" w:cs="Arial" w:eastAsia="Arial" w:hAnsi="Arial"/>
          <w:color w:val="111827"/>
          <w:sz w:val="19"/>
          <w:szCs w:val="19"/>
        </w:rPr>
        <w:t xml:space="preserve">The spend limit in v1 is enforced in application code, not cryptographically. A compromised SolAgent backend could bypass it. This is the honest risk. Mitigated by: (a) funds are in a separate wallet anyway, (b) v2 Squads integration provides on-chain enforcement, (c) circuit breakers at multiple layers.</w:t>
      </w:r>
    </w:p>
    <w:p>
      <w:pPr>
        <w:spacing w:after="0" w:before="80"/>
      </w:pPr>
      <w:r>
        <w:t xml:space="preserve"/>
      </w:r>
    </w:p>
    <w:p>
      <w:pPr>
        <w:pStyle w:val="Heading2"/>
        <w:spacing w:after="120" w:before="300"/>
      </w:pPr>
      <w:r>
        <w:rPr>
          <w:rFonts w:ascii="Arial" w:cs="Arial" w:eastAsia="Arial" w:hAnsi="Arial"/>
          <w:b/>
          <w:bCs/>
          <w:color w:val="6D28D9"/>
          <w:sz w:val="28"/>
          <w:szCs w:val="28"/>
        </w:rPr>
        <w:t xml:space="preserve">3.3  Circuit Breakers — Multi-Layer</w:t>
      </w:r>
    </w:p>
    <w:p>
      <w:pPr>
        <w:spacing w:after="80" w:before="80"/>
      </w:pPr>
      <w:r>
        <w:rPr>
          <w:rFonts w:ascii="Arial" w:cs="Arial" w:eastAsia="Arial" w:hAnsi="Arial"/>
          <w:b w:val="false"/>
          <w:bCs w:val="false"/>
          <w:color w:val="374151"/>
          <w:sz w:val="19"/>
          <w:szCs w:val="19"/>
        </w:rPr>
        <w:t xml:space="preserve">Every financial system must have circuit breakers that trigger independently of normal code paths: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800"/>
        <w:gridCol w:w="2160"/>
      </w:tblGrid>
      <w:tr>
        <w:tc>
          <w:tcPr>
            <w:tcW w:type="dxa" w:w="160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vAlign w:val="top"/>
          </w:tcPr>
          <w:p>
            <w:pPr>
              <w:spacing w:after="20" w:before="20"/>
              <w:jc w:val="left"/>
            </w:pPr>
            <w:r>
              <w:rPr>
                <w:rFonts w:ascii="Arial" w:cs="Arial" w:eastAsia="Arial" w:hAnsi="Arial"/>
                <w:b/>
                <w:bCs/>
                <w:i w:val="false"/>
                <w:iCs w:val="false"/>
                <w:color w:val="FFFFFF"/>
                <w:sz w:val="19"/>
                <w:szCs w:val="19"/>
              </w:rPr>
              <w:t xml:space="preserve">Layer</w:t>
            </w:r>
          </w:p>
        </w:tc>
        <w:tc>
          <w:tcPr>
            <w:tcW w:type="dxa" w:w="280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vAlign w:val="top"/>
          </w:tcPr>
          <w:p>
            <w:pPr>
              <w:spacing w:after="20" w:before="20"/>
              <w:jc w:val="left"/>
            </w:pPr>
            <w:r>
              <w:rPr>
                <w:rFonts w:ascii="Arial" w:cs="Arial" w:eastAsia="Arial" w:hAnsi="Arial"/>
                <w:b/>
                <w:bCs/>
                <w:i w:val="false"/>
                <w:iCs w:val="false"/>
                <w:color w:val="FFFFFF"/>
                <w:sz w:val="19"/>
                <w:szCs w:val="19"/>
              </w:rPr>
              <w:t xml:space="preserve">Trigger</w:t>
            </w:r>
          </w:p>
        </w:tc>
        <w:tc>
          <w:tcPr>
            <w:tcW w:type="dxa" w:w="280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vAlign w:val="top"/>
          </w:tcPr>
          <w:p>
            <w:pPr>
              <w:spacing w:after="20" w:before="20"/>
              <w:jc w:val="left"/>
            </w:pPr>
            <w:r>
              <w:rPr>
                <w:rFonts w:ascii="Arial" w:cs="Arial" w:eastAsia="Arial" w:hAnsi="Arial"/>
                <w:b/>
                <w:bCs/>
                <w:i w:val="false"/>
                <w:iCs w:val="false"/>
                <w:color w:val="FFFFFF"/>
                <w:sz w:val="19"/>
                <w:szCs w:val="19"/>
              </w:rPr>
              <w:t xml:space="preserve">Action</w:t>
            </w:r>
          </w:p>
        </w:tc>
        <w:tc>
          <w:tcPr>
            <w:tcW w:type="dxa" w:w="216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vAlign w:val="top"/>
          </w:tcPr>
          <w:p>
            <w:pPr>
              <w:spacing w:after="20" w:before="20"/>
              <w:jc w:val="left"/>
            </w:pPr>
            <w:r>
              <w:rPr>
                <w:rFonts w:ascii="Arial" w:cs="Arial" w:eastAsia="Arial" w:hAnsi="Arial"/>
                <w:b/>
                <w:bCs/>
                <w:i w:val="false"/>
                <w:iCs w:val="false"/>
                <w:color w:val="FFFFFF"/>
                <w:sz w:val="19"/>
                <w:szCs w:val="19"/>
              </w:rPr>
              <w:t xml:space="preserve">Reset By</w:t>
            </w:r>
          </w:p>
        </w:tc>
      </w:tr>
      <w:tr>
        <w:tc>
          <w:tcPr>
            <w:tcW w:type="dxa" w:w="16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Per-execution</w:t>
            </w:r>
          </w:p>
        </w:tc>
        <w:tc>
          <w:tcPr>
            <w:tcW w:type="dxa" w:w="28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Single transaction exceeds rule's max_amount</w:t>
            </w:r>
          </w:p>
        </w:tc>
        <w:tc>
          <w:tcPr>
            <w:tcW w:type="dxa" w:w="28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Reject transaction, log violation, alert user</w:t>
            </w:r>
          </w:p>
        </w:tc>
        <w:tc>
          <w:tcPr>
            <w:tcW w:type="dxa" w:w="216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Automatic — per-rule limit</w:t>
            </w:r>
          </w:p>
        </w:tc>
      </w:tr>
      <w:tr>
        <w:tc>
          <w:tcPr>
            <w:tcW w:type="dxa" w:w="16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Per-rule (rolling)</w:t>
            </w:r>
          </w:p>
        </w:tc>
        <w:tc>
          <w:tcPr>
            <w:tcW w:type="dxa" w:w="28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Rule fires more than N times in 1 hour (configurable)</w:t>
            </w:r>
          </w:p>
        </w:tc>
        <w:tc>
          <w:tcPr>
            <w:tcW w:type="dxa" w:w="28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Pause rule, alert user, require manual re-activation</w:t>
            </w:r>
          </w:p>
        </w:tc>
        <w:tc>
          <w:tcPr>
            <w:tcW w:type="dxa" w:w="216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User manually re-activates</w:t>
            </w:r>
          </w:p>
        </w:tc>
      </w:tr>
      <w:tr>
        <w:tc>
          <w:tcPr>
            <w:tcW w:type="dxa" w:w="16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Per-wallet (daily)</w:t>
            </w:r>
          </w:p>
        </w:tc>
        <w:tc>
          <w:tcPr>
            <w:tcW w:type="dxa" w:w="28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Total outflows from agent wallet exceed wallet_daily_limit</w:t>
            </w:r>
          </w:p>
        </w:tc>
        <w:tc>
          <w:tcPr>
            <w:tcW w:type="dxa" w:w="28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Pause ALL rules for wallet, immediate alert</w:t>
            </w:r>
          </w:p>
        </w:tc>
        <w:tc>
          <w:tcPr>
            <w:tcW w:type="dxa" w:w="216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User manually re-activates after 24h</w:t>
            </w:r>
          </w:p>
        </w:tc>
      </w:tr>
      <w:tr>
        <w:tc>
          <w:tcPr>
            <w:tcW w:type="dxa" w:w="16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Global anomaly</w:t>
            </w:r>
          </w:p>
        </w:tc>
        <w:tc>
          <w:tcPr>
            <w:tcW w:type="dxa" w:w="28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Execution failure rate across system exceeds 5% in 5 min</w:t>
            </w:r>
          </w:p>
        </w:tc>
        <w:tc>
          <w:tcPr>
            <w:tcW w:type="dxa" w:w="28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Halt all executions globally, PagerDuty alert to ops</w:t>
            </w:r>
          </w:p>
        </w:tc>
        <w:tc>
          <w:tcPr>
            <w:tcW w:type="dxa" w:w="216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Ops team manually lifts after investigation</w:t>
            </w:r>
          </w:p>
        </w:tc>
      </w:tr>
      <w:tr>
        <w:tc>
          <w:tcPr>
            <w:tcW w:type="dxa" w:w="16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Price deviation</w:t>
            </w:r>
          </w:p>
        </w:tc>
        <w:tc>
          <w:tcPr>
            <w:tcW w:type="dxa" w:w="28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Jupiter quote deviates &gt;1% from Pyth oracle at execution time</w:t>
            </w:r>
          </w:p>
        </w:tc>
        <w:tc>
          <w:tcPr>
            <w:tcW w:type="dxa" w:w="28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Abort execution, re-queue for 60 seconds, retry once</w:t>
            </w:r>
          </w:p>
        </w:tc>
        <w:tc>
          <w:tcPr>
            <w:tcW w:type="dxa" w:w="216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Automatic retry once; then mark FAILED</w:t>
            </w:r>
          </w:p>
        </w:tc>
      </w:tr>
    </w:tbl>
    <w:p>
      <w:pPr>
        <w:spacing w:after="0" w:before="80"/>
      </w:pPr>
      <w:r>
        <w:t xml:space="preserve"/>
      </w:r>
    </w:p>
    <w:p>
      <w:pPr>
        <w:pStyle w:val="Heading2"/>
        <w:spacing w:after="120" w:before="300"/>
      </w:pPr>
      <w:r>
        <w:rPr>
          <w:rFonts w:ascii="Arial" w:cs="Arial" w:eastAsia="Arial" w:hAnsi="Arial"/>
          <w:b/>
          <w:bCs/>
          <w:color w:val="6D28D9"/>
          <w:sz w:val="28"/>
          <w:szCs w:val="28"/>
        </w:rPr>
        <w:t xml:space="preserve">3.4  Threat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200"/>
        <w:gridCol w:w="3960"/>
      </w:tblGrid>
      <w:tr>
        <w:tc>
          <w:tcPr>
            <w:tcW w:type="dxa" w:w="180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vAlign w:val="top"/>
          </w:tcPr>
          <w:p>
            <w:pPr>
              <w:spacing w:after="20" w:before="20"/>
              <w:jc w:val="left"/>
            </w:pPr>
            <w:r>
              <w:rPr>
                <w:rFonts w:ascii="Arial" w:cs="Arial" w:eastAsia="Arial" w:hAnsi="Arial"/>
                <w:b/>
                <w:bCs/>
                <w:i w:val="false"/>
                <w:iCs w:val="false"/>
                <w:color w:val="FFFFFF"/>
                <w:sz w:val="19"/>
                <w:szCs w:val="19"/>
              </w:rPr>
              <w:t xml:space="preserve">Threat</w:t>
            </w:r>
          </w:p>
        </w:tc>
        <w:tc>
          <w:tcPr>
            <w:tcW w:type="dxa" w:w="240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vAlign w:val="top"/>
          </w:tcPr>
          <w:p>
            <w:pPr>
              <w:spacing w:after="20" w:before="20"/>
              <w:jc w:val="left"/>
            </w:pPr>
            <w:r>
              <w:rPr>
                <w:rFonts w:ascii="Arial" w:cs="Arial" w:eastAsia="Arial" w:hAnsi="Arial"/>
                <w:b/>
                <w:bCs/>
                <w:i w:val="false"/>
                <w:iCs w:val="false"/>
                <w:color w:val="FFFFFF"/>
                <w:sz w:val="19"/>
                <w:szCs w:val="19"/>
              </w:rPr>
              <w:t xml:space="preserve">Attack Vector</w:t>
            </w:r>
          </w:p>
        </w:tc>
        <w:tc>
          <w:tcPr>
            <w:tcW w:type="dxa" w:w="120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vAlign w:val="top"/>
          </w:tcPr>
          <w:p>
            <w:pPr>
              <w:spacing w:after="20" w:before="20"/>
              <w:jc w:val="left"/>
            </w:pPr>
            <w:r>
              <w:rPr>
                <w:rFonts w:ascii="Arial" w:cs="Arial" w:eastAsia="Arial" w:hAnsi="Arial"/>
                <w:b/>
                <w:bCs/>
                <w:i w:val="false"/>
                <w:iCs w:val="false"/>
                <w:color w:val="FFFFFF"/>
                <w:sz w:val="19"/>
                <w:szCs w:val="19"/>
              </w:rPr>
              <w:t xml:space="preserve">Severity</w:t>
            </w:r>
          </w:p>
        </w:tc>
        <w:tc>
          <w:tcPr>
            <w:tcW w:type="dxa" w:w="396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vAlign w:val="top"/>
          </w:tcPr>
          <w:p>
            <w:pPr>
              <w:spacing w:after="20" w:before="20"/>
              <w:jc w:val="left"/>
            </w:pPr>
            <w:r>
              <w:rPr>
                <w:rFonts w:ascii="Arial" w:cs="Arial" w:eastAsia="Arial" w:hAnsi="Arial"/>
                <w:b/>
                <w:bCs/>
                <w:i w:val="false"/>
                <w:iCs w:val="false"/>
                <w:color w:val="FFFFFF"/>
                <w:sz w:val="19"/>
                <w:szCs w:val="19"/>
              </w:rPr>
              <w:t xml:space="preserve">Mitigation</w:t>
            </w:r>
          </w:p>
        </w:tc>
      </w:tr>
      <w:tr>
        <w:tc>
          <w:tcPr>
            <w:tcW w:type="dxa" w:w="18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Server compromise</w:t>
            </w:r>
          </w:p>
        </w:tc>
        <w:tc>
          <w:tcPr>
            <w:tcW w:type="dxa" w:w="24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Attacker gains backend access, accesses encrypted keypairs</w:t>
            </w:r>
          </w:p>
        </w:tc>
        <w:tc>
          <w:tcPr>
            <w:tcW w:type="dxa" w:w="1200"/>
            <w:tcBorders>
              <w:top w:val="single" w:color="E5E7EB" w:sz="1"/>
              <w:left w:val="single" w:color="E5E7EB" w:sz="1"/>
              <w:bottom w:val="single" w:color="E5E7EB" w:sz="1"/>
              <w:right w:val="single" w:color="E5E7EB" w:sz="1"/>
            </w:tcBorders>
            <w:shd w:fill="FEE2E2" w:val="clear"/>
            <w:tcMar>
              <w:top w:type="dxa" w:w="90"/>
              <w:left w:type="dxa" w:w="130"/>
              <w:bottom w:type="dxa" w:w="90"/>
              <w:right w:type="dxa" w:w="130"/>
            </w:tcMar>
            <w:vAlign w:val="top"/>
          </w:tcPr>
          <w:p>
            <w:pPr>
              <w:spacing w:after="20" w:before="20"/>
              <w:jc w:val="left"/>
            </w:pPr>
            <w:r>
              <w:rPr>
                <w:rFonts w:ascii="Arial" w:cs="Arial" w:eastAsia="Arial" w:hAnsi="Arial"/>
                <w:b/>
                <w:bCs/>
                <w:i w:val="false"/>
                <w:iCs w:val="false"/>
                <w:color w:val="DC2626"/>
                <w:sz w:val="19"/>
                <w:szCs w:val="19"/>
              </w:rPr>
              <w:t xml:space="preserve">HIGH</w:t>
            </w:r>
          </w:p>
        </w:tc>
        <w:tc>
          <w:tcPr>
            <w:tcW w:type="dxa" w:w="396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Funds bounded by agent wallet balance. HKDF key derivation means encrypted blobs useless without user signatures. v3 TEE eliminates entirely.</w:t>
            </w:r>
          </w:p>
        </w:tc>
      </w:tr>
      <w:tr>
        <w:tc>
          <w:tcPr>
            <w:tcW w:type="dxa" w:w="18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Rule injection</w:t>
            </w:r>
          </w:p>
        </w:tc>
        <w:tc>
          <w:tcPr>
            <w:tcW w:type="dxa" w:w="24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Malicious NLP prompt causes agent to create unintended rule</w:t>
            </w:r>
          </w:p>
        </w:tc>
        <w:tc>
          <w:tcPr>
            <w:tcW w:type="dxa" w:w="1200"/>
            <w:tcBorders>
              <w:top w:val="single" w:color="E5E7EB" w:sz="1"/>
              <w:left w:val="single" w:color="E5E7EB" w:sz="1"/>
              <w:bottom w:val="single" w:color="E5E7EB" w:sz="1"/>
              <w:right w:val="single" w:color="E5E7EB" w:sz="1"/>
            </w:tcBorders>
            <w:shd w:fill="FEE2E2" w:val="clear"/>
            <w:tcMar>
              <w:top w:type="dxa" w:w="90"/>
              <w:left w:type="dxa" w:w="130"/>
              <w:bottom w:type="dxa" w:w="90"/>
              <w:right w:type="dxa" w:w="130"/>
            </w:tcMar>
            <w:vAlign w:val="top"/>
          </w:tcPr>
          <w:p>
            <w:pPr>
              <w:spacing w:after="20" w:before="20"/>
              <w:jc w:val="left"/>
            </w:pPr>
            <w:r>
              <w:rPr>
                <w:rFonts w:ascii="Arial" w:cs="Arial" w:eastAsia="Arial" w:hAnsi="Arial"/>
                <w:b/>
                <w:bCs/>
                <w:i w:val="false"/>
                <w:iCs w:val="false"/>
                <w:color w:val="DC2626"/>
                <w:sz w:val="19"/>
                <w:szCs w:val="19"/>
              </w:rPr>
              <w:t xml:space="preserve">HIGH</w:t>
            </w:r>
          </w:p>
        </w:tc>
        <w:tc>
          <w:tcPr>
            <w:tcW w:type="dxa" w:w="396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Structured output schema — LLM cannot produce arbitrary actions. Schema whitelist allows only defined action types. User confirmation required before activation.</w:t>
            </w:r>
          </w:p>
        </w:tc>
      </w:tr>
      <w:tr>
        <w:tc>
          <w:tcPr>
            <w:tcW w:type="dxa" w:w="18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Oracle manipulation</w:t>
            </w:r>
          </w:p>
        </w:tc>
        <w:tc>
          <w:tcPr>
            <w:tcW w:type="dxa" w:w="24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Price feed manipulation causes incorrect trigger evaluation</w:t>
            </w:r>
          </w:p>
        </w:tc>
        <w:tc>
          <w:tcPr>
            <w:tcW w:type="dxa" w:w="1200"/>
            <w:tcBorders>
              <w:top w:val="single" w:color="E5E7EB" w:sz="1"/>
              <w:left w:val="single" w:color="E5E7EB" w:sz="1"/>
              <w:bottom w:val="single" w:color="E5E7EB" w:sz="1"/>
              <w:right w:val="single" w:color="E5E7EB" w:sz="1"/>
            </w:tcBorders>
            <w:shd w:fill="FEE2E2" w:val="clear"/>
            <w:tcMar>
              <w:top w:type="dxa" w:w="90"/>
              <w:left w:type="dxa" w:w="130"/>
              <w:bottom w:type="dxa" w:w="90"/>
              <w:right w:type="dxa" w:w="130"/>
            </w:tcMar>
            <w:vAlign w:val="top"/>
          </w:tcPr>
          <w:p>
            <w:pPr>
              <w:spacing w:after="20" w:before="20"/>
              <w:jc w:val="left"/>
            </w:pPr>
            <w:r>
              <w:rPr>
                <w:rFonts w:ascii="Arial" w:cs="Arial" w:eastAsia="Arial" w:hAnsi="Arial"/>
                <w:b/>
                <w:bCs/>
                <w:i w:val="false"/>
                <w:iCs w:val="false"/>
                <w:color w:val="DC2626"/>
                <w:sz w:val="19"/>
                <w:szCs w:val="19"/>
              </w:rPr>
              <w:t xml:space="preserve">HIGH</w:t>
            </w:r>
          </w:p>
        </w:tc>
        <w:tc>
          <w:tcPr>
            <w:tcW w:type="dxa" w:w="396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Dual-oracle: Jupiter + Pyth cross-verified. &gt;1% deviation halts execution. Pyth is on-chain — manipulation-resistant.</w:t>
            </w:r>
          </w:p>
        </w:tc>
      </w:tr>
      <w:tr>
        <w:tc>
          <w:tcPr>
            <w:tcW w:type="dxa" w:w="18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Double execution</w:t>
            </w:r>
          </w:p>
        </w:tc>
        <w:tc>
          <w:tcPr>
            <w:tcW w:type="dxa" w:w="24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Network retry or race condition fires same rule twice</w:t>
            </w:r>
          </w:p>
        </w:tc>
        <w:tc>
          <w:tcPr>
            <w:tcW w:type="dxa" w:w="1200"/>
            <w:tcBorders>
              <w:top w:val="single" w:color="E5E7EB" w:sz="1"/>
              <w:left w:val="single" w:color="E5E7EB" w:sz="1"/>
              <w:bottom w:val="single" w:color="E5E7EB" w:sz="1"/>
              <w:right w:val="single" w:color="E5E7EB" w:sz="1"/>
            </w:tcBorders>
            <w:shd w:fill="FEF3C7" w:val="clear"/>
            <w:tcMar>
              <w:top w:type="dxa" w:w="90"/>
              <w:left w:type="dxa" w:w="130"/>
              <w:bottom w:type="dxa" w:w="90"/>
              <w:right w:type="dxa" w:w="130"/>
            </w:tcMar>
            <w:vAlign w:val="top"/>
          </w:tcPr>
          <w:p>
            <w:pPr>
              <w:spacing w:after="20" w:before="20"/>
              <w:jc w:val="left"/>
            </w:pPr>
            <w:r>
              <w:rPr>
                <w:rFonts w:ascii="Arial" w:cs="Arial" w:eastAsia="Arial" w:hAnsi="Arial"/>
                <w:b/>
                <w:bCs/>
                <w:i w:val="false"/>
                <w:iCs w:val="false"/>
                <w:color w:val="D97706"/>
                <w:sz w:val="19"/>
                <w:szCs w:val="19"/>
              </w:rPr>
              <w:t xml:space="preserve">MEDIUM</w:t>
            </w:r>
          </w:p>
        </w:tc>
        <w:tc>
          <w:tcPr>
            <w:tcW w:type="dxa" w:w="396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Idempotency key = rule_id + trigger_event_signature. Execution Engine checks before processing. BullMQ deduplication at queue level.</w:t>
            </w:r>
          </w:p>
        </w:tc>
      </w:tr>
      <w:tr>
        <w:tc>
          <w:tcPr>
            <w:tcW w:type="dxa" w:w="18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Replay attack</w:t>
            </w:r>
          </w:p>
        </w:tc>
        <w:tc>
          <w:tcPr>
            <w:tcW w:type="dxa" w:w="24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Attacker replays old valid transaction</w:t>
            </w:r>
          </w:p>
        </w:tc>
        <w:tc>
          <w:tcPr>
            <w:tcW w:type="dxa" w:w="1200"/>
            <w:tcBorders>
              <w:top w:val="single" w:color="E5E7EB" w:sz="1"/>
              <w:left w:val="single" w:color="E5E7EB" w:sz="1"/>
              <w:bottom w:val="single" w:color="E5E7EB" w:sz="1"/>
              <w:right w:val="single" w:color="E5E7EB" w:sz="1"/>
            </w:tcBorders>
            <w:shd w:fill="FEF3C7" w:val="clear"/>
            <w:tcMar>
              <w:top w:type="dxa" w:w="90"/>
              <w:left w:type="dxa" w:w="130"/>
              <w:bottom w:type="dxa" w:w="90"/>
              <w:right w:type="dxa" w:w="130"/>
            </w:tcMar>
            <w:vAlign w:val="top"/>
          </w:tcPr>
          <w:p>
            <w:pPr>
              <w:spacing w:after="20" w:before="20"/>
              <w:jc w:val="left"/>
            </w:pPr>
            <w:r>
              <w:rPr>
                <w:rFonts w:ascii="Arial" w:cs="Arial" w:eastAsia="Arial" w:hAnsi="Arial"/>
                <w:b/>
                <w:bCs/>
                <w:i w:val="false"/>
                <w:iCs w:val="false"/>
                <w:color w:val="D97706"/>
                <w:sz w:val="19"/>
                <w:szCs w:val="19"/>
              </w:rPr>
              <w:t xml:space="preserve">MEDIUM</w:t>
            </w:r>
          </w:p>
        </w:tc>
        <w:tc>
          <w:tcPr>
            <w:tcW w:type="dxa" w:w="396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Solana's recent blockhash (TTL ~60s) prevents transaction replay natively. No additional mitigation needed.</w:t>
            </w:r>
          </w:p>
        </w:tc>
      </w:tr>
      <w:tr>
        <w:tc>
          <w:tcPr>
            <w:tcW w:type="dxa" w:w="18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JWT theft</w:t>
            </w:r>
          </w:p>
        </w:tc>
        <w:tc>
          <w:tcPr>
            <w:tcW w:type="dxa" w:w="24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Stolen JWT used to create/modify rules</w:t>
            </w:r>
          </w:p>
        </w:tc>
        <w:tc>
          <w:tcPr>
            <w:tcW w:type="dxa" w:w="1200"/>
            <w:tcBorders>
              <w:top w:val="single" w:color="E5E7EB" w:sz="1"/>
              <w:left w:val="single" w:color="E5E7EB" w:sz="1"/>
              <w:bottom w:val="single" w:color="E5E7EB" w:sz="1"/>
              <w:right w:val="single" w:color="E5E7EB" w:sz="1"/>
            </w:tcBorders>
            <w:shd w:fill="FEF3C7" w:val="clear"/>
            <w:tcMar>
              <w:top w:type="dxa" w:w="90"/>
              <w:left w:type="dxa" w:w="130"/>
              <w:bottom w:type="dxa" w:w="90"/>
              <w:right w:type="dxa" w:w="130"/>
            </w:tcMar>
            <w:vAlign w:val="top"/>
          </w:tcPr>
          <w:p>
            <w:pPr>
              <w:spacing w:after="20" w:before="20"/>
              <w:jc w:val="left"/>
            </w:pPr>
            <w:r>
              <w:rPr>
                <w:rFonts w:ascii="Arial" w:cs="Arial" w:eastAsia="Arial" w:hAnsi="Arial"/>
                <w:b/>
                <w:bCs/>
                <w:i w:val="false"/>
                <w:iCs w:val="false"/>
                <w:color w:val="D97706"/>
                <w:sz w:val="19"/>
                <w:szCs w:val="19"/>
              </w:rPr>
              <w:t xml:space="preserve">MEDIUM</w:t>
            </w:r>
          </w:p>
        </w:tc>
        <w:tc>
          <w:tcPr>
            <w:tcW w:type="dxa" w:w="396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JWTs are 24h expiry, wallet-scoped. Rules require user confirmation with wallet signature for activation. JWT alone cannot execute — execution is server-side agent.</w:t>
            </w:r>
          </w:p>
        </w:tc>
      </w:tr>
      <w:tr>
        <w:tc>
          <w:tcPr>
            <w:tcW w:type="dxa" w:w="18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RPC manipulation</w:t>
            </w:r>
          </w:p>
        </w:tc>
        <w:tc>
          <w:tcPr>
            <w:tcW w:type="dxa" w:w="24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Malicious RPC node returns false on-chain state</w:t>
            </w:r>
          </w:p>
        </w:tc>
        <w:tc>
          <w:tcPr>
            <w:tcW w:type="dxa" w:w="1200"/>
            <w:tcBorders>
              <w:top w:val="single" w:color="E5E7EB" w:sz="1"/>
              <w:left w:val="single" w:color="E5E7EB" w:sz="1"/>
              <w:bottom w:val="single" w:color="E5E7EB" w:sz="1"/>
              <w:right w:val="single" w:color="E5E7EB" w:sz="1"/>
            </w:tcBorders>
            <w:shd w:fill="D1FAE5" w:val="clear"/>
            <w:tcMar>
              <w:top w:type="dxa" w:w="90"/>
              <w:left w:type="dxa" w:w="130"/>
              <w:bottom w:type="dxa" w:w="90"/>
              <w:right w:type="dxa" w:w="130"/>
            </w:tcMar>
            <w:vAlign w:val="top"/>
          </w:tcPr>
          <w:p>
            <w:pPr>
              <w:spacing w:after="20" w:before="20"/>
              <w:jc w:val="left"/>
            </w:pPr>
            <w:r>
              <w:rPr>
                <w:rFonts w:ascii="Arial" w:cs="Arial" w:eastAsia="Arial" w:hAnsi="Arial"/>
                <w:b/>
                <w:bCs/>
                <w:i w:val="false"/>
                <w:iCs w:val="false"/>
                <w:color w:val="059669"/>
                <w:sz w:val="19"/>
                <w:szCs w:val="19"/>
              </w:rPr>
              <w:t xml:space="preserve">LOW</w:t>
            </w:r>
          </w:p>
        </w:tc>
        <w:tc>
          <w:tcPr>
            <w:tcW w:type="dxa" w:w="396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Two independent RPC providers (Helius + QuickNode). State confirmed at 'confirmed' commitment. For high-value rules: require 'finalized' commitment.</w:t>
            </w:r>
          </w:p>
        </w:tc>
      </w:tr>
      <w:tr>
        <w:tc>
          <w:tcPr>
            <w:tcW w:type="dxa" w:w="18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Webhook spoofing</w:t>
            </w:r>
          </w:p>
        </w:tc>
        <w:tc>
          <w:tcPr>
            <w:tcW w:type="dxa" w:w="24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Fake Helius webhook triggers unauthorized condition evaluation</w:t>
            </w:r>
          </w:p>
        </w:tc>
        <w:tc>
          <w:tcPr>
            <w:tcW w:type="dxa" w:w="1200"/>
            <w:tcBorders>
              <w:top w:val="single" w:color="E5E7EB" w:sz="1"/>
              <w:left w:val="single" w:color="E5E7EB" w:sz="1"/>
              <w:bottom w:val="single" w:color="E5E7EB" w:sz="1"/>
              <w:right w:val="single" w:color="E5E7EB" w:sz="1"/>
            </w:tcBorders>
            <w:shd w:fill="D1FAE5" w:val="clear"/>
            <w:tcMar>
              <w:top w:type="dxa" w:w="90"/>
              <w:left w:type="dxa" w:w="130"/>
              <w:bottom w:type="dxa" w:w="90"/>
              <w:right w:type="dxa" w:w="130"/>
            </w:tcMar>
            <w:vAlign w:val="top"/>
          </w:tcPr>
          <w:p>
            <w:pPr>
              <w:spacing w:after="20" w:before="20"/>
              <w:jc w:val="left"/>
            </w:pPr>
            <w:r>
              <w:rPr>
                <w:rFonts w:ascii="Arial" w:cs="Arial" w:eastAsia="Arial" w:hAnsi="Arial"/>
                <w:b/>
                <w:bCs/>
                <w:i w:val="false"/>
                <w:iCs w:val="false"/>
                <w:color w:val="059669"/>
                <w:sz w:val="19"/>
                <w:szCs w:val="19"/>
              </w:rPr>
              <w:t xml:space="preserve">LOW</w:t>
            </w:r>
          </w:p>
        </w:tc>
        <w:tc>
          <w:tcPr>
            <w:tcW w:type="dxa" w:w="396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Helius webhooks signed with HMAC-SHA256. Signature verified before processing. Invalid signatures rejected with 401.</w:t>
            </w:r>
          </w:p>
        </w:tc>
      </w:tr>
    </w:tbl>
    <w:p>
      <w:pPr>
        <w:spacing w:after="0" w:before="120"/>
      </w:pPr>
      <w:r>
        <w:t xml:space="preserve"/>
      </w:r>
    </w:p>
    <w:p>
      <w:r>
        <w:br w:type="page"/>
      </w:r>
    </w:p>
    <w:p>
      <w:pPr>
        <w:pStyle w:val="Heading1"/>
        <w:pBdr>
          <w:bottom w:val="single" w:color="6D28D9" w:sz="6" w:space="6"/>
        </w:pBdr>
        <w:spacing w:after="180" w:before="480"/>
      </w:pPr>
      <w:r>
        <w:rPr>
          <w:rFonts w:ascii="Arial" w:cs="Arial" w:eastAsia="Arial" w:hAnsi="Arial"/>
          <w:b/>
          <w:bCs/>
          <w:color w:val="4C1D95"/>
          <w:sz w:val="40"/>
          <w:szCs w:val="40"/>
        </w:rPr>
        <w:t xml:space="preserve">4. On-Chain Architecture</w:t>
      </w:r>
    </w:p>
    <w:p>
      <w:pPr>
        <w:pStyle w:val="Heading2"/>
        <w:spacing w:after="120" w:before="300"/>
      </w:pPr>
      <w:r>
        <w:rPr>
          <w:rFonts w:ascii="Arial" w:cs="Arial" w:eastAsia="Arial" w:hAnsi="Arial"/>
          <w:b/>
          <w:bCs/>
          <w:color w:val="6D28D9"/>
          <w:sz w:val="28"/>
          <w:szCs w:val="28"/>
        </w:rPr>
        <w:t xml:space="preserve">4.1  Memo Proof Schema — Versioned</w:t>
      </w:r>
    </w:p>
    <w:p>
      <w:pPr>
        <w:spacing w:after="80" w:before="80"/>
      </w:pPr>
      <w:r>
        <w:rPr>
          <w:rFonts w:ascii="Arial" w:cs="Arial" w:eastAsia="Arial" w:hAnsi="Arial"/>
          <w:b w:val="false"/>
          <w:bCs w:val="false"/>
          <w:color w:val="374151"/>
          <w:sz w:val="19"/>
          <w:szCs w:val="19"/>
        </w:rPr>
        <w:t xml:space="preserve">Every agent execution transaction includes a Solana Memo Program v2 instruction. The memo contains a compact, versioned JSON object. Schema version is explicit — allows future evolution without breaking audit indexers.</w:t>
      </w:r>
    </w:p>
    <w:p>
      <w:pPr>
        <w:spacing w:after="0" w:before="60"/>
      </w:pPr>
      <w:r>
        <w:t xml:space="preserve"/>
      </w:r>
    </w:p>
    <w:p>
      <w:pPr>
        <w:spacing w:after="40" w:before="40"/>
        <w:ind w:left="360"/>
      </w:pPr>
      <w:r>
        <w:rPr>
          <w:rFonts w:ascii="Courier New" w:cs="Courier New" w:eastAsia="Courier New" w:hAnsi="Courier New"/>
          <w:color w:val="4C1D95"/>
          <w:sz w:val="17"/>
          <w:szCs w:val="17"/>
        </w:rPr>
        <w:t xml:space="preserve">// SolAgent Memo Schema v1 — attached to every execution transaction</w:t>
      </w:r>
    </w:p>
    <w:p>
      <w:pPr>
        <w:spacing w:after="40" w:before="40"/>
        <w:ind w:left="360"/>
      </w:pPr>
      <w:r>
        <w:rPr>
          <w:rFonts w:ascii="Courier New" w:cs="Courier New" w:eastAsia="Courier New" w:hAnsi="Courier New"/>
          <w:color w:val="4C1D95"/>
          <w:sz w:val="17"/>
          <w:szCs w:val="17"/>
        </w:rPr>
        <w:t xml:space="preserve">{</w:t>
      </w:r>
    </w:p>
    <w:p>
      <w:pPr>
        <w:spacing w:after="40" w:before="40"/>
        <w:ind w:left="360"/>
      </w:pPr>
      <w:r>
        <w:rPr>
          <w:rFonts w:ascii="Courier New" w:cs="Courier New" w:eastAsia="Courier New" w:hAnsi="Courier New"/>
          <w:color w:val="4C1D95"/>
          <w:sz w:val="17"/>
          <w:szCs w:val="17"/>
        </w:rPr>
        <w:t xml:space="preserve">  "v": 1,                          // schema version — never changes for v1</w:t>
      </w:r>
    </w:p>
    <w:p>
      <w:pPr>
        <w:spacing w:after="40" w:before="40"/>
        <w:ind w:left="360"/>
      </w:pPr>
      <w:r>
        <w:rPr>
          <w:rFonts w:ascii="Courier New" w:cs="Courier New" w:eastAsia="Courier New" w:hAnsi="Courier New"/>
          <w:color w:val="4C1D95"/>
          <w:sz w:val="17"/>
          <w:szCs w:val="17"/>
        </w:rPr>
        <w:t xml:space="preserve">  "rid": "a1b2c3d4",               // rule_id (8-char hex, indexed)</w:t>
      </w:r>
    </w:p>
    <w:p>
      <w:pPr>
        <w:spacing w:after="40" w:before="40"/>
        <w:ind w:left="360"/>
      </w:pPr>
      <w:r>
        <w:rPr>
          <w:rFonts w:ascii="Courier New" w:cs="Courier New" w:eastAsia="Courier New" w:hAnsi="Courier New"/>
          <w:color w:val="4C1D95"/>
          <w:sz w:val="17"/>
          <w:szCs w:val="17"/>
        </w:rPr>
        <w:t xml:space="preserve">  "wid": "7xKp...4rNs",            // agent wallet pubkey (first 4 + last 4)</w:t>
      </w:r>
    </w:p>
    <w:p>
      <w:pPr>
        <w:spacing w:after="40" w:before="40"/>
        <w:ind w:left="360"/>
      </w:pPr>
      <w:r>
        <w:rPr>
          <w:rFonts w:ascii="Courier New" w:cs="Courier New" w:eastAsia="Courier New" w:hAnsi="Courier New"/>
          <w:color w:val="4C1D95"/>
          <w:sz w:val="17"/>
          <w:szCs w:val="17"/>
        </w:rPr>
        <w:t xml:space="preserve">  "trig": {</w:t>
      </w:r>
    </w:p>
    <w:p>
      <w:pPr>
        <w:spacing w:after="40" w:before="40"/>
        <w:ind w:left="360"/>
      </w:pPr>
      <w:r>
        <w:rPr>
          <w:rFonts w:ascii="Courier New" w:cs="Courier New" w:eastAsia="Courier New" w:hAnsi="Courier New"/>
          <w:color w:val="4C1D95"/>
          <w:sz w:val="17"/>
          <w:szCs w:val="17"/>
        </w:rPr>
        <w:t xml:space="preserve">    "type": "balance_below",        // trigger type from whitelist</w:t>
      </w:r>
    </w:p>
    <w:p>
      <w:pPr>
        <w:spacing w:after="40" w:before="40"/>
        <w:ind w:left="360"/>
      </w:pPr>
      <w:r>
        <w:rPr>
          <w:rFonts w:ascii="Courier New" w:cs="Courier New" w:eastAsia="Courier New" w:hAnsi="Courier New"/>
          <w:color w:val="4C1D95"/>
          <w:sz w:val="17"/>
          <w:szCs w:val="17"/>
        </w:rPr>
        <w:t xml:space="preserve">    "asset": "SOL",                 // asset evaluated</w:t>
      </w:r>
    </w:p>
    <w:p>
      <w:pPr>
        <w:spacing w:after="40" w:before="40"/>
        <w:ind w:left="360"/>
      </w:pPr>
      <w:r>
        <w:rPr>
          <w:rFonts w:ascii="Courier New" w:cs="Courier New" w:eastAsia="Courier New" w:hAnsi="Courier New"/>
          <w:color w:val="4C1D95"/>
          <w:sz w:val="17"/>
          <w:szCs w:val="17"/>
        </w:rPr>
        <w:t xml:space="preserve">    "threshold": 1.0,               // rule threshold</w:t>
      </w:r>
    </w:p>
    <w:p>
      <w:pPr>
        <w:spacing w:after="40" w:before="40"/>
        <w:ind w:left="360"/>
      </w:pPr>
      <w:r>
        <w:rPr>
          <w:rFonts w:ascii="Courier New" w:cs="Courier New" w:eastAsia="Courier New" w:hAnsi="Courier New"/>
          <w:color w:val="4C1D95"/>
          <w:sz w:val="17"/>
          <w:szCs w:val="17"/>
        </w:rPr>
        <w:t xml:space="preserve">    "observed": 0.87,               // actual value seen at evaluation time</w:t>
      </w:r>
    </w:p>
    <w:p>
      <w:pPr>
        <w:spacing w:after="40" w:before="40"/>
        <w:ind w:left="360"/>
      </w:pPr>
      <w:r>
        <w:rPr>
          <w:rFonts w:ascii="Courier New" w:cs="Courier New" w:eastAsia="Courier New" w:hAnsi="Courier New"/>
          <w:color w:val="4C1D95"/>
          <w:sz w:val="17"/>
          <w:szCs w:val="17"/>
        </w:rPr>
        <w:t xml:space="preserve">    "slot": 285432910               // Solana slot at evaluation</w:t>
      </w:r>
    </w:p>
    <w:p>
      <w:pPr>
        <w:spacing w:after="40" w:before="40"/>
        <w:ind w:left="360"/>
      </w:pPr>
      <w:r>
        <w:rPr>
          <w:rFonts w:ascii="Courier New" w:cs="Courier New" w:eastAsia="Courier New" w:hAnsi="Courier New"/>
          <w:color w:val="4C1D95"/>
          <w:sz w:val="17"/>
          <w:szCs w:val="17"/>
        </w:rPr>
        <w:t xml:space="preserve">  },</w:t>
      </w:r>
    </w:p>
    <w:p>
      <w:pPr>
        <w:spacing w:after="40" w:before="40"/>
        <w:ind w:left="360"/>
      </w:pPr>
      <w:r>
        <w:rPr>
          <w:rFonts w:ascii="Courier New" w:cs="Courier New" w:eastAsia="Courier New" w:hAnsi="Courier New"/>
          <w:color w:val="4C1D95"/>
          <w:sz w:val="17"/>
          <w:szCs w:val="17"/>
        </w:rPr>
        <w:t xml:space="preserve">  "act": {</w:t>
      </w:r>
    </w:p>
    <w:p>
      <w:pPr>
        <w:spacing w:after="40" w:before="40"/>
        <w:ind w:left="360"/>
      </w:pPr>
      <w:r>
        <w:rPr>
          <w:rFonts w:ascii="Courier New" w:cs="Courier New" w:eastAsia="Courier New" w:hAnsi="Courier New"/>
          <w:color w:val="4C1D95"/>
          <w:sz w:val="17"/>
          <w:szCs w:val="17"/>
        </w:rPr>
        <w:t xml:space="preserve">    "type": "swap",                 // action type from whitelist</w:t>
      </w:r>
    </w:p>
    <w:p>
      <w:pPr>
        <w:spacing w:after="40" w:before="40"/>
        <w:ind w:left="360"/>
      </w:pPr>
      <w:r>
        <w:rPr>
          <w:rFonts w:ascii="Courier New" w:cs="Courier New" w:eastAsia="Courier New" w:hAnsi="Courier New"/>
          <w:color w:val="4C1D95"/>
          <w:sz w:val="17"/>
          <w:szCs w:val="17"/>
        </w:rPr>
        <w:t xml:space="preserve">    "from": "USDC",                 // source asset</w:t>
      </w:r>
    </w:p>
    <w:p>
      <w:pPr>
        <w:spacing w:after="40" w:before="40"/>
        <w:ind w:left="360"/>
      </w:pPr>
      <w:r>
        <w:rPr>
          <w:rFonts w:ascii="Courier New" w:cs="Courier New" w:eastAsia="Courier New" w:hAnsi="Courier New"/>
          <w:color w:val="4C1D95"/>
          <w:sz w:val="17"/>
          <w:szCs w:val="17"/>
        </w:rPr>
        <w:t xml:space="preserve">    "to": "SOL",                    // destination asset</w:t>
      </w:r>
    </w:p>
    <w:p>
      <w:pPr>
        <w:spacing w:after="40" w:before="40"/>
        <w:ind w:left="360"/>
      </w:pPr>
      <w:r>
        <w:rPr>
          <w:rFonts w:ascii="Courier New" w:cs="Courier New" w:eastAsia="Courier New" w:hAnsi="Courier New"/>
          <w:color w:val="4C1D95"/>
          <w:sz w:val="17"/>
          <w:szCs w:val="17"/>
        </w:rPr>
        <w:t xml:space="preserve">    "amount": 10,                   // amount in human units</w:t>
      </w:r>
    </w:p>
    <w:p>
      <w:pPr>
        <w:spacing w:after="40" w:before="40"/>
        <w:ind w:left="360"/>
      </w:pPr>
      <w:r>
        <w:rPr>
          <w:rFonts w:ascii="Courier New" w:cs="Courier New" w:eastAsia="Courier New" w:hAnsi="Courier New"/>
          <w:color w:val="4C1D95"/>
          <w:sz w:val="17"/>
          <w:szCs w:val="17"/>
        </w:rPr>
        <w:t xml:space="preserve">    "price_src": "jupiter+pyth",    // price source(s) used</w:t>
      </w:r>
    </w:p>
    <w:p>
      <w:pPr>
        <w:spacing w:after="40" w:before="40"/>
        <w:ind w:left="360"/>
      </w:pPr>
      <w:r>
        <w:rPr>
          <w:rFonts w:ascii="Courier New" w:cs="Courier New" w:eastAsia="Courier New" w:hAnsi="Courier New"/>
          <w:color w:val="4C1D95"/>
          <w:sz w:val="17"/>
          <w:szCs w:val="17"/>
        </w:rPr>
        <w:t xml:space="preserve">    "price_used": 142.50            // price at execution</w:t>
      </w:r>
    </w:p>
    <w:p>
      <w:pPr>
        <w:spacing w:after="40" w:before="40"/>
        <w:ind w:left="360"/>
      </w:pPr>
      <w:r>
        <w:rPr>
          <w:rFonts w:ascii="Courier New" w:cs="Courier New" w:eastAsia="Courier New" w:hAnsi="Courier New"/>
          <w:color w:val="4C1D95"/>
          <w:sz w:val="17"/>
          <w:szCs w:val="17"/>
        </w:rPr>
        <w:t xml:space="preserve">  },</w:t>
      </w:r>
    </w:p>
    <w:p>
      <w:pPr>
        <w:spacing w:after="40" w:before="40"/>
        <w:ind w:left="360"/>
      </w:pPr>
      <w:r>
        <w:rPr>
          <w:rFonts w:ascii="Courier New" w:cs="Courier New" w:eastAsia="Courier New" w:hAnsi="Courier New"/>
          <w:color w:val="4C1D95"/>
          <w:sz w:val="17"/>
          <w:szCs w:val="17"/>
        </w:rPr>
        <w:t xml:space="preserve">  "hash": "e3b0c44298fc..."         // SHA-256(rule_json) — tamper-evident</w:t>
      </w:r>
    </w:p>
    <w:p>
      <w:pPr>
        <w:spacing w:after="40" w:before="40"/>
        <w:ind w:left="360"/>
      </w:pPr>
      <w:r>
        <w:rPr>
          <w:rFonts w:ascii="Courier New" w:cs="Courier New" w:eastAsia="Courier New" w:hAnsi="Courier New"/>
          <w:color w:val="4C1D95"/>
          <w:sz w:val="17"/>
          <w:szCs w:val="17"/>
        </w:rPr>
        <w:t xml:space="preserve">}</w:t>
      </w:r>
    </w:p>
    <w:p>
      <w:pPr>
        <w:spacing w:after="0" w:before="80"/>
      </w:pPr>
      <w:r>
        <w:t xml:space="preserve"/>
      </w:r>
    </w:p>
    <w:p>
      <w:pPr>
        <w:spacing w:after="80" w:before="80"/>
      </w:pPr>
      <w:r>
        <w:rPr>
          <w:rFonts w:ascii="Arial" w:cs="Arial" w:eastAsia="Arial" w:hAnsi="Arial"/>
          <w:b w:val="false"/>
          <w:bCs w:val="false"/>
          <w:color w:val="374151"/>
          <w:sz w:val="19"/>
          <w:szCs w:val="19"/>
        </w:rPr>
        <w:t xml:space="preserve">Total memo size for this schema: ~280–350 bytes. Solana Memo Program v2 limit: 566 bytes. Safe margin of ~200 bytes for future field additions.</w:t>
      </w:r>
    </w:p>
    <w:p>
      <w:pPr>
        <w:spacing w:after="0" w:before="80"/>
      </w:pPr>
      <w:r>
        <w:t xml:space="preserve"/>
      </w:r>
    </w:p>
    <w:p>
      <w:pPr>
        <w:pBdr>
          <w:left w:val="single" w:color="1D4ED8" w:sz="20" w:space="8"/>
        </w:pBdr>
        <w:shd w:fill="DBEAFE" w:val="clear"/>
        <w:spacing w:after="140" w:before="140"/>
        <w:ind w:left="240"/>
      </w:pPr>
      <w:r>
        <w:rPr>
          <w:rFonts w:ascii="Arial" w:cs="Arial" w:eastAsia="Arial" w:hAnsi="Arial"/>
          <w:b/>
          <w:bCs/>
          <w:color w:val="1D4ED8"/>
          <w:sz w:val="19"/>
          <w:szCs w:val="19"/>
        </w:rPr>
        <w:t xml:space="preserve">NOTE  </w:t>
      </w:r>
      <w:r>
        <w:rPr>
          <w:rFonts w:ascii="Arial" w:cs="Arial" w:eastAsia="Arial" w:hAnsi="Arial"/>
          <w:color w:val="111827"/>
          <w:sz w:val="19"/>
          <w:szCs w:val="19"/>
        </w:rPr>
        <w:t xml:space="preserve">The 'hash' field is SHA-256 of the stored rule JSON at time of execution. If an attacker modified the rule server-side between creation and execution, this hash would not match the on-chain record. Not cryptographically binding, but tamper-evident for auditors.</w:t>
      </w:r>
    </w:p>
    <w:p>
      <w:pPr>
        <w:spacing w:after="0" w:before="80"/>
      </w:pPr>
      <w:r>
        <w:t xml:space="preserve"/>
      </w:r>
    </w:p>
    <w:p>
      <w:pPr>
        <w:pStyle w:val="Heading2"/>
        <w:spacing w:after="120" w:before="300"/>
      </w:pPr>
      <w:r>
        <w:rPr>
          <w:rFonts w:ascii="Arial" w:cs="Arial" w:eastAsia="Arial" w:hAnsi="Arial"/>
          <w:b/>
          <w:bCs/>
          <w:color w:val="6D28D9"/>
          <w:sz w:val="28"/>
          <w:szCs w:val="28"/>
        </w:rPr>
        <w:t xml:space="preserve">4.2  Transaction Construction</w:t>
      </w:r>
    </w:p>
    <w:p>
      <w:pPr>
        <w:spacing w:after="80" w:before="80"/>
      </w:pPr>
      <w:r>
        <w:rPr>
          <w:rFonts w:ascii="Arial" w:cs="Arial" w:eastAsia="Arial" w:hAnsi="Arial"/>
          <w:b w:val="false"/>
          <w:bCs w:val="false"/>
          <w:color w:val="374151"/>
          <w:sz w:val="19"/>
          <w:szCs w:val="19"/>
        </w:rPr>
        <w:t xml:space="preserve">Every execution transaction is a Solana versioned transaction (v0) containing exactly two instructions: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3200"/>
        <w:gridCol w:w="2160"/>
      </w:tblGrid>
      <w:tr>
        <w:tc>
          <w:tcPr>
            <w:tcW w:type="dxa" w:w="140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vAlign w:val="top"/>
          </w:tcPr>
          <w:p>
            <w:pPr>
              <w:spacing w:after="20" w:before="20"/>
              <w:jc w:val="left"/>
            </w:pPr>
            <w:r>
              <w:rPr>
                <w:rFonts w:ascii="Arial" w:cs="Arial" w:eastAsia="Arial" w:hAnsi="Arial"/>
                <w:b/>
                <w:bCs/>
                <w:i w:val="false"/>
                <w:iCs w:val="false"/>
                <w:color w:val="FFFFFF"/>
                <w:sz w:val="19"/>
                <w:szCs w:val="19"/>
              </w:rPr>
              <w:t xml:space="preserve">Instruction #</w:t>
            </w:r>
          </w:p>
        </w:tc>
        <w:tc>
          <w:tcPr>
            <w:tcW w:type="dxa" w:w="260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vAlign w:val="top"/>
          </w:tcPr>
          <w:p>
            <w:pPr>
              <w:spacing w:after="20" w:before="20"/>
              <w:jc w:val="left"/>
            </w:pPr>
            <w:r>
              <w:rPr>
                <w:rFonts w:ascii="Arial" w:cs="Arial" w:eastAsia="Arial" w:hAnsi="Arial"/>
                <w:b/>
                <w:bCs/>
                <w:i w:val="false"/>
                <w:iCs w:val="false"/>
                <w:color w:val="FFFFFF"/>
                <w:sz w:val="19"/>
                <w:szCs w:val="19"/>
              </w:rPr>
              <w:t xml:space="preserve">Program</w:t>
            </w:r>
          </w:p>
        </w:tc>
        <w:tc>
          <w:tcPr>
            <w:tcW w:type="dxa" w:w="320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vAlign w:val="top"/>
          </w:tcPr>
          <w:p>
            <w:pPr>
              <w:spacing w:after="20" w:before="20"/>
              <w:jc w:val="left"/>
            </w:pPr>
            <w:r>
              <w:rPr>
                <w:rFonts w:ascii="Arial" w:cs="Arial" w:eastAsia="Arial" w:hAnsi="Arial"/>
                <w:b/>
                <w:bCs/>
                <w:i w:val="false"/>
                <w:iCs w:val="false"/>
                <w:color w:val="FFFFFF"/>
                <w:sz w:val="19"/>
                <w:szCs w:val="19"/>
              </w:rPr>
              <w:t xml:space="preserve">Purpose</w:t>
            </w:r>
          </w:p>
        </w:tc>
        <w:tc>
          <w:tcPr>
            <w:tcW w:type="dxa" w:w="216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vAlign w:val="top"/>
          </w:tcPr>
          <w:p>
            <w:pPr>
              <w:spacing w:after="20" w:before="20"/>
              <w:jc w:val="left"/>
            </w:pPr>
            <w:r>
              <w:rPr>
                <w:rFonts w:ascii="Arial" w:cs="Arial" w:eastAsia="Arial" w:hAnsi="Arial"/>
                <w:b/>
                <w:bCs/>
                <w:i w:val="false"/>
                <w:iCs w:val="false"/>
                <w:color w:val="FFFFFF"/>
                <w:sz w:val="19"/>
                <w:szCs w:val="19"/>
              </w:rPr>
              <w:t xml:space="preserve">Failure Behavior</w:t>
            </w:r>
          </w:p>
        </w:tc>
      </w:tr>
      <w:tr>
        <w:tc>
          <w:tcPr>
            <w:tcW w:type="dxa" w:w="14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1</w:t>
            </w:r>
          </w:p>
        </w:tc>
        <w:tc>
          <w:tcPr>
            <w:tcW w:type="dxa" w:w="26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Target program (SPL Token / System Program)</w:t>
            </w:r>
          </w:p>
        </w:tc>
        <w:tc>
          <w:tcPr>
            <w:tcW w:type="dxa" w:w="32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The actual action: swap via Jupiter CPI, or SOL/token transfer</w:t>
            </w:r>
          </w:p>
        </w:tc>
        <w:tc>
          <w:tcPr>
            <w:tcW w:type="dxa" w:w="216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If this fails → entire transaction fails. Memo not written. No partial state.</w:t>
            </w:r>
          </w:p>
        </w:tc>
      </w:tr>
      <w:tr>
        <w:tc>
          <w:tcPr>
            <w:tcW w:type="dxa" w:w="14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2</w:t>
            </w:r>
          </w:p>
        </w:tc>
        <w:tc>
          <w:tcPr>
            <w:tcW w:type="dxa" w:w="26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Memo Program v2 (MemoSq4gqABAXKb96qnH8TysNcWxMyWCqXgDLGmfcHr)</w:t>
            </w:r>
          </w:p>
        </w:tc>
        <w:tc>
          <w:tcPr>
            <w:tcW w:type="dxa" w:w="32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Attach structured execution proof to the transaction</w:t>
            </w:r>
          </w:p>
        </w:tc>
        <w:tc>
          <w:tcPr>
            <w:tcW w:type="dxa" w:w="216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If this fails → entire transaction fails. Action not executed. Atomic guarantee.</w:t>
            </w:r>
          </w:p>
        </w:tc>
      </w:tr>
    </w:tbl>
    <w:p>
      <w:pPr>
        <w:spacing w:after="0" w:before="80"/>
      </w:pPr>
      <w:r>
        <w:t xml:space="preserve"/>
      </w:r>
    </w:p>
    <w:p>
      <w:pPr>
        <w:pBdr>
          <w:left w:val="single" w:color="059669" w:sz="20" w:space="8"/>
        </w:pBdr>
        <w:shd w:fill="D1FAE5" w:val="clear"/>
        <w:spacing w:after="140" w:before="140"/>
        <w:ind w:left="240"/>
      </w:pPr>
      <w:r>
        <w:rPr>
          <w:rFonts w:ascii="Arial" w:cs="Arial" w:eastAsia="Arial" w:hAnsi="Arial"/>
          <w:b/>
          <w:bCs/>
          <w:color w:val="059669"/>
          <w:sz w:val="19"/>
          <w:szCs w:val="19"/>
        </w:rPr>
        <w:t xml:space="preserve">DECISION  </w:t>
      </w:r>
      <w:r>
        <w:rPr>
          <w:rFonts w:ascii="Arial" w:cs="Arial" w:eastAsia="Arial" w:hAnsi="Arial"/>
          <w:color w:val="111827"/>
          <w:sz w:val="19"/>
          <w:szCs w:val="19"/>
        </w:rPr>
        <w:t xml:space="preserve">Atomicity is the key guarantee: the action and the proof are written in the same transaction. There is no state where an action executed without a proof, or a proof exists without an action. This is enforced by Solana's transaction model, not by application code.</w:t>
      </w:r>
    </w:p>
    <w:p>
      <w:pPr>
        <w:spacing w:after="0" w:before="80"/>
      </w:pPr>
      <w:r>
        <w:t xml:space="preserve"/>
      </w:r>
    </w:p>
    <w:p>
      <w:pPr>
        <w:pStyle w:val="Heading2"/>
        <w:spacing w:after="120" w:before="300"/>
      </w:pPr>
      <w:r>
        <w:rPr>
          <w:rFonts w:ascii="Arial" w:cs="Arial" w:eastAsia="Arial" w:hAnsi="Arial"/>
          <w:b/>
          <w:bCs/>
          <w:color w:val="6D28D9"/>
          <w:sz w:val="28"/>
          <w:szCs w:val="28"/>
        </w:rPr>
        <w:t xml:space="preserve">4.3  Address Lookup Tables (ALTs)</w:t>
      </w:r>
    </w:p>
    <w:p>
      <w:pPr>
        <w:spacing w:after="80" w:before="80"/>
      </w:pPr>
      <w:r>
        <w:rPr>
          <w:rFonts w:ascii="Arial" w:cs="Arial" w:eastAsia="Arial" w:hAnsi="Arial"/>
          <w:b w:val="false"/>
          <w:bCs w:val="false"/>
          <w:color w:val="374151"/>
          <w:sz w:val="19"/>
          <w:szCs w:val="19"/>
        </w:rPr>
        <w:t xml:space="preserve">Versioned transactions with ALTs compress frequently-used addresses to 1-byte indices. SolAgent pre-creates ALTs containing:</w:t>
      </w:r>
    </w:p>
    <w:p>
      <w:pPr>
        <w:pStyle w:val="ListParagraph"/>
        <w:numPr>
          <w:ilvl w:val="0"/>
          <w:numId w:val="3"/>
        </w:numPr>
        <w:spacing w:after="50" w:before="50"/>
      </w:pPr>
      <w:r>
        <w:rPr>
          <w:rFonts w:ascii="Arial" w:cs="Arial" w:eastAsia="Arial" w:hAnsi="Arial"/>
          <w:color w:val="374151"/>
          <w:sz w:val="19"/>
          <w:szCs w:val="19"/>
        </w:rPr>
        <w:t xml:space="preserve">Memo Program v2 address</w:t>
      </w:r>
    </w:p>
    <w:p>
      <w:pPr>
        <w:pStyle w:val="ListParagraph"/>
        <w:numPr>
          <w:ilvl w:val="0"/>
          <w:numId w:val="3"/>
        </w:numPr>
        <w:spacing w:after="50" w:before="50"/>
      </w:pPr>
      <w:r>
        <w:rPr>
          <w:rFonts w:ascii="Arial" w:cs="Arial" w:eastAsia="Arial" w:hAnsi="Arial"/>
          <w:color w:val="374151"/>
          <w:sz w:val="19"/>
          <w:szCs w:val="19"/>
        </w:rPr>
        <w:t xml:space="preserve">Jupiter v6 program address</w:t>
      </w:r>
    </w:p>
    <w:p>
      <w:pPr>
        <w:pStyle w:val="ListParagraph"/>
        <w:numPr>
          <w:ilvl w:val="0"/>
          <w:numId w:val="3"/>
        </w:numPr>
        <w:spacing w:after="50" w:before="50"/>
      </w:pPr>
      <w:r>
        <w:rPr>
          <w:rFonts w:ascii="Arial" w:cs="Arial" w:eastAsia="Arial" w:hAnsi="Arial"/>
          <w:color w:val="374151"/>
          <w:sz w:val="19"/>
          <w:szCs w:val="19"/>
        </w:rPr>
        <w:t xml:space="preserve">Common SPL token mint addresses (USDC, USDT, SOL wrapped, JUP, BONK)</w:t>
      </w:r>
    </w:p>
    <w:p>
      <w:pPr>
        <w:pStyle w:val="ListParagraph"/>
        <w:numPr>
          <w:ilvl w:val="0"/>
          <w:numId w:val="3"/>
        </w:numPr>
        <w:spacing w:after="50" w:before="50"/>
      </w:pPr>
      <w:r>
        <w:rPr>
          <w:rFonts w:ascii="Arial" w:cs="Arial" w:eastAsia="Arial" w:hAnsi="Arial"/>
          <w:color w:val="374151"/>
          <w:sz w:val="19"/>
          <w:szCs w:val="19"/>
        </w:rPr>
        <w:t xml:space="preserve">Common token account addresses per active user</w:t>
      </w:r>
    </w:p>
    <w:p>
      <w:pPr>
        <w:spacing w:after="0" w:before="60"/>
      </w:pPr>
      <w:r>
        <w:t xml:space="preserve"/>
      </w:r>
    </w:p>
    <w:p>
      <w:pPr>
        <w:spacing w:after="80" w:before="80"/>
      </w:pPr>
      <w:r>
        <w:rPr>
          <w:rFonts w:ascii="Arial" w:cs="Arial" w:eastAsia="Arial" w:hAnsi="Arial"/>
          <w:b w:val="false"/>
          <w:bCs w:val="false"/>
          <w:color w:val="374151"/>
          <w:sz w:val="19"/>
          <w:szCs w:val="19"/>
        </w:rPr>
        <w:t xml:space="preserve">This reduces transaction size by ~30%, keeping the transaction well within the 1232-byte limit even for complex swap routes with multiple DEX hops.</w:t>
      </w:r>
    </w:p>
    <w:p>
      <w:pPr>
        <w:spacing w:after="0" w:before="80"/>
      </w:pPr>
      <w:r>
        <w:t xml:space="preserve"/>
      </w:r>
    </w:p>
    <w:p>
      <w:pPr>
        <w:pStyle w:val="Heading2"/>
        <w:spacing w:after="120" w:before="300"/>
      </w:pPr>
      <w:r>
        <w:rPr>
          <w:rFonts w:ascii="Arial" w:cs="Arial" w:eastAsia="Arial" w:hAnsi="Arial"/>
          <w:b/>
          <w:bCs/>
          <w:color w:val="6D28D9"/>
          <w:sz w:val="28"/>
          <w:szCs w:val="28"/>
        </w:rPr>
        <w:t xml:space="preserve">4.4  Priority Fees</w:t>
      </w:r>
    </w:p>
    <w:p>
      <w:pPr>
        <w:spacing w:after="80" w:before="80"/>
      </w:pPr>
      <w:r>
        <w:rPr>
          <w:rFonts w:ascii="Arial" w:cs="Arial" w:eastAsia="Arial" w:hAnsi="Arial"/>
          <w:b w:val="false"/>
          <w:bCs w:val="false"/>
          <w:color w:val="374151"/>
          <w:sz w:val="19"/>
          <w:szCs w:val="19"/>
        </w:rPr>
        <w:t xml:space="preserve">SolAgent computes priority fees dynamically per transaction:</w:t>
      </w:r>
    </w:p>
    <w:p>
      <w:pPr>
        <w:pStyle w:val="ListParagraph"/>
        <w:numPr>
          <w:ilvl w:val="0"/>
          <w:numId w:val="3"/>
        </w:numPr>
        <w:spacing w:after="50" w:before="50"/>
      </w:pPr>
      <w:r>
        <w:rPr>
          <w:rFonts w:ascii="Arial" w:cs="Arial" w:eastAsia="Arial" w:hAnsi="Arial"/>
          <w:color w:val="374151"/>
          <w:sz w:val="19"/>
          <w:szCs w:val="19"/>
        </w:rPr>
        <w:t xml:space="preserve">Query getRecentPrioritizationFees() from RPC for the target programs</w:t>
      </w:r>
    </w:p>
    <w:p>
      <w:pPr>
        <w:pStyle w:val="ListParagraph"/>
        <w:numPr>
          <w:ilvl w:val="0"/>
          <w:numId w:val="3"/>
        </w:numPr>
        <w:spacing w:after="50" w:before="50"/>
      </w:pPr>
      <w:r>
        <w:rPr>
          <w:rFonts w:ascii="Arial" w:cs="Arial" w:eastAsia="Arial" w:hAnsi="Arial"/>
          <w:color w:val="374151"/>
          <w:sz w:val="19"/>
          <w:szCs w:val="19"/>
        </w:rPr>
        <w:t xml:space="preserve">Use the 75th percentile of recent fees as the base</w:t>
      </w:r>
    </w:p>
    <w:p>
      <w:pPr>
        <w:pStyle w:val="ListParagraph"/>
        <w:numPr>
          <w:ilvl w:val="0"/>
          <w:numId w:val="3"/>
        </w:numPr>
        <w:spacing w:after="50" w:before="50"/>
      </w:pPr>
      <w:r>
        <w:rPr>
          <w:rFonts w:ascii="Arial" w:cs="Arial" w:eastAsia="Arial" w:hAnsi="Arial"/>
          <w:color w:val="374151"/>
          <w:sz w:val="19"/>
          <w:szCs w:val="19"/>
        </w:rPr>
        <w:t xml:space="preserve">Multiply by 1.5x for time-sensitive rules (price triggers), 1.0x for scheduled transfers</w:t>
      </w:r>
    </w:p>
    <w:p>
      <w:pPr>
        <w:pStyle w:val="ListParagraph"/>
        <w:numPr>
          <w:ilvl w:val="0"/>
          <w:numId w:val="3"/>
        </w:numPr>
        <w:spacing w:after="50" w:before="50"/>
      </w:pPr>
      <w:r>
        <w:rPr>
          <w:rFonts w:ascii="Arial" w:cs="Arial" w:eastAsia="Arial" w:hAnsi="Arial"/>
          <w:color w:val="374151"/>
          <w:sz w:val="19"/>
          <w:szCs w:val="19"/>
        </w:rPr>
        <w:t xml:space="preserve">Hard cap: 0.01 SOL per transaction. If network fees exceed cap — pause execution and alert user.</w:t>
      </w:r>
    </w:p>
    <w:p>
      <w:pPr>
        <w:spacing w:after="0" w:before="80"/>
      </w:pPr>
      <w:r>
        <w:t xml:space="preserve"/>
      </w:r>
    </w:p>
    <w:p>
      <w:pPr>
        <w:pStyle w:val="Heading2"/>
        <w:spacing w:after="120" w:before="300"/>
      </w:pPr>
      <w:r>
        <w:rPr>
          <w:rFonts w:ascii="Arial" w:cs="Arial" w:eastAsia="Arial" w:hAnsi="Arial"/>
          <w:b/>
          <w:bCs/>
          <w:color w:val="6D28D9"/>
          <w:sz w:val="28"/>
          <w:szCs w:val="28"/>
        </w:rPr>
        <w:t xml:space="preserve">4.5  Transaction Confirmation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400"/>
        <w:gridCol w:w="3160"/>
      </w:tblGrid>
      <w:tr>
        <w:tc>
          <w:tcPr>
            <w:tcW w:type="dxa" w:w="240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vAlign w:val="top"/>
          </w:tcPr>
          <w:p>
            <w:pPr>
              <w:spacing w:after="20" w:before="20"/>
              <w:jc w:val="left"/>
            </w:pPr>
            <w:r>
              <w:rPr>
                <w:rFonts w:ascii="Arial" w:cs="Arial" w:eastAsia="Arial" w:hAnsi="Arial"/>
                <w:b/>
                <w:bCs/>
                <w:i w:val="false"/>
                <w:iCs w:val="false"/>
                <w:color w:val="FFFFFF"/>
                <w:sz w:val="19"/>
                <w:szCs w:val="19"/>
              </w:rPr>
              <w:t xml:space="preserve">Rule Type</w:t>
            </w:r>
          </w:p>
        </w:tc>
        <w:tc>
          <w:tcPr>
            <w:tcW w:type="dxa" w:w="240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vAlign w:val="top"/>
          </w:tcPr>
          <w:p>
            <w:pPr>
              <w:spacing w:after="20" w:before="20"/>
              <w:jc w:val="left"/>
            </w:pPr>
            <w:r>
              <w:rPr>
                <w:rFonts w:ascii="Arial" w:cs="Arial" w:eastAsia="Arial" w:hAnsi="Arial"/>
                <w:b/>
                <w:bCs/>
                <w:i w:val="false"/>
                <w:iCs w:val="false"/>
                <w:color w:val="FFFFFF"/>
                <w:sz w:val="19"/>
                <w:szCs w:val="19"/>
              </w:rPr>
              <w:t xml:space="preserve">Commitment Level</w:t>
            </w:r>
          </w:p>
        </w:tc>
        <w:tc>
          <w:tcPr>
            <w:tcW w:type="dxa" w:w="140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vAlign w:val="top"/>
          </w:tcPr>
          <w:p>
            <w:pPr>
              <w:spacing w:after="20" w:before="20"/>
              <w:jc w:val="left"/>
            </w:pPr>
            <w:r>
              <w:rPr>
                <w:rFonts w:ascii="Arial" w:cs="Arial" w:eastAsia="Arial" w:hAnsi="Arial"/>
                <w:b/>
                <w:bCs/>
                <w:i w:val="false"/>
                <w:iCs w:val="false"/>
                <w:color w:val="FFFFFF"/>
                <w:sz w:val="19"/>
                <w:szCs w:val="19"/>
              </w:rPr>
              <w:t xml:space="preserve">Max Wait</w:t>
            </w:r>
          </w:p>
        </w:tc>
        <w:tc>
          <w:tcPr>
            <w:tcW w:type="dxa" w:w="316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vAlign w:val="top"/>
          </w:tcPr>
          <w:p>
            <w:pPr>
              <w:spacing w:after="20" w:before="20"/>
              <w:jc w:val="left"/>
            </w:pPr>
            <w:r>
              <w:rPr>
                <w:rFonts w:ascii="Arial" w:cs="Arial" w:eastAsia="Arial" w:hAnsi="Arial"/>
                <w:b/>
                <w:bCs/>
                <w:i w:val="false"/>
                <w:iCs w:val="false"/>
                <w:color w:val="FFFFFF"/>
                <w:sz w:val="19"/>
                <w:szCs w:val="19"/>
              </w:rPr>
              <w:t xml:space="preserve">On Timeout</w:t>
            </w:r>
          </w:p>
        </w:tc>
      </w:tr>
      <w:tr>
        <w:tc>
          <w:tcPr>
            <w:tcW w:type="dxa" w:w="24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All rule types (v1)</w:t>
            </w:r>
          </w:p>
        </w:tc>
        <w:tc>
          <w:tcPr>
            <w:tcW w:type="dxa" w:w="24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confirmed (2/3 supermajority)</w:t>
            </w:r>
          </w:p>
        </w:tc>
        <w:tc>
          <w:tcPr>
            <w:tcW w:type="dxa" w:w="14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60 seconds</w:t>
            </w:r>
          </w:p>
        </w:tc>
        <w:tc>
          <w:tcPr>
            <w:tcW w:type="dxa" w:w="316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Mark FAILED. Do not retry automatically. User alerted.</w:t>
            </w:r>
          </w:p>
        </w:tc>
      </w:tr>
      <w:tr>
        <w:tc>
          <w:tcPr>
            <w:tcW w:type="dxa" w:w="24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High-value rules &gt;$1000 (v2)</w:t>
            </w:r>
          </w:p>
        </w:tc>
        <w:tc>
          <w:tcPr>
            <w:tcW w:type="dxa" w:w="24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finalized (~32 slots, ~13s)</w:t>
            </w:r>
          </w:p>
        </w:tc>
        <w:tc>
          <w:tcPr>
            <w:tcW w:type="dxa" w:w="14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90 seconds</w:t>
            </w:r>
          </w:p>
        </w:tc>
        <w:tc>
          <w:tcPr>
            <w:tcW w:type="dxa" w:w="316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Mark FAILED. User must manually retry.</w:t>
            </w:r>
          </w:p>
        </w:tc>
      </w:tr>
    </w:tbl>
    <w:p>
      <w:pPr>
        <w:spacing w:after="0" w:before="80"/>
      </w:pPr>
      <w:r>
        <w:t xml:space="preserve"/>
      </w:r>
    </w:p>
    <w:p>
      <w:pPr>
        <w:pBdr>
          <w:left w:val="single" w:color="D97706" w:sz="20" w:space="8"/>
        </w:pBdr>
        <w:shd w:fill="FEF3C7" w:val="clear"/>
        <w:spacing w:after="140" w:before="140"/>
        <w:ind w:left="240"/>
      </w:pPr>
      <w:r>
        <w:rPr>
          <w:rFonts w:ascii="Arial" w:cs="Arial" w:eastAsia="Arial" w:hAnsi="Arial"/>
          <w:b/>
          <w:bCs/>
          <w:color w:val="D97706"/>
          <w:sz w:val="19"/>
          <w:szCs w:val="19"/>
        </w:rPr>
        <w:t xml:space="preserve">CAUTION  </w:t>
      </w:r>
      <w:r>
        <w:rPr>
          <w:rFonts w:ascii="Arial" w:cs="Arial" w:eastAsia="Arial" w:hAnsi="Arial"/>
          <w:color w:val="111827"/>
          <w:sz w:val="19"/>
          <w:szCs w:val="19"/>
        </w:rPr>
        <w:t xml:space="preserve">Never mark an execution as successful until on-chain confirmation is received. A submitted transaction is not an executed transaction. Optimistic confirmation causes inconsistent state when transactions fail to land.</w:t>
      </w:r>
    </w:p>
    <w:p>
      <w:pPr>
        <w:spacing w:after="0" w:before="120"/>
      </w:pPr>
      <w:r>
        <w:t xml:space="preserve"/>
      </w:r>
    </w:p>
    <w:p>
      <w:r>
        <w:br w:type="page"/>
      </w:r>
    </w:p>
    <w:p>
      <w:pPr>
        <w:pStyle w:val="Heading1"/>
        <w:pBdr>
          <w:bottom w:val="single" w:color="6D28D9" w:sz="6" w:space="6"/>
        </w:pBdr>
        <w:spacing w:after="180" w:before="480"/>
      </w:pPr>
      <w:r>
        <w:rPr>
          <w:rFonts w:ascii="Arial" w:cs="Arial" w:eastAsia="Arial" w:hAnsi="Arial"/>
          <w:b/>
          <w:bCs/>
          <w:color w:val="4C1D95"/>
          <w:sz w:val="40"/>
          <w:szCs w:val="40"/>
        </w:rPr>
        <w:t xml:space="preserve">5. AI / NLP Architecture</w:t>
      </w:r>
    </w:p>
    <w:p>
      <w:pPr>
        <w:pStyle w:val="Heading2"/>
        <w:spacing w:after="120" w:before="300"/>
      </w:pPr>
      <w:r>
        <w:rPr>
          <w:rFonts w:ascii="Arial" w:cs="Arial" w:eastAsia="Arial" w:hAnsi="Arial"/>
          <w:b/>
          <w:bCs/>
          <w:color w:val="6D28D9"/>
          <w:sz w:val="28"/>
          <w:szCs w:val="28"/>
        </w:rPr>
        <w:t xml:space="preserve">5.1  Structured Output — The Core Safety Mechanism</w:t>
      </w:r>
    </w:p>
    <w:p>
      <w:pPr>
        <w:spacing w:after="80" w:before="80"/>
      </w:pPr>
      <w:r>
        <w:rPr>
          <w:rFonts w:ascii="Arial" w:cs="Arial" w:eastAsia="Arial" w:hAnsi="Arial"/>
          <w:b w:val="false"/>
          <w:bCs w:val="false"/>
          <w:color w:val="374151"/>
          <w:sz w:val="19"/>
          <w:szCs w:val="19"/>
        </w:rPr>
        <w:t xml:space="preserve">SolAgent uses Claude's tool-use API to enforce structured output. The rule schema is defined as a tool definition. The LLM must call the tool — it cannot produce free-form text. This eliminates an entire class of parsing failures.</w:t>
      </w:r>
    </w:p>
    <w:p>
      <w:pPr>
        <w:spacing w:after="0" w:before="80"/>
      </w:pPr>
      <w:r>
        <w:t xml:space="preserve"/>
      </w:r>
    </w:p>
    <w:p>
      <w:pPr>
        <w:spacing w:after="80" w:before="80"/>
      </w:pPr>
      <w:r>
        <w:rPr>
          <w:rFonts w:ascii="Arial" w:cs="Arial" w:eastAsia="Arial" w:hAnsi="Arial"/>
          <w:b w:val="false"/>
          <w:bCs w:val="false"/>
          <w:color w:val="374151"/>
          <w:sz w:val="19"/>
          <w:szCs w:val="19"/>
        </w:rPr>
        <w:t xml:space="preserve">The tool definition (TypeScript type representation):</w:t>
      </w:r>
    </w:p>
    <w:p>
      <w:pPr>
        <w:spacing w:after="0" w:before="40"/>
      </w:pPr>
      <w:r>
        <w:t xml:space="preserve"/>
      </w:r>
    </w:p>
    <w:p>
      <w:pPr>
        <w:spacing w:after="40" w:before="40"/>
        <w:ind w:left="360"/>
      </w:pPr>
      <w:r>
        <w:rPr>
          <w:rFonts w:ascii="Courier New" w:cs="Courier New" w:eastAsia="Courier New" w:hAnsi="Courier New"/>
          <w:color w:val="4C1D95"/>
          <w:sz w:val="17"/>
          <w:szCs w:val="17"/>
        </w:rPr>
        <w:t xml:space="preserve">interface SolAgentRule {</w:t>
      </w:r>
    </w:p>
    <w:p>
      <w:pPr>
        <w:spacing w:after="40" w:before="40"/>
        <w:ind w:left="360"/>
      </w:pPr>
      <w:r>
        <w:rPr>
          <w:rFonts w:ascii="Courier New" w:cs="Courier New" w:eastAsia="Courier New" w:hAnsi="Courier New"/>
          <w:color w:val="4C1D95"/>
          <w:sz w:val="17"/>
          <w:szCs w:val="17"/>
        </w:rPr>
        <w:t xml:space="preserve">  trigger: {</w:t>
      </w:r>
    </w:p>
    <w:p>
      <w:pPr>
        <w:spacing w:after="40" w:before="40"/>
        <w:ind w:left="360"/>
      </w:pPr>
      <w:r>
        <w:rPr>
          <w:rFonts w:ascii="Courier New" w:cs="Courier New" w:eastAsia="Courier New" w:hAnsi="Courier New"/>
          <w:color w:val="4C1D95"/>
          <w:sz w:val="17"/>
          <w:szCs w:val="17"/>
        </w:rPr>
        <w:t xml:space="preserve">    type: "balance_below" | "balance_above" | "price_below" | "price_above"</w:t>
      </w:r>
    </w:p>
    <w:p>
      <w:pPr>
        <w:spacing w:after="40" w:before="40"/>
        <w:ind w:left="360"/>
      </w:pPr>
      <w:r>
        <w:rPr>
          <w:rFonts w:ascii="Courier New" w:cs="Courier New" w:eastAsia="Courier New" w:hAnsi="Courier New"/>
          <w:color w:val="4C1D95"/>
          <w:sz w:val="17"/>
          <w:szCs w:val="17"/>
        </w:rPr>
        <w:t xml:space="preserve">           | "time_cron" | "outflow_exceeded";</w:t>
      </w:r>
    </w:p>
    <w:p>
      <w:pPr>
        <w:spacing w:after="40" w:before="40"/>
        <w:ind w:left="360"/>
      </w:pPr>
      <w:r>
        <w:rPr>
          <w:rFonts w:ascii="Courier New" w:cs="Courier New" w:eastAsia="Courier New" w:hAnsi="Courier New"/>
          <w:color w:val="4C1D95"/>
          <w:sz w:val="17"/>
          <w:szCs w:val="17"/>
        </w:rPr>
        <w:t xml:space="preserve">    asset: "SOL" | "USDC" | "USDT" | "JUP" | "BONK";  // whitelist</w:t>
      </w:r>
    </w:p>
    <w:p>
      <w:pPr>
        <w:spacing w:after="40" w:before="40"/>
        <w:ind w:left="360"/>
      </w:pPr>
      <w:r>
        <w:rPr>
          <w:rFonts w:ascii="Courier New" w:cs="Courier New" w:eastAsia="Courier New" w:hAnsi="Courier New"/>
          <w:color w:val="4C1D95"/>
          <w:sz w:val="17"/>
          <w:szCs w:val="17"/>
        </w:rPr>
        <w:t xml:space="preserve">    threshold?: number;        // for balance/price triggers</w:t>
      </w:r>
    </w:p>
    <w:p>
      <w:pPr>
        <w:spacing w:after="40" w:before="40"/>
        <w:ind w:left="360"/>
      </w:pPr>
      <w:r>
        <w:rPr>
          <w:rFonts w:ascii="Courier New" w:cs="Courier New" w:eastAsia="Courier New" w:hAnsi="Courier New"/>
          <w:color w:val="4C1D95"/>
          <w:sz w:val="17"/>
          <w:szCs w:val="17"/>
        </w:rPr>
        <w:t xml:space="preserve">    cron_expression?: string;  // for time triggers (validated server-side)</w:t>
      </w:r>
    </w:p>
    <w:p>
      <w:pPr>
        <w:spacing w:after="40" w:before="40"/>
        <w:ind w:left="360"/>
      </w:pPr>
      <w:r>
        <w:rPr>
          <w:rFonts w:ascii="Courier New" w:cs="Courier New" w:eastAsia="Courier New" w:hAnsi="Courier New"/>
          <w:color w:val="4C1D95"/>
          <w:sz w:val="17"/>
          <w:szCs w:val="17"/>
        </w:rPr>
        <w:t xml:space="preserve">    window_seconds?: number;   // for outflow triggers</w:t>
      </w:r>
    </w:p>
    <w:p>
      <w:pPr>
        <w:spacing w:after="40" w:before="40"/>
        <w:ind w:left="360"/>
      </w:pPr>
      <w:r>
        <w:rPr>
          <w:rFonts w:ascii="Courier New" w:cs="Courier New" w:eastAsia="Courier New" w:hAnsi="Courier New"/>
          <w:color w:val="4C1D95"/>
          <w:sz w:val="17"/>
          <w:szCs w:val="17"/>
        </w:rPr>
        <w:t xml:space="preserve">  };</w:t>
      </w:r>
    </w:p>
    <w:p>
      <w:pPr>
        <w:spacing w:after="40" w:before="40"/>
        <w:ind w:left="360"/>
      </w:pPr>
      <w:r>
        <w:rPr>
          <w:rFonts w:ascii="Courier New" w:cs="Courier New" w:eastAsia="Courier New" w:hAnsi="Courier New"/>
          <w:color w:val="4C1D95"/>
          <w:sz w:val="17"/>
          <w:szCs w:val="17"/>
        </w:rPr>
        <w:t xml:space="preserve">  action: {</w:t>
      </w:r>
    </w:p>
    <w:p>
      <w:pPr>
        <w:spacing w:after="40" w:before="40"/>
        <w:ind w:left="360"/>
      </w:pPr>
      <w:r>
        <w:rPr>
          <w:rFonts w:ascii="Courier New" w:cs="Courier New" w:eastAsia="Courier New" w:hAnsi="Courier New"/>
          <w:color w:val="4C1D95"/>
          <w:sz w:val="17"/>
          <w:szCs w:val="17"/>
        </w:rPr>
        <w:t xml:space="preserve">    type: "swap" | "transfer" | "alert_only" | "pause_all";</w:t>
      </w:r>
    </w:p>
    <w:p>
      <w:pPr>
        <w:spacing w:after="40" w:before="40"/>
        <w:ind w:left="360"/>
      </w:pPr>
      <w:r>
        <w:rPr>
          <w:rFonts w:ascii="Courier New" w:cs="Courier New" w:eastAsia="Courier New" w:hAnsi="Courier New"/>
          <w:color w:val="4C1D95"/>
          <w:sz w:val="17"/>
          <w:szCs w:val="17"/>
        </w:rPr>
        <w:t xml:space="preserve">    from_asset?: string;</w:t>
      </w:r>
    </w:p>
    <w:p>
      <w:pPr>
        <w:spacing w:after="40" w:before="40"/>
        <w:ind w:left="360"/>
      </w:pPr>
      <w:r>
        <w:rPr>
          <w:rFonts w:ascii="Courier New" w:cs="Courier New" w:eastAsia="Courier New" w:hAnsi="Courier New"/>
          <w:color w:val="4C1D95"/>
          <w:sz w:val="17"/>
          <w:szCs w:val="17"/>
        </w:rPr>
        <w:t xml:space="preserve">    to_asset?: string;</w:t>
      </w:r>
    </w:p>
    <w:p>
      <w:pPr>
        <w:spacing w:after="40" w:before="40"/>
        <w:ind w:left="360"/>
      </w:pPr>
      <w:r>
        <w:rPr>
          <w:rFonts w:ascii="Courier New" w:cs="Courier New" w:eastAsia="Courier New" w:hAnsi="Courier New"/>
          <w:color w:val="4C1D95"/>
          <w:sz w:val="17"/>
          <w:szCs w:val="17"/>
        </w:rPr>
        <w:t xml:space="preserve">    amount?: number;</w:t>
      </w:r>
    </w:p>
    <w:p>
      <w:pPr>
        <w:spacing w:after="40" w:before="40"/>
        <w:ind w:left="360"/>
      </w:pPr>
      <w:r>
        <w:rPr>
          <w:rFonts w:ascii="Courier New" w:cs="Courier New" w:eastAsia="Courier New" w:hAnsi="Courier New"/>
          <w:color w:val="4C1D95"/>
          <w:sz w:val="17"/>
          <w:szCs w:val="17"/>
        </w:rPr>
        <w:t xml:space="preserve">    recipient?: string;        // validated as valid Solana pubkey server-side</w:t>
      </w:r>
    </w:p>
    <w:p>
      <w:pPr>
        <w:spacing w:after="40" w:before="40"/>
        <w:ind w:left="360"/>
      </w:pPr>
      <w:r>
        <w:rPr>
          <w:rFonts w:ascii="Courier New" w:cs="Courier New" w:eastAsia="Courier New" w:hAnsi="Courier New"/>
          <w:color w:val="4C1D95"/>
          <w:sz w:val="17"/>
          <w:szCs w:val="17"/>
        </w:rPr>
        <w:t xml:space="preserve">    max_slippage_bps?: number; // default 50 (0.5%)</w:t>
      </w:r>
    </w:p>
    <w:p>
      <w:pPr>
        <w:spacing w:after="40" w:before="40"/>
        <w:ind w:left="360"/>
      </w:pPr>
      <w:r>
        <w:rPr>
          <w:rFonts w:ascii="Courier New" w:cs="Courier New" w:eastAsia="Courier New" w:hAnsi="Courier New"/>
          <w:color w:val="4C1D95"/>
          <w:sz w:val="17"/>
          <w:szCs w:val="17"/>
        </w:rPr>
        <w:t xml:space="preserve">  };</w:t>
      </w:r>
    </w:p>
    <w:p>
      <w:pPr>
        <w:spacing w:after="40" w:before="40"/>
        <w:ind w:left="360"/>
      </w:pPr>
      <w:r>
        <w:rPr>
          <w:rFonts w:ascii="Courier New" w:cs="Courier New" w:eastAsia="Courier New" w:hAnsi="Courier New"/>
          <w:color w:val="4C1D95"/>
          <w:sz w:val="17"/>
          <w:szCs w:val="17"/>
        </w:rPr>
        <w:t xml:space="preserve">  conditions?: {              // optional AND conditions</w:t>
      </w:r>
    </w:p>
    <w:p>
      <w:pPr>
        <w:spacing w:after="40" w:before="40"/>
        <w:ind w:left="360"/>
      </w:pPr>
      <w:r>
        <w:rPr>
          <w:rFonts w:ascii="Courier New" w:cs="Courier New" w:eastAsia="Courier New" w:hAnsi="Courier New"/>
          <w:color w:val="4C1D95"/>
          <w:sz w:val="17"/>
          <w:szCs w:val="17"/>
        </w:rPr>
        <w:t xml:space="preserve">    max_amount_usd?: number;  // per-execution spend cap</w:t>
      </w:r>
    </w:p>
    <w:p>
      <w:pPr>
        <w:spacing w:after="40" w:before="40"/>
        <w:ind w:left="360"/>
      </w:pPr>
      <w:r>
        <w:rPr>
          <w:rFonts w:ascii="Courier New" w:cs="Courier New" w:eastAsia="Courier New" w:hAnsi="Courier New"/>
          <w:color w:val="4C1D95"/>
          <w:sz w:val="17"/>
          <w:szCs w:val="17"/>
        </w:rPr>
        <w:t xml:space="preserve">    active_hours?: string;    // "09:00-17:00 UTC" — only fire in window</w:t>
      </w:r>
    </w:p>
    <w:p>
      <w:pPr>
        <w:spacing w:after="40" w:before="40"/>
        <w:ind w:left="360"/>
      </w:pPr>
      <w:r>
        <w:rPr>
          <w:rFonts w:ascii="Courier New" w:cs="Courier New" w:eastAsia="Courier New" w:hAnsi="Courier New"/>
          <w:color w:val="4C1D95"/>
          <w:sz w:val="17"/>
          <w:szCs w:val="17"/>
        </w:rPr>
        <w:t xml:space="preserve">    max_fires_per_day?: number;</w:t>
      </w:r>
    </w:p>
    <w:p>
      <w:pPr>
        <w:spacing w:after="40" w:before="40"/>
        <w:ind w:left="360"/>
      </w:pPr>
      <w:r>
        <w:rPr>
          <w:rFonts w:ascii="Courier New" w:cs="Courier New" w:eastAsia="Courier New" w:hAnsi="Courier New"/>
          <w:color w:val="4C1D95"/>
          <w:sz w:val="17"/>
          <w:szCs w:val="17"/>
        </w:rPr>
        <w:t xml:space="preserve">  };</w:t>
      </w:r>
    </w:p>
    <w:p>
      <w:pPr>
        <w:spacing w:after="40" w:before="40"/>
        <w:ind w:left="360"/>
      </w:pPr>
      <w:r>
        <w:rPr>
          <w:rFonts w:ascii="Courier New" w:cs="Courier New" w:eastAsia="Courier New" w:hAnsi="Courier New"/>
          <w:color w:val="4C1D95"/>
          <w:sz w:val="17"/>
          <w:szCs w:val="17"/>
        </w:rPr>
        <w:t xml:space="preserve">}</w:t>
      </w:r>
    </w:p>
    <w:p>
      <w:pPr>
        <w:spacing w:after="0" w:before="80"/>
      </w:pPr>
      <w:r>
        <w:t xml:space="preserve"/>
      </w:r>
    </w:p>
    <w:p>
      <w:pPr>
        <w:pBdr>
          <w:left w:val="single" w:color="059669" w:sz="20" w:space="8"/>
        </w:pBdr>
        <w:shd w:fill="D1FAE5" w:val="clear"/>
        <w:spacing w:after="140" w:before="140"/>
        <w:ind w:left="240"/>
      </w:pPr>
      <w:r>
        <w:rPr>
          <w:rFonts w:ascii="Arial" w:cs="Arial" w:eastAsia="Arial" w:hAnsi="Arial"/>
          <w:b/>
          <w:bCs/>
          <w:color w:val="059669"/>
          <w:sz w:val="19"/>
          <w:szCs w:val="19"/>
        </w:rPr>
        <w:t xml:space="preserve">DECISION  </w:t>
      </w:r>
      <w:r>
        <w:rPr>
          <w:rFonts w:ascii="Arial" w:cs="Arial" w:eastAsia="Arial" w:hAnsi="Arial"/>
          <w:color w:val="111827"/>
          <w:sz w:val="19"/>
          <w:szCs w:val="19"/>
        </w:rPr>
        <w:t xml:space="preserve">Every field has a defined type. Asset names are whitelisted — the LLM cannot invent a fake token. Recipient addresses are validated as valid Solana pubkeys server-side via Zod after LLM output. The LLM's job is semantic understanding, not security enforcement.</w:t>
      </w:r>
    </w:p>
    <w:p>
      <w:pPr>
        <w:spacing w:after="0" w:before="80"/>
      </w:pPr>
      <w:r>
        <w:t xml:space="preserve"/>
      </w:r>
    </w:p>
    <w:p>
      <w:pPr>
        <w:pStyle w:val="Heading2"/>
        <w:spacing w:after="120" w:before="300"/>
      </w:pPr>
      <w:r>
        <w:rPr>
          <w:rFonts w:ascii="Arial" w:cs="Arial" w:eastAsia="Arial" w:hAnsi="Arial"/>
          <w:b/>
          <w:bCs/>
          <w:color w:val="6D28D9"/>
          <w:sz w:val="28"/>
          <w:szCs w:val="28"/>
        </w:rPr>
        <w:t xml:space="preserve">5.2  Validation Pipeline</w:t>
      </w:r>
    </w:p>
    <w:p>
      <w:pPr>
        <w:pStyle w:val="ListParagraph"/>
        <w:numPr>
          <w:ilvl w:val="0"/>
          <w:numId w:val="2"/>
        </w:numPr>
        <w:spacing w:after="50" w:before="50"/>
      </w:pPr>
      <w:r>
        <w:rPr>
          <w:rFonts w:ascii="Arial" w:cs="Arial" w:eastAsia="Arial" w:hAnsi="Arial"/>
          <w:color w:val="374151"/>
          <w:sz w:val="19"/>
          <w:szCs w:val="19"/>
        </w:rPr>
        <w:t xml:space="preserve">LLM produces tool_use response with populated SolAgentRule object.</w:t>
      </w:r>
    </w:p>
    <w:p>
      <w:pPr>
        <w:pStyle w:val="ListParagraph"/>
        <w:numPr>
          <w:ilvl w:val="0"/>
          <w:numId w:val="2"/>
        </w:numPr>
        <w:spacing w:after="50" w:before="50"/>
      </w:pPr>
      <w:r>
        <w:rPr>
          <w:rFonts w:ascii="Arial" w:cs="Arial" w:eastAsia="Arial" w:hAnsi="Arial"/>
          <w:color w:val="374151"/>
          <w:sz w:val="19"/>
          <w:szCs w:val="19"/>
        </w:rPr>
        <w:t xml:space="preserve">Layer 1 — Schema validation (Zod): all required fields present, types correct, enums valid. Fails fast with specific error.</w:t>
      </w:r>
    </w:p>
    <w:p>
      <w:pPr>
        <w:pStyle w:val="ListParagraph"/>
        <w:numPr>
          <w:ilvl w:val="0"/>
          <w:numId w:val="2"/>
        </w:numPr>
        <w:spacing w:after="50" w:before="50"/>
      </w:pPr>
      <w:r>
        <w:rPr>
          <w:rFonts w:ascii="Arial" w:cs="Arial" w:eastAsia="Arial" w:hAnsi="Arial"/>
          <w:color w:val="374151"/>
          <w:sz w:val="19"/>
          <w:szCs w:val="19"/>
        </w:rPr>
        <w:t xml:space="preserve">Layer 2 — Semantic validation: cron expression is valid, threshold &gt; 0, amount &gt; 0, max_slippage_bps in [1, 500].</w:t>
      </w:r>
    </w:p>
    <w:p>
      <w:pPr>
        <w:pStyle w:val="ListParagraph"/>
        <w:numPr>
          <w:ilvl w:val="0"/>
          <w:numId w:val="2"/>
        </w:numPr>
        <w:spacing w:after="50" w:before="50"/>
      </w:pPr>
      <w:r>
        <w:rPr>
          <w:rFonts w:ascii="Arial" w:cs="Arial" w:eastAsia="Arial" w:hAnsi="Arial"/>
          <w:color w:val="374151"/>
          <w:sz w:val="19"/>
          <w:szCs w:val="19"/>
        </w:rPr>
        <w:t xml:space="preserve">Layer 3 — Address validation: if action.recipient present, validate as base58 Solana pubkey. Reject if invalid.</w:t>
      </w:r>
    </w:p>
    <w:p>
      <w:pPr>
        <w:pStyle w:val="ListParagraph"/>
        <w:numPr>
          <w:ilvl w:val="0"/>
          <w:numId w:val="2"/>
        </w:numPr>
        <w:spacing w:after="50" w:before="50"/>
      </w:pPr>
      <w:r>
        <w:rPr>
          <w:rFonts w:ascii="Arial" w:cs="Arial" w:eastAsia="Arial" w:hAnsi="Arial"/>
          <w:color w:val="374151"/>
          <w:sz w:val="19"/>
          <w:szCs w:val="19"/>
        </w:rPr>
        <w:t xml:space="preserve">Layer 4 — Business rule validation: trigger.asset must be supported by Jupiter. from/to assets must differ.</w:t>
      </w:r>
    </w:p>
    <w:p>
      <w:pPr>
        <w:pStyle w:val="ListParagraph"/>
        <w:numPr>
          <w:ilvl w:val="0"/>
          <w:numId w:val="2"/>
        </w:numPr>
        <w:spacing w:after="50" w:before="50"/>
      </w:pPr>
      <w:r>
        <w:rPr>
          <w:rFonts w:ascii="Arial" w:cs="Arial" w:eastAsia="Arial" w:hAnsi="Arial"/>
          <w:color w:val="374151"/>
          <w:sz w:val="19"/>
          <w:szCs w:val="19"/>
        </w:rPr>
        <w:t xml:space="preserve">Layer 5 — User confirmation: human-readable English summary generated from validated rule. User must click 'Activate' to proceed.</w:t>
      </w:r>
    </w:p>
    <w:p>
      <w:pPr>
        <w:spacing w:after="0" w:before="80"/>
      </w:pPr>
      <w:r>
        <w:t xml:space="preserve"/>
      </w:r>
    </w:p>
    <w:p>
      <w:pPr>
        <w:pBdr>
          <w:left w:val="single" w:color="1D4ED8" w:sz="20" w:space="8"/>
        </w:pBdr>
        <w:shd w:fill="DBEAFE" w:val="clear"/>
        <w:spacing w:after="140" w:before="140"/>
        <w:ind w:left="240"/>
      </w:pPr>
      <w:r>
        <w:rPr>
          <w:rFonts w:ascii="Arial" w:cs="Arial" w:eastAsia="Arial" w:hAnsi="Arial"/>
          <w:b/>
          <w:bCs/>
          <w:color w:val="1D4ED8"/>
          <w:sz w:val="19"/>
          <w:szCs w:val="19"/>
        </w:rPr>
        <w:t xml:space="preserve">NOTE  </w:t>
      </w:r>
      <w:r>
        <w:rPr>
          <w:rFonts w:ascii="Arial" w:cs="Arial" w:eastAsia="Arial" w:hAnsi="Arial"/>
          <w:color w:val="111827"/>
          <w:sz w:val="19"/>
          <w:szCs w:val="19"/>
        </w:rPr>
        <w:t xml:space="preserve">The human-readable confirmation step (Layer 5) is the most important safety layer. A perfectly valid schema can still represent something the user did not intend. The generated English summary forces the user to verify intent before the rule becomes active.</w:t>
      </w:r>
    </w:p>
    <w:p>
      <w:pPr>
        <w:spacing w:after="0" w:before="80"/>
      </w:pPr>
      <w:r>
        <w:t xml:space="preserve"/>
      </w:r>
    </w:p>
    <w:p>
      <w:pPr>
        <w:pStyle w:val="Heading2"/>
        <w:spacing w:after="120" w:before="300"/>
      </w:pPr>
      <w:r>
        <w:rPr>
          <w:rFonts w:ascii="Arial" w:cs="Arial" w:eastAsia="Arial" w:hAnsi="Arial"/>
          <w:b/>
          <w:bCs/>
          <w:color w:val="6D28D9"/>
          <w:sz w:val="28"/>
          <w:szCs w:val="28"/>
        </w:rPr>
        <w:t xml:space="preserve">5.3  LLM Failure Modes &amp;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60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vAlign w:val="top"/>
          </w:tcPr>
          <w:p>
            <w:pPr>
              <w:spacing w:after="20" w:before="20"/>
              <w:jc w:val="left"/>
            </w:pPr>
            <w:r>
              <w:rPr>
                <w:rFonts w:ascii="Arial" w:cs="Arial" w:eastAsia="Arial" w:hAnsi="Arial"/>
                <w:b/>
                <w:bCs/>
                <w:i w:val="false"/>
                <w:iCs w:val="false"/>
                <w:color w:val="FFFFFF"/>
                <w:sz w:val="19"/>
                <w:szCs w:val="19"/>
              </w:rPr>
              <w:t xml:space="preserve">Failure Mode</w:t>
            </w:r>
          </w:p>
        </w:tc>
        <w:tc>
          <w:tcPr>
            <w:tcW w:type="dxa" w:w="240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vAlign w:val="top"/>
          </w:tcPr>
          <w:p>
            <w:pPr>
              <w:spacing w:after="20" w:before="20"/>
              <w:jc w:val="left"/>
            </w:pPr>
            <w:r>
              <w:rPr>
                <w:rFonts w:ascii="Arial" w:cs="Arial" w:eastAsia="Arial" w:hAnsi="Arial"/>
                <w:b/>
                <w:bCs/>
                <w:i w:val="false"/>
                <w:iCs w:val="false"/>
                <w:color w:val="FFFFFF"/>
                <w:sz w:val="19"/>
                <w:szCs w:val="19"/>
              </w:rPr>
              <w:t xml:space="preserve">Detection</w:t>
            </w:r>
          </w:p>
        </w:tc>
        <w:tc>
          <w:tcPr>
            <w:tcW w:type="dxa" w:w="436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vAlign w:val="top"/>
          </w:tcPr>
          <w:p>
            <w:pPr>
              <w:spacing w:after="20" w:before="20"/>
              <w:jc w:val="left"/>
            </w:pPr>
            <w:r>
              <w:rPr>
                <w:rFonts w:ascii="Arial" w:cs="Arial" w:eastAsia="Arial" w:hAnsi="Arial"/>
                <w:b/>
                <w:bCs/>
                <w:i w:val="false"/>
                <w:iCs w:val="false"/>
                <w:color w:val="FFFFFF"/>
                <w:sz w:val="19"/>
                <w:szCs w:val="19"/>
              </w:rPr>
              <w:t xml:space="preserve">User Experience</w:t>
            </w:r>
          </w:p>
        </w:tc>
      </w:tr>
      <w:tr>
        <w:tc>
          <w:tcPr>
            <w:tcW w:type="dxa" w:w="26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Schema validation failure (missing field)</w:t>
            </w:r>
          </w:p>
        </w:tc>
        <w:tc>
          <w:tcPr>
            <w:tcW w:type="dxa" w:w="24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Zod error on tool_use response</w:t>
            </w:r>
          </w:p>
        </w:tc>
        <w:tc>
          <w:tcPr>
            <w:tcW w:type="dxa" w:w="436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Return 422 with 'Could not understand rule: [field] is missing. Try rephrasing.'</w:t>
            </w:r>
          </w:p>
        </w:tc>
      </w:tr>
      <w:tr>
        <w:tc>
          <w:tcPr>
            <w:tcW w:type="dxa" w:w="26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Ambiguous rule (multiple valid interpretations)</w:t>
            </w:r>
          </w:p>
        </w:tc>
        <w:tc>
          <w:tcPr>
            <w:tcW w:type="dxa" w:w="24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LLM returns low-confidence flag or multiple options</w:t>
            </w:r>
          </w:p>
        </w:tc>
        <w:tc>
          <w:tcPr>
            <w:tcW w:type="dxa" w:w="436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Show user two interpretations: 'Did you mean A or B?' User selects.</w:t>
            </w:r>
          </w:p>
        </w:tc>
      </w:tr>
      <w:tr>
        <w:tc>
          <w:tcPr>
            <w:tcW w:type="dxa" w:w="26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Unsupported asset mentioned</w:t>
            </w:r>
          </w:p>
        </w:tc>
        <w:tc>
          <w:tcPr>
            <w:tcW w:type="dxa" w:w="24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Enum validation fails for asset field</w:t>
            </w:r>
          </w:p>
        </w:tc>
        <w:tc>
          <w:tcPr>
            <w:tcW w:type="dxa" w:w="436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Return specific error: 'PEPE is not currently supported. Supported assets: SOL, USDC, USDT, JUP, BONK.'</w:t>
            </w:r>
          </w:p>
        </w:tc>
      </w:tr>
      <w:tr>
        <w:tc>
          <w:tcPr>
            <w:tcW w:type="dxa" w:w="26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Claude API timeout (&gt;10s)</w:t>
            </w:r>
          </w:p>
        </w:tc>
        <w:tc>
          <w:tcPr>
            <w:tcW w:type="dxa" w:w="24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Request timeout handler</w:t>
            </w:r>
          </w:p>
        </w:tc>
        <w:tc>
          <w:tcPr>
            <w:tcW w:type="dxa" w:w="436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Return 504. User retried. No partial state written.</w:t>
            </w:r>
          </w:p>
        </w:tc>
      </w:tr>
      <w:tr>
        <w:tc>
          <w:tcPr>
            <w:tcW w:type="dxa" w:w="26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Claude API unavailable</w:t>
            </w:r>
          </w:p>
        </w:tc>
        <w:tc>
          <w:tcPr>
            <w:tcW w:type="dxa" w:w="24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HTTP error from Anthropic</w:t>
            </w:r>
          </w:p>
        </w:tc>
        <w:tc>
          <w:tcPr>
            <w:tcW w:type="dxa" w:w="436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Queue rule for retry with exponential backoff. Alert user. Rule not activated until parsing succeeds.</w:t>
            </w:r>
          </w:p>
        </w:tc>
      </w:tr>
    </w:tbl>
    <w:p>
      <w:pPr>
        <w:spacing w:after="0" w:before="80"/>
      </w:pPr>
      <w:r>
        <w:t xml:space="preserve"/>
      </w:r>
    </w:p>
    <w:p>
      <w:pPr>
        <w:pStyle w:val="Heading2"/>
        <w:spacing w:after="120" w:before="300"/>
      </w:pPr>
      <w:r>
        <w:rPr>
          <w:rFonts w:ascii="Arial" w:cs="Arial" w:eastAsia="Arial" w:hAnsi="Arial"/>
          <w:b/>
          <w:bCs/>
          <w:color w:val="6D28D9"/>
          <w:sz w:val="28"/>
          <w:szCs w:val="28"/>
        </w:rPr>
        <w:t xml:space="preserve">5.4  Rule Replay Simulation</w:t>
      </w:r>
    </w:p>
    <w:p>
      <w:pPr>
        <w:spacing w:after="80" w:before="80"/>
      </w:pPr>
      <w:r>
        <w:rPr>
          <w:rFonts w:ascii="Arial" w:cs="Arial" w:eastAsia="Arial" w:hAnsi="Arial"/>
          <w:b w:val="false"/>
          <w:bCs w:val="false"/>
          <w:color w:val="374151"/>
          <w:sz w:val="19"/>
          <w:szCs w:val="19"/>
        </w:rPr>
        <w:t xml:space="preserve">Before activating any rule, users can run a 7-day backtest: 'What would this rule have done over the last 7 days?'</w:t>
      </w:r>
    </w:p>
    <w:p>
      <w:pPr>
        <w:pStyle w:val="ListParagraph"/>
        <w:numPr>
          <w:ilvl w:val="0"/>
          <w:numId w:val="3"/>
        </w:numPr>
        <w:spacing w:after="50" w:before="50"/>
      </w:pPr>
      <w:r>
        <w:rPr>
          <w:rFonts w:ascii="Arial" w:cs="Arial" w:eastAsia="Arial" w:hAnsi="Arial"/>
          <w:color w:val="374151"/>
          <w:sz w:val="19"/>
          <w:szCs w:val="19"/>
        </w:rPr>
        <w:t xml:space="preserve">Backend queries historical price data (Jupiter historical API + Pyth price history) for the trigger asset</w:t>
      </w:r>
    </w:p>
    <w:p>
      <w:pPr>
        <w:pStyle w:val="ListParagraph"/>
        <w:numPr>
          <w:ilvl w:val="0"/>
          <w:numId w:val="3"/>
        </w:numPr>
        <w:spacing w:after="50" w:before="50"/>
      </w:pPr>
      <w:r>
        <w:rPr>
          <w:rFonts w:ascii="Arial" w:cs="Arial" w:eastAsia="Arial" w:hAnsi="Arial"/>
          <w:color w:val="374151"/>
          <w:sz w:val="19"/>
          <w:szCs w:val="19"/>
        </w:rPr>
        <w:t xml:space="preserve">Simulates rule evaluation against historical data at 15-minute granularity</w:t>
      </w:r>
    </w:p>
    <w:p>
      <w:pPr>
        <w:pStyle w:val="ListParagraph"/>
        <w:numPr>
          <w:ilvl w:val="0"/>
          <w:numId w:val="3"/>
        </w:numPr>
        <w:spacing w:after="50" w:before="50"/>
      </w:pPr>
      <w:r>
        <w:rPr>
          <w:rFonts w:ascii="Arial" w:cs="Arial" w:eastAsia="Arial" w:hAnsi="Arial"/>
          <w:color w:val="374151"/>
          <w:sz w:val="19"/>
          <w:szCs w:val="19"/>
        </w:rPr>
        <w:t xml:space="preserve">Returns: number of times rule would have fired, average price at execution, estimated P&amp;L of swap actions</w:t>
      </w:r>
    </w:p>
    <w:p>
      <w:pPr>
        <w:pStyle w:val="ListParagraph"/>
        <w:numPr>
          <w:ilvl w:val="0"/>
          <w:numId w:val="3"/>
        </w:numPr>
        <w:spacing w:after="50" w:before="50"/>
      </w:pPr>
      <w:r>
        <w:rPr>
          <w:rFonts w:ascii="Arial" w:cs="Arial" w:eastAsia="Arial" w:hAnsi="Arial"/>
          <w:color w:val="374151"/>
          <w:sz w:val="19"/>
          <w:szCs w:val="19"/>
        </w:rPr>
        <w:t xml:space="preserve">Displayed as a timeline chart in the UI with each simulated execution marked</w:t>
      </w:r>
    </w:p>
    <w:p>
      <w:pPr>
        <w:spacing w:after="0" w:before="60"/>
      </w:pPr>
      <w:r>
        <w:t xml:space="preserve"/>
      </w:r>
    </w:p>
    <w:p>
      <w:pPr>
        <w:pBdr>
          <w:left w:val="single" w:color="0F766E" w:sz="20" w:space="8"/>
        </w:pBdr>
        <w:shd w:fill="CCFBF1" w:val="clear"/>
        <w:spacing w:after="140" w:before="140"/>
        <w:ind w:left="240"/>
      </w:pPr>
      <w:r>
        <w:rPr>
          <w:rFonts w:ascii="Arial" w:cs="Arial" w:eastAsia="Arial" w:hAnsi="Arial"/>
          <w:b/>
          <w:bCs/>
          <w:color w:val="0F766E"/>
          <w:sz w:val="19"/>
          <w:szCs w:val="19"/>
        </w:rPr>
        <w:t xml:space="preserve">INSIGHT  </w:t>
      </w:r>
      <w:r>
        <w:rPr>
          <w:rFonts w:ascii="Arial" w:cs="Arial" w:eastAsia="Arial" w:hAnsi="Arial"/>
          <w:color w:val="111827"/>
          <w:sz w:val="19"/>
          <w:szCs w:val="19"/>
        </w:rPr>
        <w:t xml:space="preserve">Rule Replay does three things: (1) helps users verify their rule means what they think it means, (2) builds confidence in the agent before giving it real funds, (3) demonstrates the product's depth in the demo without requiring a live market event.</w:t>
      </w:r>
    </w:p>
    <w:p>
      <w:pPr>
        <w:spacing w:after="0" w:before="120"/>
      </w:pPr>
      <w:r>
        <w:t xml:space="preserve"/>
      </w:r>
    </w:p>
    <w:p>
      <w:r>
        <w:br w:type="page"/>
      </w:r>
    </w:p>
    <w:p>
      <w:pPr>
        <w:pStyle w:val="Heading1"/>
        <w:pBdr>
          <w:bottom w:val="single" w:color="6D28D9" w:sz="6" w:space="6"/>
        </w:pBdr>
        <w:spacing w:after="180" w:before="480"/>
      </w:pPr>
      <w:r>
        <w:rPr>
          <w:rFonts w:ascii="Arial" w:cs="Arial" w:eastAsia="Arial" w:hAnsi="Arial"/>
          <w:b/>
          <w:bCs/>
          <w:color w:val="4C1D95"/>
          <w:sz w:val="40"/>
          <w:szCs w:val="40"/>
        </w:rPr>
        <w:t xml:space="preserve">6. Event-Driven Monitoring Architecture</w:t>
      </w:r>
    </w:p>
    <w:p>
      <w:pPr>
        <w:pStyle w:val="Heading2"/>
        <w:spacing w:after="120" w:before="300"/>
      </w:pPr>
      <w:r>
        <w:rPr>
          <w:rFonts w:ascii="Arial" w:cs="Arial" w:eastAsia="Arial" w:hAnsi="Arial"/>
          <w:b/>
          <w:bCs/>
          <w:color w:val="6D28D9"/>
          <w:sz w:val="28"/>
          <w:szCs w:val="28"/>
        </w:rPr>
        <w:t xml:space="preserve">6.1  Why Polling Is Wrong for Production</w:t>
      </w:r>
    </w:p>
    <w:p>
      <w:pPr>
        <w:spacing w:after="80" w:before="80"/>
      </w:pPr>
      <w:r>
        <w:rPr>
          <w:rFonts w:ascii="Arial" w:cs="Arial" w:eastAsia="Arial" w:hAnsi="Arial"/>
          <w:b w:val="false"/>
          <w:bCs w:val="false"/>
          <w:color w:val="374151"/>
          <w:sz w:val="19"/>
          <w:szCs w:val="19"/>
        </w:rPr>
        <w:t xml:space="preserve">The previous architecture used a 30-second (later 15-second) polling loop. This is architecturally incorrect for a production financial system for three reasons:</w:t>
      </w:r>
    </w:p>
    <w:p>
      <w:pPr>
        <w:pStyle w:val="ListParagraph"/>
        <w:numPr>
          <w:ilvl w:val="0"/>
          <w:numId w:val="3"/>
        </w:numPr>
        <w:spacing w:after="50" w:before="50"/>
      </w:pPr>
      <w:r>
        <w:rPr>
          <w:rFonts w:ascii="Arial" w:cs="Arial" w:eastAsia="Arial" w:hAnsi="Arial"/>
          <w:color w:val="374151"/>
          <w:sz w:val="19"/>
          <w:szCs w:val="19"/>
        </w:rPr>
        <w:t xml:space="preserve">Latency: a price spike or balance change can occur and recover within 15 seconds. Polling misses it.</w:t>
      </w:r>
    </w:p>
    <w:p>
      <w:pPr>
        <w:pStyle w:val="ListParagraph"/>
        <w:numPr>
          <w:ilvl w:val="0"/>
          <w:numId w:val="3"/>
        </w:numPr>
        <w:spacing w:after="50" w:before="50"/>
      </w:pPr>
      <w:r>
        <w:rPr>
          <w:rFonts w:ascii="Arial" w:cs="Arial" w:eastAsia="Arial" w:hAnsi="Arial"/>
          <w:color w:val="374151"/>
          <w:sz w:val="19"/>
          <w:szCs w:val="19"/>
        </w:rPr>
        <w:t xml:space="preserve">Efficiency: polling checks all wallets every 15 seconds regardless of activity. At 10,000 users, this is 40,000 RPC calls per minute.</w:t>
      </w:r>
    </w:p>
    <w:p>
      <w:pPr>
        <w:pStyle w:val="ListParagraph"/>
        <w:numPr>
          <w:ilvl w:val="0"/>
          <w:numId w:val="3"/>
        </w:numPr>
        <w:spacing w:after="50" w:before="50"/>
      </w:pPr>
      <w:r>
        <w:rPr>
          <w:rFonts w:ascii="Arial" w:cs="Arial" w:eastAsia="Arial" w:hAnsi="Arial"/>
          <w:color w:val="374151"/>
          <w:sz w:val="19"/>
          <w:szCs w:val="19"/>
        </w:rPr>
        <w:t xml:space="preserve">Reliability: a polling loop that crashes leaves rules silently unmonitored with no alert.</w:t>
      </w:r>
    </w:p>
    <w:p>
      <w:pPr>
        <w:spacing w:after="0" w:before="80"/>
      </w:pPr>
      <w:r>
        <w:t xml:space="preserve"/>
      </w:r>
    </w:p>
    <w:p>
      <w:pPr>
        <w:pStyle w:val="Heading2"/>
        <w:spacing w:after="120" w:before="300"/>
      </w:pPr>
      <w:r>
        <w:rPr>
          <w:rFonts w:ascii="Arial" w:cs="Arial" w:eastAsia="Arial" w:hAnsi="Arial"/>
          <w:b/>
          <w:bCs/>
          <w:color w:val="6D28D9"/>
          <w:sz w:val="28"/>
          <w:szCs w:val="28"/>
        </w:rPr>
        <w:t xml:space="preserve">6.2  Helius Webhook Architecture — Event-Driven</w:t>
      </w:r>
    </w:p>
    <w:p>
      <w:pPr>
        <w:spacing w:after="80" w:before="80"/>
      </w:pPr>
      <w:r>
        <w:rPr>
          <w:rFonts w:ascii="Arial" w:cs="Arial" w:eastAsia="Arial" w:hAnsi="Arial"/>
          <w:b w:val="false"/>
          <w:bCs w:val="false"/>
          <w:color w:val="374151"/>
          <w:sz w:val="19"/>
          <w:szCs w:val="19"/>
        </w:rPr>
        <w:t xml:space="preserve">SolAgent registers each agent wallet with Helius Enhanced Webhooks. When any transaction affects the agent wallet, Helius fires a webhook within ~500ms of on-chain confirmation.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vAlign w:val="top"/>
          </w:tcPr>
          <w:p>
            <w:pPr>
              <w:spacing w:after="20" w:before="20"/>
              <w:jc w:val="left"/>
            </w:pPr>
            <w:r>
              <w:rPr>
                <w:rFonts w:ascii="Arial" w:cs="Arial" w:eastAsia="Arial" w:hAnsi="Arial"/>
                <w:b/>
                <w:bCs/>
                <w:i w:val="false"/>
                <w:iCs w:val="false"/>
                <w:color w:val="FFFFFF"/>
                <w:sz w:val="19"/>
                <w:szCs w:val="19"/>
              </w:rPr>
              <w:t xml:space="preserve">Webhook Type</w:t>
            </w:r>
          </w:p>
        </w:tc>
        <w:tc>
          <w:tcPr>
            <w:tcW w:type="dxa" w:w="360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vAlign w:val="top"/>
          </w:tcPr>
          <w:p>
            <w:pPr>
              <w:spacing w:after="20" w:before="20"/>
              <w:jc w:val="left"/>
            </w:pPr>
            <w:r>
              <w:rPr>
                <w:rFonts w:ascii="Arial" w:cs="Arial" w:eastAsia="Arial" w:hAnsi="Arial"/>
                <w:b/>
                <w:bCs/>
                <w:i w:val="false"/>
                <w:iCs w:val="false"/>
                <w:color w:val="FFFFFF"/>
                <w:sz w:val="19"/>
                <w:szCs w:val="19"/>
              </w:rPr>
              <w:t xml:space="preserve">Trigger</w:t>
            </w:r>
          </w:p>
        </w:tc>
        <w:tc>
          <w:tcPr>
            <w:tcW w:type="dxa" w:w="356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vAlign w:val="top"/>
          </w:tcPr>
          <w:p>
            <w:pPr>
              <w:spacing w:after="20" w:before="20"/>
              <w:jc w:val="left"/>
            </w:pPr>
            <w:r>
              <w:rPr>
                <w:rFonts w:ascii="Arial" w:cs="Arial" w:eastAsia="Arial" w:hAnsi="Arial"/>
                <w:b/>
                <w:bCs/>
                <w:i w:val="false"/>
                <w:iCs w:val="false"/>
                <w:color w:val="FFFFFF"/>
                <w:sz w:val="19"/>
                <w:szCs w:val="19"/>
              </w:rPr>
              <w:t xml:space="preserve">Used For</w:t>
            </w:r>
          </w:p>
        </w:tc>
      </w:tr>
      <w:tr>
        <w:tc>
          <w:tcPr>
            <w:tcW w:type="dxa" w:w="22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ACCOUNT_ACTIVITY</w:t>
            </w:r>
          </w:p>
        </w:tc>
        <w:tc>
          <w:tcPr>
            <w:tcW w:type="dxa" w:w="36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Any transaction involving the agent wallet address</w:t>
            </w:r>
          </w:p>
        </w:tc>
        <w:tc>
          <w:tcPr>
            <w:tcW w:type="dxa" w:w="356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Balance change detection — triggers balance_below / balance_above rules</w:t>
            </w:r>
          </w:p>
        </w:tc>
      </w:tr>
      <w:tr>
        <w:tc>
          <w:tcPr>
            <w:tcW w:type="dxa" w:w="22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TOKEN_TRANSFER</w:t>
            </w:r>
          </w:p>
        </w:tc>
        <w:tc>
          <w:tcPr>
            <w:tcW w:type="dxa" w:w="36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Any SPL token transfer to/from agent wallet</w:t>
            </w:r>
          </w:p>
        </w:tc>
        <w:tc>
          <w:tcPr>
            <w:tcW w:type="dxa" w:w="356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Token balance monitoring</w:t>
            </w:r>
          </w:p>
        </w:tc>
      </w:tr>
      <w:tr>
        <w:tc>
          <w:tcPr>
            <w:tcW w:type="dxa" w:w="22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PROGRAM_INTERACTION</w:t>
            </w:r>
          </w:p>
        </w:tc>
        <w:tc>
          <w:tcPr>
            <w:tcW w:type="dxa" w:w="36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Agent wallet interacts with specific programs (Jupiter, Kamino)</w:t>
            </w:r>
          </w:p>
        </w:tc>
        <w:tc>
          <w:tcPr>
            <w:tcW w:type="dxa" w:w="356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Protocol-specific rule triggers (Phase 2)</w:t>
            </w:r>
          </w:p>
        </w:tc>
      </w:tr>
    </w:tbl>
    <w:p>
      <w:pPr>
        <w:spacing w:after="0" w:before="80"/>
      </w:pPr>
      <w:r>
        <w:t xml:space="preserve"/>
      </w:r>
    </w:p>
    <w:p>
      <w:pPr>
        <w:pBdr>
          <w:left w:val="single" w:color="1D4ED8" w:sz="20" w:space="8"/>
        </w:pBdr>
        <w:shd w:fill="DBEAFE" w:val="clear"/>
        <w:spacing w:after="140" w:before="140"/>
        <w:ind w:left="240"/>
      </w:pPr>
      <w:r>
        <w:rPr>
          <w:rFonts w:ascii="Arial" w:cs="Arial" w:eastAsia="Arial" w:hAnsi="Arial"/>
          <w:b/>
          <w:bCs/>
          <w:color w:val="1D4ED8"/>
          <w:sz w:val="19"/>
          <w:szCs w:val="19"/>
        </w:rPr>
        <w:t xml:space="preserve">NOTE  </w:t>
      </w:r>
      <w:r>
        <w:rPr>
          <w:rFonts w:ascii="Arial" w:cs="Arial" w:eastAsia="Arial" w:hAnsi="Arial"/>
          <w:color w:val="111827"/>
          <w:sz w:val="19"/>
          <w:szCs w:val="19"/>
        </w:rPr>
        <w:t xml:space="preserve">Helius webhooks deliver the full parsed transaction, including all account balance changes, in the webhook payload. SolAgent does not need to make additional RPC calls to determine what changed — the event contains all needed information.</w:t>
      </w:r>
    </w:p>
    <w:p>
      <w:pPr>
        <w:spacing w:after="0" w:before="80"/>
      </w:pPr>
      <w:r>
        <w:t xml:space="preserve"/>
      </w:r>
    </w:p>
    <w:p>
      <w:pPr>
        <w:pStyle w:val="Heading2"/>
        <w:spacing w:after="120" w:before="300"/>
      </w:pPr>
      <w:r>
        <w:rPr>
          <w:rFonts w:ascii="Arial" w:cs="Arial" w:eastAsia="Arial" w:hAnsi="Arial"/>
          <w:b/>
          <w:bCs/>
          <w:color w:val="6D28D9"/>
          <w:sz w:val="28"/>
          <w:szCs w:val="28"/>
        </w:rPr>
        <w:t xml:space="preserve">6.3  Hybrid Architecture — Webhooks + Safety Polling</w:t>
      </w:r>
    </w:p>
    <w:p>
      <w:pPr>
        <w:spacing w:after="80" w:before="80"/>
      </w:pPr>
      <w:r>
        <w:rPr>
          <w:rFonts w:ascii="Arial" w:cs="Arial" w:eastAsia="Arial" w:hAnsi="Arial"/>
          <w:b w:val="false"/>
          <w:bCs w:val="false"/>
          <w:color w:val="374151"/>
          <w:sz w:val="19"/>
          <w:szCs w:val="19"/>
        </w:rPr>
        <w:t xml:space="preserve">Webhooks are the primary monitoring path. A lightweight safety polling loop runs independently as a reconciliation mechanism:</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vAlign w:val="top"/>
          </w:tcPr>
          <w:p>
            <w:pPr>
              <w:spacing w:after="20" w:before="20"/>
              <w:jc w:val="left"/>
            </w:pPr>
            <w:r>
              <w:rPr>
                <w:rFonts w:ascii="Arial" w:cs="Arial" w:eastAsia="Arial" w:hAnsi="Arial"/>
                <w:b/>
                <w:bCs/>
                <w:i w:val="false"/>
                <w:iCs w:val="false"/>
                <w:color w:val="FFFFFF"/>
                <w:sz w:val="19"/>
                <w:szCs w:val="19"/>
              </w:rPr>
              <w:t xml:space="preserve">Component</w:t>
            </w:r>
          </w:p>
        </w:tc>
        <w:tc>
          <w:tcPr>
            <w:tcW w:type="dxa" w:w="180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vAlign w:val="top"/>
          </w:tcPr>
          <w:p>
            <w:pPr>
              <w:spacing w:after="20" w:before="20"/>
              <w:jc w:val="left"/>
            </w:pPr>
            <w:r>
              <w:rPr>
                <w:rFonts w:ascii="Arial" w:cs="Arial" w:eastAsia="Arial" w:hAnsi="Arial"/>
                <w:b/>
                <w:bCs/>
                <w:i w:val="false"/>
                <w:iCs w:val="false"/>
                <w:color w:val="FFFFFF"/>
                <w:sz w:val="19"/>
                <w:szCs w:val="19"/>
              </w:rPr>
              <w:t xml:space="preserve">Frequency</w:t>
            </w:r>
          </w:p>
        </w:tc>
        <w:tc>
          <w:tcPr>
            <w:tcW w:type="dxa" w:w="516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vAlign w:val="top"/>
          </w:tcPr>
          <w:p>
            <w:pPr>
              <w:spacing w:after="20" w:before="20"/>
              <w:jc w:val="left"/>
            </w:pPr>
            <w:r>
              <w:rPr>
                <w:rFonts w:ascii="Arial" w:cs="Arial" w:eastAsia="Arial" w:hAnsi="Arial"/>
                <w:b/>
                <w:bCs/>
                <w:i w:val="false"/>
                <w:iCs w:val="false"/>
                <w:color w:val="FFFFFF"/>
                <w:sz w:val="19"/>
                <w:szCs w:val="19"/>
              </w:rPr>
              <w:t xml:space="preserve">Purpose</w:t>
            </w:r>
          </w:p>
        </w:tc>
      </w:tr>
      <w:tr>
        <w:tc>
          <w:tcPr>
            <w:tcW w:type="dxa" w:w="24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Helius webhooks</w:t>
            </w:r>
          </w:p>
        </w:tc>
        <w:tc>
          <w:tcPr>
            <w:tcW w:type="dxa" w:w="18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Real-time (~500ms)</w:t>
            </w:r>
          </w:p>
        </w:tc>
        <w:tc>
          <w:tcPr>
            <w:tcW w:type="dxa" w:w="516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Primary: all balance and transaction events</w:t>
            </w:r>
          </w:p>
        </w:tc>
      </w:tr>
      <w:tr>
        <w:tc>
          <w:tcPr>
            <w:tcW w:type="dxa" w:w="24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Safety polling loop</w:t>
            </w:r>
          </w:p>
        </w:tc>
        <w:tc>
          <w:tcPr>
            <w:tcW w:type="dxa" w:w="18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Every 5 minutes</w:t>
            </w:r>
          </w:p>
        </w:tc>
        <w:tc>
          <w:tcPr>
            <w:tcW w:type="dxa" w:w="516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Reconciliation only: detect rules that should have fired but didn't due to missed webhooks</w:t>
            </w:r>
          </w:p>
        </w:tc>
      </w:tr>
      <w:tr>
        <w:tc>
          <w:tcPr>
            <w:tcW w:type="dxa" w:w="24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Price polling (Pyth)</w:t>
            </w:r>
          </w:p>
        </w:tc>
        <w:tc>
          <w:tcPr>
            <w:tcW w:type="dxa" w:w="18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Every 30 seconds</w:t>
            </w:r>
          </w:p>
        </w:tc>
        <w:tc>
          <w:tcPr>
            <w:tcW w:type="dxa" w:w="516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Time-based price rules that require continuous price monitoring (not triggered by a wallet event)</w:t>
            </w:r>
          </w:p>
        </w:tc>
      </w:tr>
      <w:tr>
        <w:tc>
          <w:tcPr>
            <w:tcW w:type="dxa" w:w="24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Webhook health check</w:t>
            </w:r>
          </w:p>
        </w:tc>
        <w:tc>
          <w:tcPr>
            <w:tcW w:type="dxa" w:w="18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Every 60 seconds</w:t>
            </w:r>
          </w:p>
        </w:tc>
        <w:tc>
          <w:tcPr>
            <w:tcW w:type="dxa" w:w="516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Verify Helius webhook subscriptions are still active; re-register if dropped</w:t>
            </w:r>
          </w:p>
        </w:tc>
      </w:tr>
    </w:tbl>
    <w:p>
      <w:pPr>
        <w:spacing w:after="0" w:before="80"/>
      </w:pPr>
      <w:r>
        <w:t xml:space="preserve"/>
      </w:r>
    </w:p>
    <w:p>
      <w:pPr>
        <w:pBdr>
          <w:left w:val="single" w:color="059669" w:sz="20" w:space="8"/>
        </w:pBdr>
        <w:shd w:fill="D1FAE5" w:val="clear"/>
        <w:spacing w:after="140" w:before="140"/>
        <w:ind w:left="240"/>
      </w:pPr>
      <w:r>
        <w:rPr>
          <w:rFonts w:ascii="Arial" w:cs="Arial" w:eastAsia="Arial" w:hAnsi="Arial"/>
          <w:b/>
          <w:bCs/>
          <w:color w:val="059669"/>
          <w:sz w:val="19"/>
          <w:szCs w:val="19"/>
        </w:rPr>
        <w:t xml:space="preserve">DECISION  </w:t>
      </w:r>
      <w:r>
        <w:rPr>
          <w:rFonts w:ascii="Arial" w:cs="Arial" w:eastAsia="Arial" w:hAnsi="Arial"/>
          <w:color w:val="111827"/>
          <w:sz w:val="19"/>
          <w:szCs w:val="19"/>
        </w:rPr>
        <w:t xml:space="preserve">This hybrid architecture gives the latency of event-driven systems with the reliability of polling-based fallback. The safety polling loop is cheap (5-minute interval) and exists only to catch missed events — it does not drive primary execution.</w:t>
      </w:r>
    </w:p>
    <w:p>
      <w:pPr>
        <w:spacing w:after="0" w:before="80"/>
      </w:pPr>
      <w:r>
        <w:t xml:space="preserve"/>
      </w:r>
    </w:p>
    <w:p>
      <w:pPr>
        <w:pStyle w:val="Heading2"/>
        <w:spacing w:after="120" w:before="300"/>
      </w:pPr>
      <w:r>
        <w:rPr>
          <w:rFonts w:ascii="Arial" w:cs="Arial" w:eastAsia="Arial" w:hAnsi="Arial"/>
          <w:b/>
          <w:bCs/>
          <w:color w:val="6D28D9"/>
          <w:sz w:val="28"/>
          <w:szCs w:val="28"/>
        </w:rPr>
        <w:t xml:space="preserve">6.4  Condition Evaluation — Stateless Workers</w:t>
      </w:r>
    </w:p>
    <w:p>
      <w:pPr>
        <w:spacing w:after="80" w:before="80"/>
      </w:pPr>
      <w:r>
        <w:rPr>
          <w:rFonts w:ascii="Arial" w:cs="Arial" w:eastAsia="Arial" w:hAnsi="Arial"/>
          <w:b w:val="false"/>
          <w:bCs w:val="false"/>
          <w:color w:val="374151"/>
          <w:sz w:val="19"/>
          <w:szCs w:val="19"/>
        </w:rPr>
        <w:t xml:space="preserve">Condition Evaluators are stateless Node.js worker processes. Design constraints:</w:t>
      </w:r>
    </w:p>
    <w:p>
      <w:pPr>
        <w:pStyle w:val="ListParagraph"/>
        <w:numPr>
          <w:ilvl w:val="0"/>
          <w:numId w:val="3"/>
        </w:numPr>
        <w:spacing w:after="50" w:before="50"/>
      </w:pPr>
      <w:r>
        <w:rPr>
          <w:rFonts w:ascii="Arial" w:cs="Arial" w:eastAsia="Arial" w:hAnsi="Arial"/>
          <w:color w:val="374151"/>
          <w:sz w:val="19"/>
          <w:szCs w:val="19"/>
        </w:rPr>
        <w:t xml:space="preserve">Each evaluator receives a single event payload from Redis pub/sub</w:t>
      </w:r>
    </w:p>
    <w:p>
      <w:pPr>
        <w:pStyle w:val="ListParagraph"/>
        <w:numPr>
          <w:ilvl w:val="0"/>
          <w:numId w:val="3"/>
        </w:numPr>
        <w:spacing w:after="50" w:before="50"/>
      </w:pPr>
      <w:r>
        <w:rPr>
          <w:rFonts w:ascii="Arial" w:cs="Arial" w:eastAsia="Arial" w:hAnsi="Arial"/>
          <w:color w:val="374151"/>
          <w:sz w:val="19"/>
          <w:szCs w:val="19"/>
        </w:rPr>
        <w:t xml:space="preserve">Each evaluator independently queries the rule database for active rules on that wallet</w:t>
      </w:r>
    </w:p>
    <w:p>
      <w:pPr>
        <w:pStyle w:val="ListParagraph"/>
        <w:numPr>
          <w:ilvl w:val="0"/>
          <w:numId w:val="3"/>
        </w:numPr>
        <w:spacing w:after="50" w:before="50"/>
      </w:pPr>
      <w:r>
        <w:rPr>
          <w:rFonts w:ascii="Arial" w:cs="Arial" w:eastAsia="Arial" w:hAnsi="Arial"/>
          <w:color w:val="374151"/>
          <w:sz w:val="19"/>
          <w:szCs w:val="19"/>
        </w:rPr>
        <w:t xml:space="preserve">Evaluation is pure function: (rule, event) =&gt; boolean. No side effects.</w:t>
      </w:r>
    </w:p>
    <w:p>
      <w:pPr>
        <w:pStyle w:val="ListParagraph"/>
        <w:numPr>
          <w:ilvl w:val="0"/>
          <w:numId w:val="3"/>
        </w:numPr>
        <w:spacing w:after="50" w:before="50"/>
      </w:pPr>
      <w:r>
        <w:rPr>
          <w:rFonts w:ascii="Arial" w:cs="Arial" w:eastAsia="Arial" w:hAnsi="Arial"/>
          <w:color w:val="374151"/>
          <w:sz w:val="19"/>
          <w:szCs w:val="19"/>
        </w:rPr>
        <w:t xml:space="preserve">If evaluation returns true: push EXECUTION_JOB to BullMQ. That is the only side effect.</w:t>
      </w:r>
    </w:p>
    <w:p>
      <w:pPr>
        <w:pStyle w:val="ListParagraph"/>
        <w:numPr>
          <w:ilvl w:val="0"/>
          <w:numId w:val="3"/>
        </w:numPr>
        <w:spacing w:after="50" w:before="50"/>
      </w:pPr>
      <w:r>
        <w:rPr>
          <w:rFonts w:ascii="Arial" w:cs="Arial" w:eastAsia="Arial" w:hAnsi="Arial"/>
          <w:color w:val="374151"/>
          <w:sz w:val="19"/>
          <w:szCs w:val="19"/>
        </w:rPr>
        <w:t xml:space="preserve">Multiple evaluators can process the same event (fan-out). BullMQ deduplication prevents duplicate execution jobs.</w:t>
      </w:r>
    </w:p>
    <w:p>
      <w:pPr>
        <w:spacing w:after="0" w:before="80"/>
      </w:pPr>
      <w:r>
        <w:t xml:space="preserve"/>
      </w:r>
    </w:p>
    <w:p>
      <w:pPr>
        <w:pBdr>
          <w:left w:val="single" w:color="D97706" w:sz="20" w:space="8"/>
        </w:pBdr>
        <w:shd w:fill="FEF3C7" w:val="clear"/>
        <w:spacing w:after="140" w:before="140"/>
        <w:ind w:left="240"/>
      </w:pPr>
      <w:r>
        <w:rPr>
          <w:rFonts w:ascii="Arial" w:cs="Arial" w:eastAsia="Arial" w:hAnsi="Arial"/>
          <w:b/>
          <w:bCs/>
          <w:color w:val="D97706"/>
          <w:sz w:val="19"/>
          <w:szCs w:val="19"/>
        </w:rPr>
        <w:t xml:space="preserve">CAUTION  </w:t>
      </w:r>
      <w:r>
        <w:rPr>
          <w:rFonts w:ascii="Arial" w:cs="Arial" w:eastAsia="Arial" w:hAnsi="Arial"/>
          <w:color w:val="111827"/>
          <w:sz w:val="19"/>
          <w:szCs w:val="19"/>
        </w:rPr>
        <w:t xml:space="preserve">Evaluators must be stateless. If an evaluator maintains state (e.g., caches rule data), it can diverge from the database on rule updates. Always query fresh rule data per evaluation.</w:t>
      </w:r>
    </w:p>
    <w:p>
      <w:pPr>
        <w:spacing w:after="0" w:before="120"/>
      </w:pPr>
      <w:r>
        <w:t xml:space="preserve"/>
      </w:r>
    </w:p>
    <w:p>
      <w:r>
        <w:br w:type="page"/>
      </w:r>
    </w:p>
    <w:p>
      <w:pPr>
        <w:pStyle w:val="Heading1"/>
        <w:pBdr>
          <w:bottom w:val="single" w:color="6D28D9" w:sz="6" w:space="6"/>
        </w:pBdr>
        <w:spacing w:after="180" w:before="480"/>
      </w:pPr>
      <w:r>
        <w:rPr>
          <w:rFonts w:ascii="Arial" w:cs="Arial" w:eastAsia="Arial" w:hAnsi="Arial"/>
          <w:b/>
          <w:bCs/>
          <w:color w:val="4C1D95"/>
          <w:sz w:val="40"/>
          <w:szCs w:val="40"/>
        </w:rPr>
        <w:t xml:space="preserve">7. Execution Engine Architecture</w:t>
      </w:r>
    </w:p>
    <w:p>
      <w:pPr>
        <w:pStyle w:val="Heading2"/>
        <w:spacing w:after="120" w:before="300"/>
      </w:pPr>
      <w:r>
        <w:rPr>
          <w:rFonts w:ascii="Arial" w:cs="Arial" w:eastAsia="Arial" w:hAnsi="Arial"/>
          <w:b/>
          <w:bCs/>
          <w:color w:val="6D28D9"/>
          <w:sz w:val="28"/>
          <w:szCs w:val="28"/>
        </w:rPr>
        <w:t xml:space="preserve">7.1  Idempotency — The Most Critical Property</w:t>
      </w:r>
    </w:p>
    <w:p>
      <w:pPr>
        <w:spacing w:after="80" w:before="80"/>
      </w:pPr>
      <w:r>
        <w:rPr>
          <w:rFonts w:ascii="Arial" w:cs="Arial" w:eastAsia="Arial" w:hAnsi="Arial"/>
          <w:b w:val="false"/>
          <w:bCs w:val="false"/>
          <w:color w:val="374151"/>
          <w:sz w:val="19"/>
          <w:szCs w:val="19"/>
        </w:rPr>
        <w:t xml:space="preserve">The Execution Engine's most important guarantee: executing the same rule trigger twice produces exactly one on-chain transaction.</w:t>
      </w:r>
    </w:p>
    <w:p>
      <w:pPr>
        <w:spacing w:after="0" w:before="60"/>
      </w:pPr>
      <w:r>
        <w:t xml:space="preserve"/>
      </w:r>
    </w:p>
    <w:p>
      <w:pPr>
        <w:spacing w:after="80" w:before="80"/>
      </w:pPr>
      <w:r>
        <w:rPr>
          <w:rFonts w:ascii="Arial" w:cs="Arial" w:eastAsia="Arial" w:hAnsi="Arial"/>
          <w:b w:val="false"/>
          <w:bCs w:val="false"/>
          <w:color w:val="374151"/>
          <w:sz w:val="19"/>
          <w:szCs w:val="19"/>
        </w:rPr>
        <w:t xml:space="preserve">Idempotency key = SHA-256(rule_id + trigger_event_signature + trigger_slot)</w:t>
      </w:r>
    </w:p>
    <w:p>
      <w:pPr>
        <w:spacing w:after="0" w:before="60"/>
      </w:pPr>
      <w:r>
        <w:t xml:space="preserve"/>
      </w:r>
    </w:p>
    <w:p>
      <w:pPr>
        <w:spacing w:after="80" w:before="80"/>
      </w:pPr>
      <w:r>
        <w:rPr>
          <w:rFonts w:ascii="Arial" w:cs="Arial" w:eastAsia="Arial" w:hAnsi="Arial"/>
          <w:b w:val="false"/>
          <w:bCs w:val="false"/>
          <w:color w:val="374151"/>
          <w:sz w:val="19"/>
          <w:szCs w:val="19"/>
        </w:rPr>
        <w:t xml:space="preserve">Before processing any execution job:</w:t>
      </w:r>
    </w:p>
    <w:p>
      <w:pPr>
        <w:pStyle w:val="ListParagraph"/>
        <w:numPr>
          <w:ilvl w:val="0"/>
          <w:numId w:val="2"/>
        </w:numPr>
        <w:spacing w:after="50" w:before="50"/>
      </w:pPr>
      <w:r>
        <w:rPr>
          <w:rFonts w:ascii="Arial" w:cs="Arial" w:eastAsia="Arial" w:hAnsi="Arial"/>
          <w:color w:val="374151"/>
          <w:sz w:val="19"/>
          <w:szCs w:val="19"/>
        </w:rPr>
        <w:t xml:space="preserve">Query execution_log table: SELECT 1 WHERE idempotency_key = $1</w:t>
      </w:r>
    </w:p>
    <w:p>
      <w:pPr>
        <w:pStyle w:val="ListParagraph"/>
        <w:numPr>
          <w:ilvl w:val="0"/>
          <w:numId w:val="2"/>
        </w:numPr>
        <w:spacing w:after="50" w:before="50"/>
      </w:pPr>
      <w:r>
        <w:rPr>
          <w:rFonts w:ascii="Arial" w:cs="Arial" w:eastAsia="Arial" w:hAnsi="Arial"/>
          <w:color w:val="374151"/>
          <w:sz w:val="19"/>
          <w:szCs w:val="19"/>
        </w:rPr>
        <w:t xml:space="preserve">If row exists: discard job, log as DUPLICATE_DISCARDED, return success (do not retry).</w:t>
      </w:r>
    </w:p>
    <w:p>
      <w:pPr>
        <w:pStyle w:val="ListParagraph"/>
        <w:numPr>
          <w:ilvl w:val="0"/>
          <w:numId w:val="2"/>
        </w:numPr>
        <w:spacing w:after="50" w:before="50"/>
      </w:pPr>
      <w:r>
        <w:rPr>
          <w:rFonts w:ascii="Arial" w:cs="Arial" w:eastAsia="Arial" w:hAnsi="Arial"/>
          <w:color w:val="374151"/>
          <w:sz w:val="19"/>
          <w:szCs w:val="19"/>
        </w:rPr>
        <w:t xml:space="preserve">If no row: INSERT execution_log row with status PROCESSING before building transaction.</w:t>
      </w:r>
    </w:p>
    <w:p>
      <w:pPr>
        <w:pStyle w:val="ListParagraph"/>
        <w:numPr>
          <w:ilvl w:val="0"/>
          <w:numId w:val="2"/>
        </w:numPr>
        <w:spacing w:after="50" w:before="50"/>
      </w:pPr>
      <w:r>
        <w:rPr>
          <w:rFonts w:ascii="Arial" w:cs="Arial" w:eastAsia="Arial" w:hAnsi="Arial"/>
          <w:color w:val="374151"/>
          <w:sz w:val="19"/>
          <w:szCs w:val="19"/>
        </w:rPr>
        <w:t xml:space="preserve">If INSERT fails (unique constraint violation): another worker already claimed it — discard.</w:t>
      </w:r>
    </w:p>
    <w:p>
      <w:pPr>
        <w:pStyle w:val="ListParagraph"/>
        <w:numPr>
          <w:ilvl w:val="0"/>
          <w:numId w:val="2"/>
        </w:numPr>
        <w:spacing w:after="50" w:before="50"/>
      </w:pPr>
      <w:r>
        <w:rPr>
          <w:rFonts w:ascii="Arial" w:cs="Arial" w:eastAsia="Arial" w:hAnsi="Arial"/>
          <w:color w:val="374151"/>
          <w:sz w:val="19"/>
          <w:szCs w:val="19"/>
        </w:rPr>
        <w:t xml:space="preserve">On transaction success: UPDATE execution_log SET status = CONFIRMED, tx_signature = $sig.</w:t>
      </w:r>
    </w:p>
    <w:p>
      <w:pPr>
        <w:pStyle w:val="ListParagraph"/>
        <w:numPr>
          <w:ilvl w:val="0"/>
          <w:numId w:val="2"/>
        </w:numPr>
        <w:spacing w:after="50" w:before="50"/>
      </w:pPr>
      <w:r>
        <w:rPr>
          <w:rFonts w:ascii="Arial" w:cs="Arial" w:eastAsia="Arial" w:hAnsi="Arial"/>
          <w:color w:val="374151"/>
          <w:sz w:val="19"/>
          <w:szCs w:val="19"/>
        </w:rPr>
        <w:t xml:space="preserve">On transaction failure: UPDATE execution_log SET status = FAILED, error = $err.</w:t>
      </w:r>
    </w:p>
    <w:p>
      <w:pPr>
        <w:spacing w:after="0" w:before="80"/>
      </w:pPr>
      <w:r>
        <w:t xml:space="preserve"/>
      </w:r>
    </w:p>
    <w:p>
      <w:pPr>
        <w:pBdr>
          <w:left w:val="single" w:color="059669" w:sz="20" w:space="8"/>
        </w:pBdr>
        <w:shd w:fill="D1FAE5" w:val="clear"/>
        <w:spacing w:after="140" w:before="140"/>
        <w:ind w:left="240"/>
      </w:pPr>
      <w:r>
        <w:rPr>
          <w:rFonts w:ascii="Arial" w:cs="Arial" w:eastAsia="Arial" w:hAnsi="Arial"/>
          <w:b/>
          <w:bCs/>
          <w:color w:val="059669"/>
          <w:sz w:val="19"/>
          <w:szCs w:val="19"/>
        </w:rPr>
        <w:t xml:space="preserve">DECISION  </w:t>
      </w:r>
      <w:r>
        <w:rPr>
          <w:rFonts w:ascii="Arial" w:cs="Arial" w:eastAsia="Arial" w:hAnsi="Arial"/>
          <w:color w:val="111827"/>
          <w:sz w:val="19"/>
          <w:szCs w:val="19"/>
        </w:rPr>
        <w:t xml:space="preserve">The INSERT before processing is the lock. Even if two workers race to process the same job, only one INSERT succeeds. The other sees a duplicate key error and discards cleanly. This uses PostgreSQL's ACID guarantees — not application-level locking.</w:t>
      </w:r>
    </w:p>
    <w:p>
      <w:pPr>
        <w:spacing w:after="0" w:before="80"/>
      </w:pPr>
      <w:r>
        <w:t xml:space="preserve"/>
      </w:r>
    </w:p>
    <w:p>
      <w:pPr>
        <w:pStyle w:val="Heading2"/>
        <w:spacing w:after="120" w:before="300"/>
      </w:pPr>
      <w:r>
        <w:rPr>
          <w:rFonts w:ascii="Arial" w:cs="Arial" w:eastAsia="Arial" w:hAnsi="Arial"/>
          <w:b/>
          <w:bCs/>
          <w:color w:val="6D28D9"/>
          <w:sz w:val="28"/>
          <w:szCs w:val="28"/>
        </w:rPr>
        <w:t xml:space="preserve">7.2  Price Verification Before Execution</w:t>
      </w:r>
    </w:p>
    <w:p>
      <w:pPr>
        <w:spacing w:after="80" w:before="80"/>
      </w:pPr>
      <w:r>
        <w:rPr>
          <w:rFonts w:ascii="Arial" w:cs="Arial" w:eastAsia="Arial" w:hAnsi="Arial"/>
          <w:b w:val="false"/>
          <w:bCs w:val="false"/>
          <w:color w:val="374151"/>
          <w:sz w:val="19"/>
          <w:szCs w:val="19"/>
        </w:rPr>
        <w:t xml:space="preserve">For any rule that involves a swap action, SolAgent performs a mandatory dual-oracle price check before building the transaction:</w:t>
      </w:r>
    </w:p>
    <w:p>
      <w:pPr>
        <w:pStyle w:val="ListParagraph"/>
        <w:numPr>
          <w:ilvl w:val="0"/>
          <w:numId w:val="2"/>
        </w:numPr>
        <w:spacing w:after="50" w:before="50"/>
      </w:pPr>
      <w:r>
        <w:rPr>
          <w:rFonts w:ascii="Arial" w:cs="Arial" w:eastAsia="Arial" w:hAnsi="Arial"/>
          <w:color w:val="374151"/>
          <w:sz w:val="19"/>
          <w:szCs w:val="19"/>
        </w:rPr>
        <w:t xml:space="preserve">Fetch Jupiter v6 quote for the exact swap (from, to, amount). Record: jupiter_price.</w:t>
      </w:r>
    </w:p>
    <w:p>
      <w:pPr>
        <w:pStyle w:val="ListParagraph"/>
        <w:numPr>
          <w:ilvl w:val="0"/>
          <w:numId w:val="2"/>
        </w:numPr>
        <w:spacing w:after="50" w:before="50"/>
      </w:pPr>
      <w:r>
        <w:rPr>
          <w:rFonts w:ascii="Arial" w:cs="Arial" w:eastAsia="Arial" w:hAnsi="Arial"/>
          <w:color w:val="374151"/>
          <w:sz w:val="19"/>
          <w:szCs w:val="19"/>
        </w:rPr>
        <w:t xml:space="preserve">Fetch Pyth Network on-chain price for the base asset. Record: pyth_price.</w:t>
      </w:r>
    </w:p>
    <w:p>
      <w:pPr>
        <w:pStyle w:val="ListParagraph"/>
        <w:numPr>
          <w:ilvl w:val="0"/>
          <w:numId w:val="2"/>
        </w:numPr>
        <w:spacing w:after="50" w:before="50"/>
      </w:pPr>
      <w:r>
        <w:rPr>
          <w:rFonts w:ascii="Arial" w:cs="Arial" w:eastAsia="Arial" w:hAnsi="Arial"/>
          <w:color w:val="374151"/>
          <w:sz w:val="19"/>
          <w:szCs w:val="19"/>
        </w:rPr>
        <w:t xml:space="preserve">Compute deviation: abs(jupiter_price - pyth_price) / pyth_price.</w:t>
      </w:r>
    </w:p>
    <w:p>
      <w:pPr>
        <w:pStyle w:val="ListParagraph"/>
        <w:numPr>
          <w:ilvl w:val="0"/>
          <w:numId w:val="2"/>
        </w:numPr>
        <w:spacing w:after="50" w:before="50"/>
      </w:pPr>
      <w:r>
        <w:rPr>
          <w:rFonts w:ascii="Arial" w:cs="Arial" w:eastAsia="Arial" w:hAnsi="Arial"/>
          <w:color w:val="374151"/>
          <w:sz w:val="19"/>
          <w:szCs w:val="19"/>
        </w:rPr>
        <w:t xml:space="preserve">If deviation &gt; 1.0%: ABORT. Log PRICE_DEVIATION_ABORT. Alert user. Re-queue job for 60 seconds.</w:t>
      </w:r>
    </w:p>
    <w:p>
      <w:pPr>
        <w:pStyle w:val="ListParagraph"/>
        <w:numPr>
          <w:ilvl w:val="0"/>
          <w:numId w:val="2"/>
        </w:numPr>
        <w:spacing w:after="50" w:before="50"/>
      </w:pPr>
      <w:r>
        <w:rPr>
          <w:rFonts w:ascii="Arial" w:cs="Arial" w:eastAsia="Arial" w:hAnsi="Arial"/>
          <w:color w:val="374151"/>
          <w:sz w:val="19"/>
          <w:szCs w:val="19"/>
        </w:rPr>
        <w:t xml:space="preserve">If deviation &lt;= 1.0%: proceed with execution using Jupiter quote.</w:t>
      </w:r>
    </w:p>
    <w:p>
      <w:pPr>
        <w:pStyle w:val="ListParagraph"/>
        <w:numPr>
          <w:ilvl w:val="0"/>
          <w:numId w:val="2"/>
        </w:numPr>
        <w:spacing w:after="50" w:before="50"/>
      </w:pPr>
      <w:r>
        <w:rPr>
          <w:rFonts w:ascii="Arial" w:cs="Arial" w:eastAsia="Arial" w:hAnsi="Arial"/>
          <w:color w:val="374151"/>
          <w:sz w:val="19"/>
          <w:szCs w:val="19"/>
        </w:rPr>
        <w:t xml:space="preserve">Record both prices in the memo proof (price_src: 'jupiter+pyth', price_used: jupiter_price).</w:t>
      </w:r>
    </w:p>
    <w:p>
      <w:pPr>
        <w:spacing w:after="0" w:before="80"/>
      </w:pPr>
      <w:r>
        <w:t xml:space="preserve"/>
      </w:r>
    </w:p>
    <w:p>
      <w:pPr>
        <w:pBdr>
          <w:left w:val="single" w:color="1D4ED8" w:sz="20" w:space="8"/>
        </w:pBdr>
        <w:shd w:fill="DBEAFE" w:val="clear"/>
        <w:spacing w:after="140" w:before="140"/>
        <w:ind w:left="240"/>
      </w:pPr>
      <w:r>
        <w:rPr>
          <w:rFonts w:ascii="Arial" w:cs="Arial" w:eastAsia="Arial" w:hAnsi="Arial"/>
          <w:b/>
          <w:bCs/>
          <w:color w:val="1D4ED8"/>
          <w:sz w:val="19"/>
          <w:szCs w:val="19"/>
        </w:rPr>
        <w:t xml:space="preserve">NOTE  </w:t>
      </w:r>
      <w:r>
        <w:rPr>
          <w:rFonts w:ascii="Arial" w:cs="Arial" w:eastAsia="Arial" w:hAnsi="Arial"/>
          <w:color w:val="111827"/>
          <w:sz w:val="19"/>
          <w:szCs w:val="19"/>
        </w:rPr>
        <w:t xml:space="preserve">The 1% deviation threshold is configurable per rule. Conservative users can tighten it to 0.5%. The threshold is stored in the rule record and enforced per-execution.</w:t>
      </w:r>
    </w:p>
    <w:p>
      <w:pPr>
        <w:spacing w:after="0" w:before="80"/>
      </w:pPr>
      <w:r>
        <w:t xml:space="preserve"/>
      </w:r>
    </w:p>
    <w:p>
      <w:pPr>
        <w:pStyle w:val="Heading2"/>
        <w:spacing w:after="120" w:before="300"/>
      </w:pPr>
      <w:r>
        <w:rPr>
          <w:rFonts w:ascii="Arial" w:cs="Arial" w:eastAsia="Arial" w:hAnsi="Arial"/>
          <w:b/>
          <w:bCs/>
          <w:color w:val="6D28D9"/>
          <w:sz w:val="28"/>
          <w:szCs w:val="28"/>
        </w:rPr>
        <w:t xml:space="preserve">7.3  Retry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3960"/>
        <w:gridCol w:w="1800"/>
      </w:tblGrid>
      <w:tr>
        <w:tc>
          <w:tcPr>
            <w:tcW w:type="dxa" w:w="280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vAlign w:val="top"/>
          </w:tcPr>
          <w:p>
            <w:pPr>
              <w:spacing w:after="20" w:before="20"/>
              <w:jc w:val="left"/>
            </w:pPr>
            <w:r>
              <w:rPr>
                <w:rFonts w:ascii="Arial" w:cs="Arial" w:eastAsia="Arial" w:hAnsi="Arial"/>
                <w:b/>
                <w:bCs/>
                <w:i w:val="false"/>
                <w:iCs w:val="false"/>
                <w:color w:val="FFFFFF"/>
                <w:sz w:val="19"/>
                <w:szCs w:val="19"/>
              </w:rPr>
              <w:t xml:space="preserve">Failure Type</w:t>
            </w:r>
          </w:p>
        </w:tc>
        <w:tc>
          <w:tcPr>
            <w:tcW w:type="dxa" w:w="80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vAlign w:val="top"/>
          </w:tcPr>
          <w:p>
            <w:pPr>
              <w:spacing w:after="20" w:before="20"/>
              <w:jc w:val="left"/>
            </w:pPr>
            <w:r>
              <w:rPr>
                <w:rFonts w:ascii="Arial" w:cs="Arial" w:eastAsia="Arial" w:hAnsi="Arial"/>
                <w:b/>
                <w:bCs/>
                <w:i w:val="false"/>
                <w:iCs w:val="false"/>
                <w:color w:val="FFFFFF"/>
                <w:sz w:val="19"/>
                <w:szCs w:val="19"/>
              </w:rPr>
              <w:t xml:space="preserve">Retry?</w:t>
            </w:r>
          </w:p>
        </w:tc>
        <w:tc>
          <w:tcPr>
            <w:tcW w:type="dxa" w:w="396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vAlign w:val="top"/>
          </w:tcPr>
          <w:p>
            <w:pPr>
              <w:spacing w:after="20" w:before="20"/>
              <w:jc w:val="left"/>
            </w:pPr>
            <w:r>
              <w:rPr>
                <w:rFonts w:ascii="Arial" w:cs="Arial" w:eastAsia="Arial" w:hAnsi="Arial"/>
                <w:b/>
                <w:bCs/>
                <w:i w:val="false"/>
                <w:iCs w:val="false"/>
                <w:color w:val="FFFFFF"/>
                <w:sz w:val="19"/>
                <w:szCs w:val="19"/>
              </w:rPr>
              <w:t xml:space="preserve">Strategy</w:t>
            </w:r>
          </w:p>
        </w:tc>
        <w:tc>
          <w:tcPr>
            <w:tcW w:type="dxa" w:w="180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vAlign w:val="top"/>
          </w:tcPr>
          <w:p>
            <w:pPr>
              <w:spacing w:after="20" w:before="20"/>
              <w:jc w:val="left"/>
            </w:pPr>
            <w:r>
              <w:rPr>
                <w:rFonts w:ascii="Arial" w:cs="Arial" w:eastAsia="Arial" w:hAnsi="Arial"/>
                <w:b/>
                <w:bCs/>
                <w:i w:val="false"/>
                <w:iCs w:val="false"/>
                <w:color w:val="FFFFFF"/>
                <w:sz w:val="19"/>
                <w:szCs w:val="19"/>
              </w:rPr>
              <w:t xml:space="preserve">Max Attempts</w:t>
            </w:r>
          </w:p>
        </w:tc>
      </w:tr>
      <w:tr>
        <w:tc>
          <w:tcPr>
            <w:tcW w:type="dxa" w:w="28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Transaction not confirmed in 60s (timeout)</w:t>
            </w:r>
          </w:p>
        </w:tc>
        <w:tc>
          <w:tcPr>
            <w:tcW w:type="dxa" w:w="8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No</w:t>
            </w:r>
          </w:p>
        </w:tc>
        <w:tc>
          <w:tcPr>
            <w:tcW w:type="dxa" w:w="396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Mark FAILED. User must manually retry. No automatic retry — prevents double-spend risk.</w:t>
            </w:r>
          </w:p>
        </w:tc>
        <w:tc>
          <w:tcPr>
            <w:tcW w:type="dxa" w:w="18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1</w:t>
            </w:r>
          </w:p>
        </w:tc>
      </w:tr>
      <w:tr>
        <w:tc>
          <w:tcPr>
            <w:tcW w:type="dxa" w:w="28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Transaction simulation failure (invalid state)</w:t>
            </w:r>
          </w:p>
        </w:tc>
        <w:tc>
          <w:tcPr>
            <w:tcW w:type="dxa" w:w="8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No</w:t>
            </w:r>
          </w:p>
        </w:tc>
        <w:tc>
          <w:tcPr>
            <w:tcW w:type="dxa" w:w="396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State has changed since condition evaluated. Mark STALE_CONDITION. Log for analysis.</w:t>
            </w:r>
          </w:p>
        </w:tc>
        <w:tc>
          <w:tcPr>
            <w:tcW w:type="dxa" w:w="18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1</w:t>
            </w:r>
          </w:p>
        </w:tc>
      </w:tr>
      <w:tr>
        <w:tc>
          <w:tcPr>
            <w:tcW w:type="dxa" w:w="28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RPC submission error (5xx)</w:t>
            </w:r>
          </w:p>
        </w:tc>
        <w:tc>
          <w:tcPr>
            <w:tcW w:type="dxa" w:w="8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Yes</w:t>
            </w:r>
          </w:p>
        </w:tc>
        <w:tc>
          <w:tcPr>
            <w:tcW w:type="dxa" w:w="396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Retry with secondary RPC provider immediately, then exponential backoff.</w:t>
            </w:r>
          </w:p>
        </w:tc>
        <w:tc>
          <w:tcPr>
            <w:tcW w:type="dxa" w:w="18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3</w:t>
            </w:r>
          </w:p>
        </w:tc>
      </w:tr>
      <w:tr>
        <w:tc>
          <w:tcPr>
            <w:tcW w:type="dxa" w:w="28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Price deviation abort</w:t>
            </w:r>
          </w:p>
        </w:tc>
        <w:tc>
          <w:tcPr>
            <w:tcW w:type="dxa" w:w="8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Yes</w:t>
            </w:r>
          </w:p>
        </w:tc>
        <w:tc>
          <w:tcPr>
            <w:tcW w:type="dxa" w:w="396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Re-queue after 60 seconds. One automatic retry.</w:t>
            </w:r>
          </w:p>
        </w:tc>
        <w:tc>
          <w:tcPr>
            <w:tcW w:type="dxa" w:w="18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2</w:t>
            </w:r>
          </w:p>
        </w:tc>
      </w:tr>
      <w:tr>
        <w:tc>
          <w:tcPr>
            <w:tcW w:type="dxa" w:w="28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Jupiter quote failure</w:t>
            </w:r>
          </w:p>
        </w:tc>
        <w:tc>
          <w:tcPr>
            <w:tcW w:type="dxa" w:w="8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Yes</w:t>
            </w:r>
          </w:p>
        </w:tc>
        <w:tc>
          <w:tcPr>
            <w:tcW w:type="dxa" w:w="396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Retry after 10 seconds. Jupiter outage suspected.</w:t>
            </w:r>
          </w:p>
        </w:tc>
        <w:tc>
          <w:tcPr>
            <w:tcW w:type="dxa" w:w="18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3</w:t>
            </w:r>
          </w:p>
        </w:tc>
      </w:tr>
      <w:tr>
        <w:tc>
          <w:tcPr>
            <w:tcW w:type="dxa" w:w="28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Insufficient funds</w:t>
            </w:r>
          </w:p>
        </w:tc>
        <w:tc>
          <w:tcPr>
            <w:tcW w:type="dxa" w:w="8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No</w:t>
            </w:r>
          </w:p>
        </w:tc>
        <w:tc>
          <w:tcPr>
            <w:tcW w:type="dxa" w:w="396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Mark INSUFFICIENT_FUNDS. Pause rule. Alert user.</w:t>
            </w:r>
          </w:p>
        </w:tc>
        <w:tc>
          <w:tcPr>
            <w:tcW w:type="dxa" w:w="18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1</w:t>
            </w:r>
          </w:p>
        </w:tc>
      </w:tr>
    </w:tbl>
    <w:p>
      <w:pPr>
        <w:spacing w:after="0" w:before="80"/>
      </w:pPr>
      <w:r>
        <w:t xml:space="preserve"/>
      </w:r>
    </w:p>
    <w:p>
      <w:pPr>
        <w:pStyle w:val="Heading2"/>
        <w:spacing w:after="120" w:before="300"/>
      </w:pPr>
      <w:r>
        <w:rPr>
          <w:rFonts w:ascii="Arial" w:cs="Arial" w:eastAsia="Arial" w:hAnsi="Arial"/>
          <w:b/>
          <w:bCs/>
          <w:color w:val="6D28D9"/>
          <w:sz w:val="28"/>
          <w:szCs w:val="28"/>
        </w:rPr>
        <w:t xml:space="preserve">7.4  Wallet-Keyed Execution Queue</w:t>
      </w:r>
    </w:p>
    <w:p>
      <w:pPr>
        <w:spacing w:after="80" w:before="80"/>
      </w:pPr>
      <w:r>
        <w:rPr>
          <w:rFonts w:ascii="Arial" w:cs="Arial" w:eastAsia="Arial" w:hAnsi="Arial"/>
          <w:b w:val="false"/>
          <w:bCs w:val="false"/>
          <w:color w:val="374151"/>
          <w:sz w:val="19"/>
          <w:szCs w:val="19"/>
        </w:rPr>
        <w:t xml:space="preserve">BullMQ jobs are keyed by agent wallet address. This enforces serial execution per wallet — no two jobs for the same wallet run concurrently:</w:t>
      </w:r>
    </w:p>
    <w:p>
      <w:pPr>
        <w:pStyle w:val="ListParagraph"/>
        <w:numPr>
          <w:ilvl w:val="0"/>
          <w:numId w:val="3"/>
        </w:numPr>
        <w:spacing w:after="50" w:before="50"/>
      </w:pPr>
      <w:r>
        <w:rPr>
          <w:rFonts w:ascii="Arial" w:cs="Arial" w:eastAsia="Arial" w:hAnsi="Arial"/>
          <w:color w:val="374151"/>
          <w:sz w:val="19"/>
          <w:szCs w:val="19"/>
        </w:rPr>
        <w:t xml:space="preserve">Queue name: exec:{wallet_pubkey_first8}</w:t>
      </w:r>
    </w:p>
    <w:p>
      <w:pPr>
        <w:pStyle w:val="ListParagraph"/>
        <w:numPr>
          <w:ilvl w:val="0"/>
          <w:numId w:val="3"/>
        </w:numPr>
        <w:spacing w:after="50" w:before="50"/>
      </w:pPr>
      <w:r>
        <w:rPr>
          <w:rFonts w:ascii="Arial" w:cs="Arial" w:eastAsia="Arial" w:hAnsi="Arial"/>
          <w:color w:val="374151"/>
          <w:sz w:val="19"/>
          <w:szCs w:val="19"/>
        </w:rPr>
        <w:t xml:space="preserve">Concurrency per queue: 1</w:t>
      </w:r>
    </w:p>
    <w:p>
      <w:pPr>
        <w:pStyle w:val="ListParagraph"/>
        <w:numPr>
          <w:ilvl w:val="0"/>
          <w:numId w:val="3"/>
        </w:numPr>
        <w:spacing w:after="50" w:before="50"/>
      </w:pPr>
      <w:r>
        <w:rPr>
          <w:rFonts w:ascii="Arial" w:cs="Arial" w:eastAsia="Arial" w:hAnsi="Arial"/>
          <w:color w:val="374151"/>
          <w:sz w:val="19"/>
          <w:szCs w:val="19"/>
        </w:rPr>
        <w:t xml:space="preserve">Global concurrency across all queues: limited to N workers (N = number of Execution Engine instances)</w:t>
      </w:r>
    </w:p>
    <w:p>
      <w:pPr>
        <w:pStyle w:val="ListParagraph"/>
        <w:numPr>
          <w:ilvl w:val="0"/>
          <w:numId w:val="3"/>
        </w:numPr>
        <w:spacing w:after="50" w:before="50"/>
      </w:pPr>
      <w:r>
        <w:rPr>
          <w:rFonts w:ascii="Arial" w:cs="Arial" w:eastAsia="Arial" w:hAnsi="Arial"/>
          <w:color w:val="374151"/>
          <w:sz w:val="19"/>
          <w:szCs w:val="19"/>
        </w:rPr>
        <w:t xml:space="preserve">Jobs are processed in FIFO order per wallet — oldest triggered rule executes first</w:t>
      </w:r>
    </w:p>
    <w:p>
      <w:pPr>
        <w:spacing w:after="0" w:before="60"/>
      </w:pPr>
      <w:r>
        <w:t xml:space="preserve"/>
      </w:r>
    </w:p>
    <w:p>
      <w:pPr>
        <w:pBdr>
          <w:left w:val="single" w:color="DC2626" w:sz="20" w:space="8"/>
        </w:pBdr>
        <w:shd w:fill="FEE2E2" w:val="clear"/>
        <w:spacing w:after="140" w:before="140"/>
        <w:ind w:left="240"/>
      </w:pPr>
      <w:r>
        <w:rPr>
          <w:rFonts w:ascii="Arial" w:cs="Arial" w:eastAsia="Arial" w:hAnsi="Arial"/>
          <w:b/>
          <w:bCs/>
          <w:color w:val="DC2626"/>
          <w:sz w:val="19"/>
          <w:szCs w:val="19"/>
        </w:rPr>
        <w:t xml:space="preserve">WARNING  </w:t>
      </w:r>
      <w:r>
        <w:rPr>
          <w:rFonts w:ascii="Arial" w:cs="Arial" w:eastAsia="Arial" w:hAnsi="Arial"/>
          <w:color w:val="111827"/>
          <w:sz w:val="19"/>
          <w:szCs w:val="19"/>
        </w:rPr>
        <w:t xml:space="preserve">Parallel execution for the same wallet is architecturally prohibited. If two conditions trigger simultaneously (e.g., balance_below AND price_above), they are serialized. The second execution evaluates against the updated on-chain state after the first completes. This is correct behavior — the second rule may no longer be valid after the first executes.</w:t>
      </w:r>
    </w:p>
    <w:p>
      <w:pPr>
        <w:spacing w:after="0" w:before="120"/>
      </w:pPr>
      <w:r>
        <w:t xml:space="preserve"/>
      </w:r>
    </w:p>
    <w:p>
      <w:r>
        <w:br w:type="page"/>
      </w:r>
    </w:p>
    <w:p>
      <w:pPr>
        <w:pStyle w:val="Heading1"/>
        <w:pBdr>
          <w:bottom w:val="single" w:color="6D28D9" w:sz="6" w:space="6"/>
        </w:pBdr>
        <w:spacing w:after="180" w:before="480"/>
      </w:pPr>
      <w:r>
        <w:rPr>
          <w:rFonts w:ascii="Arial" w:cs="Arial" w:eastAsia="Arial" w:hAnsi="Arial"/>
          <w:b/>
          <w:bCs/>
          <w:color w:val="4C1D95"/>
          <w:sz w:val="40"/>
          <w:szCs w:val="40"/>
        </w:rPr>
        <w:t xml:space="preserve">8. Audit &amp; Observability Architecture</w:t>
      </w:r>
    </w:p>
    <w:p>
      <w:pPr>
        <w:pStyle w:val="Heading2"/>
        <w:spacing w:after="120" w:before="300"/>
      </w:pPr>
      <w:r>
        <w:rPr>
          <w:rFonts w:ascii="Arial" w:cs="Arial" w:eastAsia="Arial" w:hAnsi="Arial"/>
          <w:b/>
          <w:bCs/>
          <w:color w:val="6D28D9"/>
          <w:sz w:val="28"/>
          <w:szCs w:val="28"/>
        </w:rPr>
        <w:t xml:space="preserve">8.1  The Audit Indexer</w:t>
      </w:r>
    </w:p>
    <w:p>
      <w:pPr>
        <w:spacing w:after="80" w:before="80"/>
      </w:pPr>
      <w:r>
        <w:rPr>
          <w:rFonts w:ascii="Arial" w:cs="Arial" w:eastAsia="Arial" w:hAnsi="Arial"/>
          <w:b w:val="false"/>
          <w:bCs w:val="false"/>
          <w:color w:val="374151"/>
          <w:sz w:val="19"/>
          <w:szCs w:val="19"/>
        </w:rPr>
        <w:t xml:space="preserve">The Audit Indexer is a dedicated service that continuously indexes all agent transactions from the Solana blockchain. It is the source of truth for the user-facing audit dashboard and the public audit API.</w:t>
      </w:r>
    </w:p>
    <w:p>
      <w:pPr>
        <w:spacing w:after="0" w:before="60"/>
      </w:pPr>
      <w:r>
        <w:t xml:space="preserve"/>
      </w:r>
    </w:p>
    <w:p>
      <w:pPr>
        <w:spacing w:after="80" w:before="80"/>
      </w:pPr>
      <w:r>
        <w:rPr>
          <w:rFonts w:ascii="Arial" w:cs="Arial" w:eastAsia="Arial" w:hAnsi="Arial"/>
          <w:b w:val="false"/>
          <w:bCs w:val="false"/>
          <w:color w:val="374151"/>
          <w:sz w:val="19"/>
          <w:szCs w:val="19"/>
        </w:rPr>
        <w:t xml:space="preserve">Indexer operation:</w:t>
      </w:r>
    </w:p>
    <w:p>
      <w:pPr>
        <w:pStyle w:val="ListParagraph"/>
        <w:numPr>
          <w:ilvl w:val="0"/>
          <w:numId w:val="2"/>
        </w:numPr>
        <w:spacing w:after="50" w:before="50"/>
      </w:pPr>
      <w:r>
        <w:rPr>
          <w:rFonts w:ascii="Arial" w:cs="Arial" w:eastAsia="Arial" w:hAnsi="Arial"/>
          <w:color w:val="374151"/>
          <w:sz w:val="19"/>
          <w:szCs w:val="19"/>
        </w:rPr>
        <w:t xml:space="preserve">On startup: for each agent wallet, query Helius getSignaturesForAddress to backfill historical transactions.</w:t>
      </w:r>
    </w:p>
    <w:p>
      <w:pPr>
        <w:pStyle w:val="ListParagraph"/>
        <w:numPr>
          <w:ilvl w:val="0"/>
          <w:numId w:val="2"/>
        </w:numPr>
        <w:spacing w:after="50" w:before="50"/>
      </w:pPr>
      <w:r>
        <w:rPr>
          <w:rFonts w:ascii="Arial" w:cs="Arial" w:eastAsia="Arial" w:hAnsi="Arial"/>
          <w:color w:val="374151"/>
          <w:sz w:val="19"/>
          <w:szCs w:val="19"/>
        </w:rPr>
        <w:t xml:space="preserve">For each transaction signature: fetch full parsed transaction via getParsedTransaction.</w:t>
      </w:r>
    </w:p>
    <w:p>
      <w:pPr>
        <w:pStyle w:val="ListParagraph"/>
        <w:numPr>
          <w:ilvl w:val="0"/>
          <w:numId w:val="2"/>
        </w:numPr>
        <w:spacing w:after="50" w:before="50"/>
      </w:pPr>
      <w:r>
        <w:rPr>
          <w:rFonts w:ascii="Arial" w:cs="Arial" w:eastAsia="Arial" w:hAnsi="Arial"/>
          <w:color w:val="374151"/>
          <w:sz w:val="19"/>
          <w:szCs w:val="19"/>
        </w:rPr>
        <w:t xml:space="preserve">Parse the Memo Program instruction: extract and deserialize the JSON proof.</w:t>
      </w:r>
    </w:p>
    <w:p>
      <w:pPr>
        <w:pStyle w:val="ListParagraph"/>
        <w:numPr>
          <w:ilvl w:val="0"/>
          <w:numId w:val="2"/>
        </w:numPr>
        <w:spacing w:after="50" w:before="50"/>
      </w:pPr>
      <w:r>
        <w:rPr>
          <w:rFonts w:ascii="Arial" w:cs="Arial" w:eastAsia="Arial" w:hAnsi="Arial"/>
          <w:color w:val="374151"/>
          <w:sz w:val="19"/>
          <w:szCs w:val="19"/>
        </w:rPr>
        <w:t xml:space="preserve">Validate memo schema version. Store parsed execution record in audit_events PostgreSQL table.</w:t>
      </w:r>
    </w:p>
    <w:p>
      <w:pPr>
        <w:pStyle w:val="ListParagraph"/>
        <w:numPr>
          <w:ilvl w:val="0"/>
          <w:numId w:val="2"/>
        </w:numPr>
        <w:spacing w:after="50" w:before="50"/>
      </w:pPr>
      <w:r>
        <w:rPr>
          <w:rFonts w:ascii="Arial" w:cs="Arial" w:eastAsia="Arial" w:hAnsi="Arial"/>
          <w:color w:val="374151"/>
          <w:sz w:val="19"/>
          <w:szCs w:val="19"/>
        </w:rPr>
        <w:t xml:space="preserve">Ongoing: receive new transaction notifications via Helius webhook. Process incrementally.</w:t>
      </w:r>
    </w:p>
    <w:p>
      <w:pPr>
        <w:spacing w:after="0" w:before="80"/>
      </w:pPr>
      <w:r>
        <w:t xml:space="preserve"/>
      </w:r>
    </w:p>
    <w:p>
      <w:pPr>
        <w:pBdr>
          <w:left w:val="single" w:color="059669" w:sz="20" w:space="8"/>
        </w:pBdr>
        <w:shd w:fill="D1FAE5" w:val="clear"/>
        <w:spacing w:after="140" w:before="140"/>
        <w:ind w:left="240"/>
      </w:pPr>
      <w:r>
        <w:rPr>
          <w:rFonts w:ascii="Arial" w:cs="Arial" w:eastAsia="Arial" w:hAnsi="Arial"/>
          <w:b/>
          <w:bCs/>
          <w:color w:val="059669"/>
          <w:sz w:val="19"/>
          <w:szCs w:val="19"/>
        </w:rPr>
        <w:t xml:space="preserve">DECISION  </w:t>
      </w:r>
      <w:r>
        <w:rPr>
          <w:rFonts w:ascii="Arial" w:cs="Arial" w:eastAsia="Arial" w:hAnsi="Arial"/>
          <w:color w:val="111827"/>
          <w:sz w:val="19"/>
          <w:szCs w:val="19"/>
        </w:rPr>
        <w:t xml:space="preserve">The Audit Indexer's database is a convenience cache — it can always be rebuilt from scratch from on-chain data. If the database is corrupted or deleted, full audit history is recoverable by re-indexing from Solana. The blockchain is the source of truth, not SolAgent's database.</w:t>
      </w:r>
    </w:p>
    <w:p>
      <w:pPr>
        <w:spacing w:after="0" w:before="80"/>
      </w:pPr>
      <w:r>
        <w:t xml:space="preserve"/>
      </w:r>
    </w:p>
    <w:p>
      <w:pPr>
        <w:pStyle w:val="Heading2"/>
        <w:spacing w:after="120" w:before="300"/>
      </w:pPr>
      <w:r>
        <w:rPr>
          <w:rFonts w:ascii="Arial" w:cs="Arial" w:eastAsia="Arial" w:hAnsi="Arial"/>
          <w:b/>
          <w:bCs/>
          <w:color w:val="6D28D9"/>
          <w:sz w:val="28"/>
          <w:szCs w:val="28"/>
        </w:rPr>
        <w:t xml:space="preserve">8.2  Public Audit API</w:t>
      </w:r>
    </w:p>
    <w:p>
      <w:pPr>
        <w:spacing w:after="80" w:before="80"/>
      </w:pPr>
      <w:r>
        <w:rPr>
          <w:rFonts w:ascii="Arial" w:cs="Arial" w:eastAsia="Arial" w:hAnsi="Arial"/>
          <w:b w:val="false"/>
          <w:bCs w:val="false"/>
          <w:color w:val="374151"/>
          <w:sz w:val="19"/>
          <w:szCs w:val="19"/>
        </w:rPr>
        <w:t xml:space="preserve">Every agent wallet's execution history is publicly queryable. No authentication required for read access.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2760"/>
      </w:tblGrid>
      <w:tr>
        <w:tc>
          <w:tcPr>
            <w:tcW w:type="dxa" w:w="320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vAlign w:val="top"/>
          </w:tcPr>
          <w:p>
            <w:pPr>
              <w:spacing w:after="20" w:before="20"/>
              <w:jc w:val="left"/>
            </w:pPr>
            <w:r>
              <w:rPr>
                <w:rFonts w:ascii="Arial" w:cs="Arial" w:eastAsia="Arial" w:hAnsi="Arial"/>
                <w:b/>
                <w:bCs/>
                <w:i w:val="false"/>
                <w:iCs w:val="false"/>
                <w:color w:val="FFFFFF"/>
                <w:sz w:val="19"/>
                <w:szCs w:val="19"/>
              </w:rPr>
              <w:t xml:space="preserve">Endpoint</w:t>
            </w:r>
          </w:p>
        </w:tc>
        <w:tc>
          <w:tcPr>
            <w:tcW w:type="dxa" w:w="340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vAlign w:val="top"/>
          </w:tcPr>
          <w:p>
            <w:pPr>
              <w:spacing w:after="20" w:before="20"/>
              <w:jc w:val="left"/>
            </w:pPr>
            <w:r>
              <w:rPr>
                <w:rFonts w:ascii="Arial" w:cs="Arial" w:eastAsia="Arial" w:hAnsi="Arial"/>
                <w:b/>
                <w:bCs/>
                <w:i w:val="false"/>
                <w:iCs w:val="false"/>
                <w:color w:val="FFFFFF"/>
                <w:sz w:val="19"/>
                <w:szCs w:val="19"/>
              </w:rPr>
              <w:t xml:space="preserve">Returns</w:t>
            </w:r>
          </w:p>
        </w:tc>
        <w:tc>
          <w:tcPr>
            <w:tcW w:type="dxa" w:w="276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vAlign w:val="top"/>
          </w:tcPr>
          <w:p>
            <w:pPr>
              <w:spacing w:after="20" w:before="20"/>
              <w:jc w:val="left"/>
            </w:pPr>
            <w:r>
              <w:rPr>
                <w:rFonts w:ascii="Arial" w:cs="Arial" w:eastAsia="Arial" w:hAnsi="Arial"/>
                <w:b/>
                <w:bCs/>
                <w:i w:val="false"/>
                <w:iCs w:val="false"/>
                <w:color w:val="FFFFFF"/>
                <w:sz w:val="19"/>
                <w:szCs w:val="19"/>
              </w:rPr>
              <w:t xml:space="preserve">Use Case</w:t>
            </w:r>
          </w:p>
        </w:tc>
      </w:tr>
      <w:tr>
        <w:tc>
          <w:tcPr>
            <w:tcW w:type="dxa" w:w="32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GET /audit/{wallet_pubkey}</w:t>
            </w:r>
          </w:p>
        </w:tc>
        <w:tc>
          <w:tcPr>
            <w:tcW w:type="dxa" w:w="34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Paginated list of all execution events for wallet</w:t>
            </w:r>
          </w:p>
        </w:tc>
        <w:tc>
          <w:tcPr>
            <w:tcW w:type="dxa" w:w="276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User audit dashboard; third-party protocol verification</w:t>
            </w:r>
          </w:p>
        </w:tc>
      </w:tr>
      <w:tr>
        <w:tc>
          <w:tcPr>
            <w:tcW w:type="dxa" w:w="32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GET /audit/{wallet_pubkey}/stats</w:t>
            </w:r>
          </w:p>
        </w:tc>
        <w:tc>
          <w:tcPr>
            <w:tcW w:type="dxa" w:w="34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Aggregate stats: total executions, success rate, volume, most-used rules</w:t>
            </w:r>
          </w:p>
        </w:tc>
        <w:tc>
          <w:tcPr>
            <w:tcW w:type="dxa" w:w="276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Risk scoring by protocols; insurance pricing</w:t>
            </w:r>
          </w:p>
        </w:tc>
      </w:tr>
      <w:tr>
        <w:tc>
          <w:tcPr>
            <w:tcW w:type="dxa" w:w="32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GET /audit/{wallet_pubkey}/replay?rule={rule_id}</w:t>
            </w:r>
          </w:p>
        </w:tc>
        <w:tc>
          <w:tcPr>
            <w:tcW w:type="dxa" w:w="34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What this rule would have done over past N days using historical data</w:t>
            </w:r>
          </w:p>
        </w:tc>
        <w:tc>
          <w:tcPr>
            <w:tcW w:type="dxa" w:w="276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Pre-activation simulation; post-hoc analysis</w:t>
            </w:r>
          </w:p>
        </w:tc>
      </w:tr>
      <w:tr>
        <w:tc>
          <w:tcPr>
            <w:tcW w:type="dxa" w:w="32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GET /audit/tx/{tx_signature}</w:t>
            </w:r>
          </w:p>
        </w:tc>
        <w:tc>
          <w:tcPr>
            <w:tcW w:type="dxa" w:w="34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Full parsed execution proof for a specific transaction</w:t>
            </w:r>
          </w:p>
        </w:tc>
        <w:tc>
          <w:tcPr>
            <w:tcW w:type="dxa" w:w="276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Verify a specific execution; link from Explorer</w:t>
            </w:r>
          </w:p>
        </w:tc>
      </w:tr>
    </w:tbl>
    <w:p>
      <w:pPr>
        <w:spacing w:after="0" w:before="80"/>
      </w:pPr>
      <w:r>
        <w:t xml:space="preserve"/>
      </w:r>
    </w:p>
    <w:p>
      <w:pPr>
        <w:pBdr>
          <w:left w:val="single" w:color="0F766E" w:sz="20" w:space="8"/>
        </w:pBdr>
        <w:shd w:fill="CCFBF1" w:val="clear"/>
        <w:spacing w:after="140" w:before="140"/>
        <w:ind w:left="240"/>
      </w:pPr>
      <w:r>
        <w:rPr>
          <w:rFonts w:ascii="Arial" w:cs="Arial" w:eastAsia="Arial" w:hAnsi="Arial"/>
          <w:b/>
          <w:bCs/>
          <w:color w:val="0F766E"/>
          <w:sz w:val="19"/>
          <w:szCs w:val="19"/>
        </w:rPr>
        <w:t xml:space="preserve">INSIGHT  </w:t>
      </w:r>
      <w:r>
        <w:rPr>
          <w:rFonts w:ascii="Arial" w:cs="Arial" w:eastAsia="Arial" w:hAnsi="Arial"/>
          <w:color w:val="111827"/>
          <w:sz w:val="19"/>
          <w:szCs w:val="19"/>
        </w:rPr>
        <w:t xml:space="preserve">The public audit API is the B2B product. Lending protocols (Kamino, MarginFi, Solend) can query SolAgent's audit API to build credit models based on agent execution history. A wallet with 12 months of clean, consistent agent behavior is a materially different credit risk than an anonymous wallet. This is SolAgent's protocol-level moat.</w:t>
      </w:r>
    </w:p>
    <w:p>
      <w:pPr>
        <w:spacing w:after="0" w:before="80"/>
      </w:pPr>
      <w:r>
        <w:t xml:space="preserve"/>
      </w:r>
    </w:p>
    <w:p>
      <w:pPr>
        <w:pStyle w:val="Heading2"/>
        <w:spacing w:after="120" w:before="300"/>
      </w:pPr>
      <w:r>
        <w:rPr>
          <w:rFonts w:ascii="Arial" w:cs="Arial" w:eastAsia="Arial" w:hAnsi="Arial"/>
          <w:b/>
          <w:bCs/>
          <w:color w:val="6D28D9"/>
          <w:sz w:val="28"/>
          <w:szCs w:val="28"/>
        </w:rPr>
        <w:t xml:space="preserve">8.3  Anomaly Detection</w:t>
      </w:r>
    </w:p>
    <w:p>
      <w:pPr>
        <w:spacing w:after="80" w:before="80"/>
      </w:pPr>
      <w:r>
        <w:rPr>
          <w:rFonts w:ascii="Arial" w:cs="Arial" w:eastAsia="Arial" w:hAnsi="Arial"/>
          <w:b w:val="false"/>
          <w:bCs w:val="false"/>
          <w:color w:val="374151"/>
          <w:sz w:val="19"/>
          <w:szCs w:val="19"/>
        </w:rPr>
        <w:t xml:space="preserve">The Audit Indexer runs anomaly detection on each new execution event:</w:t>
      </w:r>
    </w:p>
    <w:p>
      <w:pPr>
        <w:pStyle w:val="ListParagraph"/>
        <w:numPr>
          <w:ilvl w:val="0"/>
          <w:numId w:val="3"/>
        </w:numPr>
        <w:spacing w:after="50" w:before="50"/>
      </w:pPr>
      <w:r>
        <w:rPr>
          <w:rFonts w:ascii="Arial" w:cs="Arial" w:eastAsia="Arial" w:hAnsi="Arial"/>
          <w:color w:val="374151"/>
          <w:sz w:val="19"/>
          <w:szCs w:val="19"/>
        </w:rPr>
        <w:t xml:space="preserve">Execution amount &gt; 3x the rule's historical average amount: flag as ANOMALY_AMOUNT</w:t>
      </w:r>
    </w:p>
    <w:p>
      <w:pPr>
        <w:pStyle w:val="ListParagraph"/>
        <w:numPr>
          <w:ilvl w:val="0"/>
          <w:numId w:val="3"/>
        </w:numPr>
        <w:spacing w:after="50" w:before="50"/>
      </w:pPr>
      <w:r>
        <w:rPr>
          <w:rFonts w:ascii="Arial" w:cs="Arial" w:eastAsia="Arial" w:hAnsi="Arial"/>
          <w:color w:val="374151"/>
          <w:sz w:val="19"/>
          <w:szCs w:val="19"/>
        </w:rPr>
        <w:t xml:space="preserve">Execution fires at an unexpected time (time-based rule outside defined window): flag as ANOMALY_TIMING</w:t>
      </w:r>
    </w:p>
    <w:p>
      <w:pPr>
        <w:pStyle w:val="ListParagraph"/>
        <w:numPr>
          <w:ilvl w:val="0"/>
          <w:numId w:val="3"/>
        </w:numPr>
        <w:spacing w:after="50" w:before="50"/>
      </w:pPr>
      <w:r>
        <w:rPr>
          <w:rFonts w:ascii="Arial" w:cs="Arial" w:eastAsia="Arial" w:hAnsi="Arial"/>
          <w:color w:val="374151"/>
          <w:sz w:val="19"/>
          <w:szCs w:val="19"/>
        </w:rPr>
        <w:t xml:space="preserve">Rule fires more than 2x its historical daily average: flag as ANOMALY_FREQUENCY</w:t>
      </w:r>
    </w:p>
    <w:p>
      <w:pPr>
        <w:pStyle w:val="ListParagraph"/>
        <w:numPr>
          <w:ilvl w:val="0"/>
          <w:numId w:val="3"/>
        </w:numPr>
        <w:spacing w:after="50" w:before="50"/>
      </w:pPr>
      <w:r>
        <w:rPr>
          <w:rFonts w:ascii="Arial" w:cs="Arial" w:eastAsia="Arial" w:hAnsi="Arial"/>
          <w:color w:val="374151"/>
          <w:sz w:val="19"/>
          <w:szCs w:val="19"/>
        </w:rPr>
        <w:t xml:space="preserve">Any flagged execution: send push notification to user immediately</w:t>
      </w:r>
    </w:p>
    <w:p>
      <w:pPr>
        <w:spacing w:after="0" w:before="80"/>
      </w:pPr>
      <w:r>
        <w:t xml:space="preserve"/>
      </w:r>
    </w:p>
    <w:p>
      <w:pPr>
        <w:pStyle w:val="Heading2"/>
        <w:spacing w:after="120" w:before="300"/>
      </w:pPr>
      <w:r>
        <w:rPr>
          <w:rFonts w:ascii="Arial" w:cs="Arial" w:eastAsia="Arial" w:hAnsi="Arial"/>
          <w:b/>
          <w:bCs/>
          <w:color w:val="6D28D9"/>
          <w:sz w:val="28"/>
          <w:szCs w:val="28"/>
        </w:rPr>
        <w:t xml:space="preserve">8.4  System Observability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vAlign w:val="top"/>
          </w:tcPr>
          <w:p>
            <w:pPr>
              <w:spacing w:after="20" w:before="20"/>
              <w:jc w:val="left"/>
            </w:pPr>
            <w:r>
              <w:rPr>
                <w:rFonts w:ascii="Arial" w:cs="Arial" w:eastAsia="Arial" w:hAnsi="Arial"/>
                <w:b/>
                <w:bCs/>
                <w:i w:val="false"/>
                <w:iCs w:val="false"/>
                <w:color w:val="FFFFFF"/>
                <w:sz w:val="19"/>
                <w:szCs w:val="19"/>
              </w:rPr>
              <w:t xml:space="preserve">Layer</w:t>
            </w:r>
          </w:p>
        </w:tc>
        <w:tc>
          <w:tcPr>
            <w:tcW w:type="dxa" w:w="240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vAlign w:val="top"/>
          </w:tcPr>
          <w:p>
            <w:pPr>
              <w:spacing w:after="20" w:before="20"/>
              <w:jc w:val="left"/>
            </w:pPr>
            <w:r>
              <w:rPr>
                <w:rFonts w:ascii="Arial" w:cs="Arial" w:eastAsia="Arial" w:hAnsi="Arial"/>
                <w:b/>
                <w:bCs/>
                <w:i w:val="false"/>
                <w:iCs w:val="false"/>
                <w:color w:val="FFFFFF"/>
                <w:sz w:val="19"/>
                <w:szCs w:val="19"/>
              </w:rPr>
              <w:t xml:space="preserve">Tool</w:t>
            </w:r>
          </w:p>
        </w:tc>
        <w:tc>
          <w:tcPr>
            <w:tcW w:type="dxa" w:w="516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vAlign w:val="top"/>
          </w:tcPr>
          <w:p>
            <w:pPr>
              <w:spacing w:after="20" w:before="20"/>
              <w:jc w:val="left"/>
            </w:pPr>
            <w:r>
              <w:rPr>
                <w:rFonts w:ascii="Arial" w:cs="Arial" w:eastAsia="Arial" w:hAnsi="Arial"/>
                <w:b/>
                <w:bCs/>
                <w:i w:val="false"/>
                <w:iCs w:val="false"/>
                <w:color w:val="FFFFFF"/>
                <w:sz w:val="19"/>
                <w:szCs w:val="19"/>
              </w:rPr>
              <w:t xml:space="preserve">What Is Monitored</w:t>
            </w:r>
          </w:p>
        </w:tc>
      </w:tr>
      <w:tr>
        <w:tc>
          <w:tcPr>
            <w:tcW w:type="dxa" w:w="18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Application logs</w:t>
            </w:r>
          </w:p>
        </w:tc>
        <w:tc>
          <w:tcPr>
            <w:tcW w:type="dxa" w:w="24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Structured JSON logs → Loki</w:t>
            </w:r>
          </w:p>
        </w:tc>
        <w:tc>
          <w:tcPr>
            <w:tcW w:type="dxa" w:w="516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All service events, errors, execution lifecycle steps. Correlation IDs trace a rule trigger through all services.</w:t>
            </w:r>
          </w:p>
        </w:tc>
      </w:tr>
      <w:tr>
        <w:tc>
          <w:tcPr>
            <w:tcW w:type="dxa" w:w="18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Metrics</w:t>
            </w:r>
          </w:p>
        </w:tc>
        <w:tc>
          <w:tcPr>
            <w:tcW w:type="dxa" w:w="24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Prometheus + Grafana</w:t>
            </w:r>
          </w:p>
        </w:tc>
        <w:tc>
          <w:tcPr>
            <w:tcW w:type="dxa" w:w="516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Execution success rate, latency p50/p95/p99, queue depth, webhook delivery rate, RPC error rate</w:t>
            </w:r>
          </w:p>
        </w:tc>
      </w:tr>
      <w:tr>
        <w:tc>
          <w:tcPr>
            <w:tcW w:type="dxa" w:w="18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Alerting</w:t>
            </w:r>
          </w:p>
        </w:tc>
        <w:tc>
          <w:tcPr>
            <w:tcW w:type="dxa" w:w="24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Grafana AlertManager → PagerDuty</w:t>
            </w:r>
          </w:p>
        </w:tc>
        <w:tc>
          <w:tcPr>
            <w:tcW w:type="dxa" w:w="516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Execution success rate &lt;95%, queue depth &gt;100, RPC error rate &gt;2%, webhook delivery failure</w:t>
            </w:r>
          </w:p>
        </w:tc>
      </w:tr>
      <w:tr>
        <w:tc>
          <w:tcPr>
            <w:tcW w:type="dxa" w:w="18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Distributed tracing</w:t>
            </w:r>
          </w:p>
        </w:tc>
        <w:tc>
          <w:tcPr>
            <w:tcW w:type="dxa" w:w="24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OpenTelemetry → Jaeger</w:t>
            </w:r>
          </w:p>
        </w:tc>
        <w:tc>
          <w:tcPr>
            <w:tcW w:type="dxa" w:w="516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End-to-end trace from webhook receipt to on-chain confirmation</w:t>
            </w:r>
          </w:p>
        </w:tc>
      </w:tr>
      <w:tr>
        <w:tc>
          <w:tcPr>
            <w:tcW w:type="dxa" w:w="18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On-chain health</w:t>
            </w:r>
          </w:p>
        </w:tc>
        <w:tc>
          <w:tcPr>
            <w:tcW w:type="dxa" w:w="24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Custom indexer dashboard</w:t>
            </w:r>
          </w:p>
        </w:tc>
        <w:tc>
          <w:tcPr>
            <w:tcW w:type="dxa" w:w="516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Agent wallet balances, memo write success rate, transaction landing rate</w:t>
            </w:r>
          </w:p>
        </w:tc>
      </w:tr>
      <w:tr>
        <w:tc>
          <w:tcPr>
            <w:tcW w:type="dxa" w:w="18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Error tracking</w:t>
            </w:r>
          </w:p>
        </w:tc>
        <w:tc>
          <w:tcPr>
            <w:tcW w:type="dxa" w:w="24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Sentry</w:t>
            </w:r>
          </w:p>
        </w:tc>
        <w:tc>
          <w:tcPr>
            <w:tcW w:type="dxa" w:w="516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Unhandled exceptions, API errors, LLM parsing failures with full context</w:t>
            </w:r>
          </w:p>
        </w:tc>
      </w:tr>
    </w:tbl>
    <w:p>
      <w:pPr>
        <w:spacing w:after="0" w:before="120"/>
      </w:pPr>
      <w:r>
        <w:t xml:space="preserve"/>
      </w:r>
    </w:p>
    <w:p>
      <w:r>
        <w:br w:type="page"/>
      </w:r>
    </w:p>
    <w:p>
      <w:pPr>
        <w:pStyle w:val="Heading1"/>
        <w:pBdr>
          <w:bottom w:val="single" w:color="6D28D9" w:sz="6" w:space="6"/>
        </w:pBdr>
        <w:spacing w:after="180" w:before="480"/>
      </w:pPr>
      <w:r>
        <w:rPr>
          <w:rFonts w:ascii="Arial" w:cs="Arial" w:eastAsia="Arial" w:hAnsi="Arial"/>
          <w:b/>
          <w:bCs/>
          <w:color w:val="4C1D95"/>
          <w:sz w:val="40"/>
          <w:szCs w:val="40"/>
        </w:rPr>
        <w:t xml:space="preserve">9. Database Schema</w:t>
      </w:r>
    </w:p>
    <w:p>
      <w:pPr>
        <w:pStyle w:val="Heading2"/>
        <w:spacing w:after="120" w:before="300"/>
      </w:pPr>
      <w:r>
        <w:rPr>
          <w:rFonts w:ascii="Arial" w:cs="Arial" w:eastAsia="Arial" w:hAnsi="Arial"/>
          <w:b/>
          <w:bCs/>
          <w:color w:val="6D28D9"/>
          <w:sz w:val="28"/>
          <w:szCs w:val="28"/>
        </w:rPr>
        <w:t xml:space="preserve">9.1  Core Tables</w:t>
      </w:r>
    </w:p>
    <w:p>
      <w:pPr>
        <w:spacing w:after="0" w:before="60"/>
      </w:pPr>
      <w:r>
        <w:t xml:space="preserve"/>
      </w:r>
    </w:p>
    <w:p>
      <w:pPr>
        <w:spacing w:after="40" w:before="40"/>
        <w:ind w:left="360"/>
      </w:pPr>
      <w:r>
        <w:rPr>
          <w:rFonts w:ascii="Courier New" w:cs="Courier New" w:eastAsia="Courier New" w:hAnsi="Courier New"/>
          <w:color w:val="4C1D95"/>
          <w:sz w:val="17"/>
          <w:szCs w:val="17"/>
        </w:rPr>
        <w:t xml:space="preserve">-- Users table</w:t>
      </w:r>
    </w:p>
    <w:p>
      <w:pPr>
        <w:spacing w:after="40" w:before="40"/>
        <w:ind w:left="360"/>
      </w:pPr>
      <w:r>
        <w:rPr>
          <w:rFonts w:ascii="Courier New" w:cs="Courier New" w:eastAsia="Courier New" w:hAnsi="Courier New"/>
          <w:color w:val="4C1D95"/>
          <w:sz w:val="17"/>
          <w:szCs w:val="17"/>
        </w:rPr>
        <w:t xml:space="preserve">CREATE TABLE users (</w:t>
      </w:r>
    </w:p>
    <w:p>
      <w:pPr>
        <w:spacing w:after="40" w:before="40"/>
        <w:ind w:left="360"/>
      </w:pPr>
      <w:r>
        <w:rPr>
          <w:rFonts w:ascii="Courier New" w:cs="Courier New" w:eastAsia="Courier New" w:hAnsi="Courier New"/>
          <w:color w:val="4C1D95"/>
          <w:sz w:val="17"/>
          <w:szCs w:val="17"/>
        </w:rPr>
        <w:t xml:space="preserve">  id              UUID PRIMARY KEY DEFAULT gen_random_uuid(),</w:t>
      </w:r>
    </w:p>
    <w:p>
      <w:pPr>
        <w:spacing w:after="40" w:before="40"/>
        <w:ind w:left="360"/>
      </w:pPr>
      <w:r>
        <w:rPr>
          <w:rFonts w:ascii="Courier New" w:cs="Courier New" w:eastAsia="Courier New" w:hAnsi="Courier New"/>
          <w:color w:val="4C1D95"/>
          <w:sz w:val="17"/>
          <w:szCs w:val="17"/>
        </w:rPr>
        <w:t xml:space="preserve">  wallet_pubkey   VARCHAR(44) UNIQUE NOT NULL,  -- base58 Solana pubkey</w:t>
      </w:r>
    </w:p>
    <w:p>
      <w:pPr>
        <w:spacing w:after="40" w:before="40"/>
        <w:ind w:left="360"/>
      </w:pPr>
      <w:r>
        <w:rPr>
          <w:rFonts w:ascii="Courier New" w:cs="Courier New" w:eastAsia="Courier New" w:hAnsi="Courier New"/>
          <w:color w:val="4C1D95"/>
          <w:sz w:val="17"/>
          <w:szCs w:val="17"/>
        </w:rPr>
        <w:t xml:space="preserve">  created_at      TIMESTAMPTZ NOT NULL DEFAULT NOW(),</w:t>
      </w:r>
    </w:p>
    <w:p>
      <w:pPr>
        <w:spacing w:after="40" w:before="40"/>
        <w:ind w:left="360"/>
      </w:pPr>
      <w:r>
        <w:rPr>
          <w:rFonts w:ascii="Courier New" w:cs="Courier New" w:eastAsia="Courier New" w:hAnsi="Courier New"/>
          <w:color w:val="4C1D95"/>
          <w:sz w:val="17"/>
          <w:szCs w:val="17"/>
        </w:rPr>
        <w:t xml:space="preserve">  last_seen_at    TIMESTAMPTZ,</w:t>
      </w:r>
    </w:p>
    <w:p>
      <w:pPr>
        <w:spacing w:after="40" w:before="40"/>
        <w:ind w:left="360"/>
      </w:pPr>
      <w:r>
        <w:rPr>
          <w:rFonts w:ascii="Courier New" w:cs="Courier New" w:eastAsia="Courier New" w:hAnsi="Courier New"/>
          <w:color w:val="4C1D95"/>
          <w:sz w:val="17"/>
          <w:szCs w:val="17"/>
        </w:rPr>
        <w:t xml:space="preserve">  daily_limit_usd NUMERIC(18,6) NOT NULL DEFAULT 1000,  -- circuit breaker</w:t>
      </w:r>
    </w:p>
    <w:p>
      <w:pPr>
        <w:spacing w:after="40" w:before="40"/>
        <w:ind w:left="360"/>
      </w:pPr>
      <w:r>
        <w:rPr>
          <w:rFonts w:ascii="Courier New" w:cs="Courier New" w:eastAsia="Courier New" w:hAnsi="Courier New"/>
          <w:color w:val="4C1D95"/>
          <w:sz w:val="17"/>
          <w:szCs w:val="17"/>
        </w:rPr>
        <w:t xml:space="preserve">  is_active       BOOLEAN NOT NULL DEFAULT TRUE</w:t>
      </w:r>
    </w:p>
    <w:p>
      <w:pPr>
        <w:spacing w:after="40" w:before="40"/>
        <w:ind w:left="360"/>
      </w:pPr>
      <w:r>
        <w:rPr>
          <w:rFonts w:ascii="Courier New" w:cs="Courier New" w:eastAsia="Courier New" w:hAnsi="Courier New"/>
          <w:color w:val="4C1D95"/>
          <w:sz w:val="17"/>
          <w:szCs w:val="17"/>
        </w:rPr>
        <w:t xml:space="preserve">);</w:t>
      </w:r>
    </w:p>
    <w:p>
      <w:pPr>
        <w:spacing w:after="0" w:before="40"/>
      </w:pPr>
      <w:r>
        <w:t xml:space="preserve"/>
      </w:r>
    </w:p>
    <w:p>
      <w:pPr>
        <w:spacing w:after="40" w:before="40"/>
        <w:ind w:left="360"/>
      </w:pPr>
      <w:r>
        <w:rPr>
          <w:rFonts w:ascii="Courier New" w:cs="Courier New" w:eastAsia="Courier New" w:hAnsi="Courier New"/>
          <w:color w:val="4C1D95"/>
          <w:sz w:val="17"/>
          <w:szCs w:val="17"/>
        </w:rPr>
        <w:t xml:space="preserve">-- Agent wallets table</w:t>
      </w:r>
    </w:p>
    <w:p>
      <w:pPr>
        <w:spacing w:after="40" w:before="40"/>
        <w:ind w:left="360"/>
      </w:pPr>
      <w:r>
        <w:rPr>
          <w:rFonts w:ascii="Courier New" w:cs="Courier New" w:eastAsia="Courier New" w:hAnsi="Courier New"/>
          <w:color w:val="4C1D95"/>
          <w:sz w:val="17"/>
          <w:szCs w:val="17"/>
        </w:rPr>
        <w:t xml:space="preserve">CREATE TABLE agent_wallets (</w:t>
      </w:r>
    </w:p>
    <w:p>
      <w:pPr>
        <w:spacing w:after="40" w:before="40"/>
        <w:ind w:left="360"/>
      </w:pPr>
      <w:r>
        <w:rPr>
          <w:rFonts w:ascii="Courier New" w:cs="Courier New" w:eastAsia="Courier New" w:hAnsi="Courier New"/>
          <w:color w:val="4C1D95"/>
          <w:sz w:val="17"/>
          <w:szCs w:val="17"/>
        </w:rPr>
        <w:t xml:space="preserve">  id              UUID PRIMARY KEY DEFAULT gen_random_uuid(),</w:t>
      </w:r>
    </w:p>
    <w:p>
      <w:pPr>
        <w:spacing w:after="40" w:before="40"/>
        <w:ind w:left="360"/>
      </w:pPr>
      <w:r>
        <w:rPr>
          <w:rFonts w:ascii="Courier New" w:cs="Courier New" w:eastAsia="Courier New" w:hAnsi="Courier New"/>
          <w:color w:val="4C1D95"/>
          <w:sz w:val="17"/>
          <w:szCs w:val="17"/>
        </w:rPr>
        <w:t xml:space="preserve">  user_id         UUID NOT NULL REFERENCES users(id),</w:t>
      </w:r>
    </w:p>
    <w:p>
      <w:pPr>
        <w:spacing w:after="40" w:before="40"/>
        <w:ind w:left="360"/>
      </w:pPr>
      <w:r>
        <w:rPr>
          <w:rFonts w:ascii="Courier New" w:cs="Courier New" w:eastAsia="Courier New" w:hAnsi="Courier New"/>
          <w:color w:val="4C1D95"/>
          <w:sz w:val="17"/>
          <w:szCs w:val="17"/>
        </w:rPr>
        <w:t xml:space="preserve">  pubkey          VARCHAR(44) UNIQUE NOT NULL,</w:t>
      </w:r>
    </w:p>
    <w:p>
      <w:pPr>
        <w:spacing w:after="40" w:before="40"/>
        <w:ind w:left="360"/>
      </w:pPr>
      <w:r>
        <w:rPr>
          <w:rFonts w:ascii="Courier New" w:cs="Courier New" w:eastAsia="Courier New" w:hAnsi="Courier New"/>
          <w:color w:val="4C1D95"/>
          <w:sz w:val="17"/>
          <w:szCs w:val="17"/>
        </w:rPr>
        <w:t xml:space="preserve">  encrypted_key   BYTEA NOT NULL,     -- AES-256-GCM ciphertext</w:t>
      </w:r>
    </w:p>
    <w:p>
      <w:pPr>
        <w:spacing w:after="40" w:before="40"/>
        <w:ind w:left="360"/>
      </w:pPr>
      <w:r>
        <w:rPr>
          <w:rFonts w:ascii="Courier New" w:cs="Courier New" w:eastAsia="Courier New" w:hAnsi="Courier New"/>
          <w:color w:val="4C1D95"/>
          <w:sz w:val="17"/>
          <w:szCs w:val="17"/>
        </w:rPr>
        <w:t xml:space="preserve">  key_iv          BYTEA NOT NULL,     -- IV for AES-GCM</w:t>
      </w:r>
    </w:p>
    <w:p>
      <w:pPr>
        <w:spacing w:after="40" w:before="40"/>
        <w:ind w:left="360"/>
      </w:pPr>
      <w:r>
        <w:rPr>
          <w:rFonts w:ascii="Courier New" w:cs="Courier New" w:eastAsia="Courier New" w:hAnsi="Courier New"/>
          <w:color w:val="4C1D95"/>
          <w:sz w:val="17"/>
          <w:szCs w:val="17"/>
        </w:rPr>
        <w:t xml:space="preserve">  created_at      TIMESTAMPTZ NOT NULL DEFAULT NOW(),</w:t>
      </w:r>
    </w:p>
    <w:p>
      <w:pPr>
        <w:spacing w:after="40" w:before="40"/>
        <w:ind w:left="360"/>
      </w:pPr>
      <w:r>
        <w:rPr>
          <w:rFonts w:ascii="Courier New" w:cs="Courier New" w:eastAsia="Courier New" w:hAnsi="Courier New"/>
          <w:color w:val="4C1D95"/>
          <w:sz w:val="17"/>
          <w:szCs w:val="17"/>
        </w:rPr>
        <w:t xml:space="preserve">  is_active       BOOLEAN NOT NULL DEFAULT TRUE</w:t>
      </w:r>
    </w:p>
    <w:p>
      <w:pPr>
        <w:spacing w:after="40" w:before="40"/>
        <w:ind w:left="360"/>
      </w:pPr>
      <w:r>
        <w:rPr>
          <w:rFonts w:ascii="Courier New" w:cs="Courier New" w:eastAsia="Courier New" w:hAnsi="Courier New"/>
          <w:color w:val="4C1D95"/>
          <w:sz w:val="17"/>
          <w:szCs w:val="17"/>
        </w:rPr>
        <w:t xml:space="preserve">);</w:t>
      </w:r>
    </w:p>
    <w:p>
      <w:pPr>
        <w:spacing w:after="0" w:before="40"/>
      </w:pPr>
      <w:r>
        <w:t xml:space="preserve"/>
      </w:r>
    </w:p>
    <w:p>
      <w:pPr>
        <w:spacing w:after="40" w:before="40"/>
        <w:ind w:left="360"/>
      </w:pPr>
      <w:r>
        <w:rPr>
          <w:rFonts w:ascii="Courier New" w:cs="Courier New" w:eastAsia="Courier New" w:hAnsi="Courier New"/>
          <w:color w:val="4C1D95"/>
          <w:sz w:val="17"/>
          <w:szCs w:val="17"/>
        </w:rPr>
        <w:t xml:space="preserve">-- Rules table</w:t>
      </w:r>
    </w:p>
    <w:p>
      <w:pPr>
        <w:spacing w:after="40" w:before="40"/>
        <w:ind w:left="360"/>
      </w:pPr>
      <w:r>
        <w:rPr>
          <w:rFonts w:ascii="Courier New" w:cs="Courier New" w:eastAsia="Courier New" w:hAnsi="Courier New"/>
          <w:color w:val="4C1D95"/>
          <w:sz w:val="17"/>
          <w:szCs w:val="17"/>
        </w:rPr>
        <w:t xml:space="preserve">CREATE TABLE rules (</w:t>
      </w:r>
    </w:p>
    <w:p>
      <w:pPr>
        <w:spacing w:after="40" w:before="40"/>
        <w:ind w:left="360"/>
      </w:pPr>
      <w:r>
        <w:rPr>
          <w:rFonts w:ascii="Courier New" w:cs="Courier New" w:eastAsia="Courier New" w:hAnsi="Courier New"/>
          <w:color w:val="4C1D95"/>
          <w:sz w:val="17"/>
          <w:szCs w:val="17"/>
        </w:rPr>
        <w:t xml:space="preserve">  id              UUID PRIMARY KEY DEFAULT gen_random_uuid(),</w:t>
      </w:r>
    </w:p>
    <w:p>
      <w:pPr>
        <w:spacing w:after="40" w:before="40"/>
        <w:ind w:left="360"/>
      </w:pPr>
      <w:r>
        <w:rPr>
          <w:rFonts w:ascii="Courier New" w:cs="Courier New" w:eastAsia="Courier New" w:hAnsi="Courier New"/>
          <w:color w:val="4C1D95"/>
          <w:sz w:val="17"/>
          <w:szCs w:val="17"/>
        </w:rPr>
        <w:t xml:space="preserve">  user_id         UUID NOT NULL REFERENCES users(id),</w:t>
      </w:r>
    </w:p>
    <w:p>
      <w:pPr>
        <w:spacing w:after="40" w:before="40"/>
        <w:ind w:left="360"/>
      </w:pPr>
      <w:r>
        <w:rPr>
          <w:rFonts w:ascii="Courier New" w:cs="Courier New" w:eastAsia="Courier New" w:hAnsi="Courier New"/>
          <w:color w:val="4C1D95"/>
          <w:sz w:val="17"/>
          <w:szCs w:val="17"/>
        </w:rPr>
        <w:t xml:space="preserve">  agent_wallet_id UUID NOT NULL REFERENCES agent_wallets(id),</w:t>
      </w:r>
    </w:p>
    <w:p>
      <w:pPr>
        <w:spacing w:after="40" w:before="40"/>
        <w:ind w:left="360"/>
      </w:pPr>
      <w:r>
        <w:rPr>
          <w:rFonts w:ascii="Courier New" w:cs="Courier New" w:eastAsia="Courier New" w:hAnsi="Courier New"/>
          <w:color w:val="4C1D95"/>
          <w:sz w:val="17"/>
          <w:szCs w:val="17"/>
        </w:rPr>
        <w:t xml:space="preserve">  raw_input       TEXT NOT NULL,      -- original English sentence</w:t>
      </w:r>
    </w:p>
    <w:p>
      <w:pPr>
        <w:spacing w:after="40" w:before="40"/>
        <w:ind w:left="360"/>
      </w:pPr>
      <w:r>
        <w:rPr>
          <w:rFonts w:ascii="Courier New" w:cs="Courier New" w:eastAsia="Courier New" w:hAnsi="Courier New"/>
          <w:color w:val="4C1D95"/>
          <w:sz w:val="17"/>
          <w:szCs w:val="17"/>
        </w:rPr>
        <w:t xml:space="preserve">  parsed_rule     JSONB NOT NULL,     -- validated SolAgentRule object</w:t>
      </w:r>
    </w:p>
    <w:p>
      <w:pPr>
        <w:spacing w:after="40" w:before="40"/>
        <w:ind w:left="360"/>
      </w:pPr>
      <w:r>
        <w:rPr>
          <w:rFonts w:ascii="Courier New" w:cs="Courier New" w:eastAsia="Courier New" w:hAnsi="Courier New"/>
          <w:color w:val="4C1D95"/>
          <w:sz w:val="17"/>
          <w:szCs w:val="17"/>
        </w:rPr>
        <w:t xml:space="preserve">  rule_hash       VARCHAR(64) NOT NULL, -- SHA-256(parsed_rule)</w:t>
      </w:r>
    </w:p>
    <w:p>
      <w:pPr>
        <w:spacing w:after="40" w:before="40"/>
        <w:ind w:left="360"/>
      </w:pPr>
      <w:r>
        <w:rPr>
          <w:rFonts w:ascii="Courier New" w:cs="Courier New" w:eastAsia="Courier New" w:hAnsi="Courier New"/>
          <w:color w:val="4C1D95"/>
          <w:sz w:val="17"/>
          <w:szCs w:val="17"/>
        </w:rPr>
        <w:t xml:space="preserve">  status          rule_status NOT NULL DEFAULT 'PENDING_ACTIVATION',</w:t>
      </w:r>
    </w:p>
    <w:p>
      <w:pPr>
        <w:spacing w:after="40" w:before="40"/>
        <w:ind w:left="360"/>
      </w:pPr>
      <w:r>
        <w:rPr>
          <w:rFonts w:ascii="Courier New" w:cs="Courier New" w:eastAsia="Courier New" w:hAnsi="Courier New"/>
          <w:color w:val="4C1D95"/>
          <w:sz w:val="17"/>
          <w:szCs w:val="17"/>
        </w:rPr>
        <w:t xml:space="preserve">  max_amount_usd  NUMERIC(18,6),      -- per-execution circuit breaker</w:t>
      </w:r>
    </w:p>
    <w:p>
      <w:pPr>
        <w:spacing w:after="40" w:before="40"/>
        <w:ind w:left="360"/>
      </w:pPr>
      <w:r>
        <w:rPr>
          <w:rFonts w:ascii="Courier New" w:cs="Courier New" w:eastAsia="Courier New" w:hAnsi="Courier New"/>
          <w:color w:val="4C1D95"/>
          <w:sz w:val="17"/>
          <w:szCs w:val="17"/>
        </w:rPr>
        <w:t xml:space="preserve">  fires_today     INTEGER NOT NULL DEFAULT 0,</w:t>
      </w:r>
    </w:p>
    <w:p>
      <w:pPr>
        <w:spacing w:after="40" w:before="40"/>
        <w:ind w:left="360"/>
      </w:pPr>
      <w:r>
        <w:rPr>
          <w:rFonts w:ascii="Courier New" w:cs="Courier New" w:eastAsia="Courier New" w:hAnsi="Courier New"/>
          <w:color w:val="4C1D95"/>
          <w:sz w:val="17"/>
          <w:szCs w:val="17"/>
        </w:rPr>
        <w:t xml:space="preserve">  max_fires_day   INTEGER NOT NULL DEFAULT 10,</w:t>
      </w:r>
    </w:p>
    <w:p>
      <w:pPr>
        <w:spacing w:after="40" w:before="40"/>
        <w:ind w:left="360"/>
      </w:pPr>
      <w:r>
        <w:rPr>
          <w:rFonts w:ascii="Courier New" w:cs="Courier New" w:eastAsia="Courier New" w:hAnsi="Courier New"/>
          <w:color w:val="4C1D95"/>
          <w:sz w:val="17"/>
          <w:szCs w:val="17"/>
        </w:rPr>
        <w:t xml:space="preserve">  created_at      TIMESTAMPTZ NOT NULL DEFAULT NOW(),</w:t>
      </w:r>
    </w:p>
    <w:p>
      <w:pPr>
        <w:spacing w:after="40" w:before="40"/>
        <w:ind w:left="360"/>
      </w:pPr>
      <w:r>
        <w:rPr>
          <w:rFonts w:ascii="Courier New" w:cs="Courier New" w:eastAsia="Courier New" w:hAnsi="Courier New"/>
          <w:color w:val="4C1D95"/>
          <w:sz w:val="17"/>
          <w:szCs w:val="17"/>
        </w:rPr>
        <w:t xml:space="preserve">  activated_at    TIMESTAMPTZ,</w:t>
      </w:r>
    </w:p>
    <w:p>
      <w:pPr>
        <w:spacing w:after="40" w:before="40"/>
        <w:ind w:left="360"/>
      </w:pPr>
      <w:r>
        <w:rPr>
          <w:rFonts w:ascii="Courier New" w:cs="Courier New" w:eastAsia="Courier New" w:hAnsi="Courier New"/>
          <w:color w:val="4C1D95"/>
          <w:sz w:val="17"/>
          <w:szCs w:val="17"/>
        </w:rPr>
        <w:t xml:space="preserve">  paused_at       TIMESTAMPTZ,</w:t>
      </w:r>
    </w:p>
    <w:p>
      <w:pPr>
        <w:spacing w:after="40" w:before="40"/>
        <w:ind w:left="360"/>
      </w:pPr>
      <w:r>
        <w:rPr>
          <w:rFonts w:ascii="Courier New" w:cs="Courier New" w:eastAsia="Courier New" w:hAnsi="Courier New"/>
          <w:color w:val="4C1D95"/>
          <w:sz w:val="17"/>
          <w:szCs w:val="17"/>
        </w:rPr>
        <w:t xml:space="preserve">  pause_reason    TEXT</w:t>
      </w:r>
    </w:p>
    <w:p>
      <w:pPr>
        <w:spacing w:after="40" w:before="40"/>
        <w:ind w:left="360"/>
      </w:pPr>
      <w:r>
        <w:rPr>
          <w:rFonts w:ascii="Courier New" w:cs="Courier New" w:eastAsia="Courier New" w:hAnsi="Courier New"/>
          <w:color w:val="4C1D95"/>
          <w:sz w:val="17"/>
          <w:szCs w:val="17"/>
        </w:rPr>
        <w:t xml:space="preserve">);</w:t>
      </w:r>
    </w:p>
    <w:p>
      <w:pPr>
        <w:spacing w:after="40" w:before="40"/>
        <w:ind w:left="360"/>
      </w:pPr>
      <w:r>
        <w:rPr>
          <w:rFonts w:ascii="Courier New" w:cs="Courier New" w:eastAsia="Courier New" w:hAnsi="Courier New"/>
          <w:color w:val="4C1D95"/>
          <w:sz w:val="17"/>
          <w:szCs w:val="17"/>
        </w:rPr>
        <w:t xml:space="preserve">CREATE TYPE rule_status AS ENUM (</w:t>
      </w:r>
    </w:p>
    <w:p>
      <w:pPr>
        <w:spacing w:after="40" w:before="40"/>
        <w:ind w:left="360"/>
      </w:pPr>
      <w:r>
        <w:rPr>
          <w:rFonts w:ascii="Courier New" w:cs="Courier New" w:eastAsia="Courier New" w:hAnsi="Courier New"/>
          <w:color w:val="4C1D95"/>
          <w:sz w:val="17"/>
          <w:szCs w:val="17"/>
        </w:rPr>
        <w:t xml:space="preserve">  'PENDING_ACTIVATION', 'ACTIVE', 'PAUSED', 'PAUSED_CIRCUIT_BREAKER',</w:t>
      </w:r>
    </w:p>
    <w:p>
      <w:pPr>
        <w:spacing w:after="40" w:before="40"/>
        <w:ind w:left="360"/>
      </w:pPr>
      <w:r>
        <w:rPr>
          <w:rFonts w:ascii="Courier New" w:cs="Courier New" w:eastAsia="Courier New" w:hAnsi="Courier New"/>
          <w:color w:val="4C1D95"/>
          <w:sz w:val="17"/>
          <w:szCs w:val="17"/>
        </w:rPr>
        <w:t xml:space="preserve">  'COMPLETED', 'ARCHIVED'</w:t>
      </w:r>
    </w:p>
    <w:p>
      <w:pPr>
        <w:spacing w:after="40" w:before="40"/>
        <w:ind w:left="360"/>
      </w:pPr>
      <w:r>
        <w:rPr>
          <w:rFonts w:ascii="Courier New" w:cs="Courier New" w:eastAsia="Courier New" w:hAnsi="Courier New"/>
          <w:color w:val="4C1D95"/>
          <w:sz w:val="17"/>
          <w:szCs w:val="17"/>
        </w:rPr>
        <w:t xml:space="preserve">);</w:t>
      </w:r>
    </w:p>
    <w:p>
      <w:pPr>
        <w:spacing w:after="0" w:before="40"/>
      </w:pPr>
      <w:r>
        <w:t xml:space="preserve"/>
      </w:r>
    </w:p>
    <w:p>
      <w:pPr>
        <w:spacing w:after="40" w:before="40"/>
        <w:ind w:left="360"/>
      </w:pPr>
      <w:r>
        <w:rPr>
          <w:rFonts w:ascii="Courier New" w:cs="Courier New" w:eastAsia="Courier New" w:hAnsi="Courier New"/>
          <w:color w:val="4C1D95"/>
          <w:sz w:val="17"/>
          <w:szCs w:val="17"/>
        </w:rPr>
        <w:t xml:space="preserve">-- Execution log table (idempotency + audit)</w:t>
      </w:r>
    </w:p>
    <w:p>
      <w:pPr>
        <w:spacing w:after="40" w:before="40"/>
        <w:ind w:left="360"/>
      </w:pPr>
      <w:r>
        <w:rPr>
          <w:rFonts w:ascii="Courier New" w:cs="Courier New" w:eastAsia="Courier New" w:hAnsi="Courier New"/>
          <w:color w:val="4C1D95"/>
          <w:sz w:val="17"/>
          <w:szCs w:val="17"/>
        </w:rPr>
        <w:t xml:space="preserve">CREATE TABLE execution_log (</w:t>
      </w:r>
    </w:p>
    <w:p>
      <w:pPr>
        <w:spacing w:after="40" w:before="40"/>
        <w:ind w:left="360"/>
      </w:pPr>
      <w:r>
        <w:rPr>
          <w:rFonts w:ascii="Courier New" w:cs="Courier New" w:eastAsia="Courier New" w:hAnsi="Courier New"/>
          <w:color w:val="4C1D95"/>
          <w:sz w:val="17"/>
          <w:szCs w:val="17"/>
        </w:rPr>
        <w:t xml:space="preserve">  id                UUID PRIMARY KEY DEFAULT gen_random_uuid(),</w:t>
      </w:r>
    </w:p>
    <w:p>
      <w:pPr>
        <w:spacing w:after="40" w:before="40"/>
        <w:ind w:left="360"/>
      </w:pPr>
      <w:r>
        <w:rPr>
          <w:rFonts w:ascii="Courier New" w:cs="Courier New" w:eastAsia="Courier New" w:hAnsi="Courier New"/>
          <w:color w:val="4C1D95"/>
          <w:sz w:val="17"/>
          <w:szCs w:val="17"/>
        </w:rPr>
        <w:t xml:space="preserve">  rule_id           UUID NOT NULL REFERENCES rules(id),</w:t>
      </w:r>
    </w:p>
    <w:p>
      <w:pPr>
        <w:spacing w:after="40" w:before="40"/>
        <w:ind w:left="360"/>
      </w:pPr>
      <w:r>
        <w:rPr>
          <w:rFonts w:ascii="Courier New" w:cs="Courier New" w:eastAsia="Courier New" w:hAnsi="Courier New"/>
          <w:color w:val="4C1D95"/>
          <w:sz w:val="17"/>
          <w:szCs w:val="17"/>
        </w:rPr>
        <w:t xml:space="preserve">  idempotency_key   VARCHAR(64) UNIQUE NOT NULL, -- SHA-256(rule_id+event_sig+slot)</w:t>
      </w:r>
    </w:p>
    <w:p>
      <w:pPr>
        <w:spacing w:after="40" w:before="40"/>
        <w:ind w:left="360"/>
      </w:pPr>
      <w:r>
        <w:rPr>
          <w:rFonts w:ascii="Courier New" w:cs="Courier New" w:eastAsia="Courier New" w:hAnsi="Courier New"/>
          <w:color w:val="4C1D95"/>
          <w:sz w:val="17"/>
          <w:szCs w:val="17"/>
        </w:rPr>
        <w:t xml:space="preserve">  status            exec_status NOT NULL DEFAULT 'PROCESSING',</w:t>
      </w:r>
    </w:p>
    <w:p>
      <w:pPr>
        <w:spacing w:after="40" w:before="40"/>
        <w:ind w:left="360"/>
      </w:pPr>
      <w:r>
        <w:rPr>
          <w:rFonts w:ascii="Courier New" w:cs="Courier New" w:eastAsia="Courier New" w:hAnsi="Courier New"/>
          <w:color w:val="4C1D95"/>
          <w:sz w:val="17"/>
          <w:szCs w:val="17"/>
        </w:rPr>
        <w:t xml:space="preserve">  trigger_event_sig VARCHAR(88),     -- Solana tx signature that triggered</w:t>
      </w:r>
    </w:p>
    <w:p>
      <w:pPr>
        <w:spacing w:after="40" w:before="40"/>
        <w:ind w:left="360"/>
      </w:pPr>
      <w:r>
        <w:rPr>
          <w:rFonts w:ascii="Courier New" w:cs="Courier New" w:eastAsia="Courier New" w:hAnsi="Courier New"/>
          <w:color w:val="4C1D95"/>
          <w:sz w:val="17"/>
          <w:szCs w:val="17"/>
        </w:rPr>
        <w:t xml:space="preserve">  trigger_slot      BIGINT,</w:t>
      </w:r>
    </w:p>
    <w:p>
      <w:pPr>
        <w:spacing w:after="40" w:before="40"/>
        <w:ind w:left="360"/>
      </w:pPr>
      <w:r>
        <w:rPr>
          <w:rFonts w:ascii="Courier New" w:cs="Courier New" w:eastAsia="Courier New" w:hAnsi="Courier New"/>
          <w:color w:val="4C1D95"/>
          <w:sz w:val="17"/>
          <w:szCs w:val="17"/>
        </w:rPr>
        <w:t xml:space="preserve">  tx_signature      VARCHAR(88),     -- execution tx signature</w:t>
      </w:r>
    </w:p>
    <w:p>
      <w:pPr>
        <w:spacing w:after="40" w:before="40"/>
        <w:ind w:left="360"/>
      </w:pPr>
      <w:r>
        <w:rPr>
          <w:rFonts w:ascii="Courier New" w:cs="Courier New" w:eastAsia="Courier New" w:hAnsi="Courier New"/>
          <w:color w:val="4C1D95"/>
          <w:sz w:val="17"/>
          <w:szCs w:val="17"/>
        </w:rPr>
        <w:t xml:space="preserve">  memo_json         JSONB,           -- copy of on-chain memo</w:t>
      </w:r>
    </w:p>
    <w:p>
      <w:pPr>
        <w:spacing w:after="40" w:before="40"/>
        <w:ind w:left="360"/>
      </w:pPr>
      <w:r>
        <w:rPr>
          <w:rFonts w:ascii="Courier New" w:cs="Courier New" w:eastAsia="Courier New" w:hAnsi="Courier New"/>
          <w:color w:val="4C1D95"/>
          <w:sz w:val="17"/>
          <w:szCs w:val="17"/>
        </w:rPr>
        <w:t xml:space="preserve">  jupiter_price     NUMERIC(18,6),</w:t>
      </w:r>
    </w:p>
    <w:p>
      <w:pPr>
        <w:spacing w:after="40" w:before="40"/>
        <w:ind w:left="360"/>
      </w:pPr>
      <w:r>
        <w:rPr>
          <w:rFonts w:ascii="Courier New" w:cs="Courier New" w:eastAsia="Courier New" w:hAnsi="Courier New"/>
          <w:color w:val="4C1D95"/>
          <w:sz w:val="17"/>
          <w:szCs w:val="17"/>
        </w:rPr>
        <w:t xml:space="preserve">  pyth_price        NUMERIC(18,6),</w:t>
      </w:r>
    </w:p>
    <w:p>
      <w:pPr>
        <w:spacing w:after="40" w:before="40"/>
        <w:ind w:left="360"/>
      </w:pPr>
      <w:r>
        <w:rPr>
          <w:rFonts w:ascii="Courier New" w:cs="Courier New" w:eastAsia="Courier New" w:hAnsi="Courier New"/>
          <w:color w:val="4C1D95"/>
          <w:sz w:val="17"/>
          <w:szCs w:val="17"/>
        </w:rPr>
        <w:t xml:space="preserve">  price_deviation   NUMERIC(8,4),</w:t>
      </w:r>
    </w:p>
    <w:p>
      <w:pPr>
        <w:spacing w:after="40" w:before="40"/>
        <w:ind w:left="360"/>
      </w:pPr>
      <w:r>
        <w:rPr>
          <w:rFonts w:ascii="Courier New" w:cs="Courier New" w:eastAsia="Courier New" w:hAnsi="Courier New"/>
          <w:color w:val="4C1D95"/>
          <w:sz w:val="17"/>
          <w:szCs w:val="17"/>
        </w:rPr>
        <w:t xml:space="preserve">  error_code        VARCHAR(64),</w:t>
      </w:r>
    </w:p>
    <w:p>
      <w:pPr>
        <w:spacing w:after="40" w:before="40"/>
        <w:ind w:left="360"/>
      </w:pPr>
      <w:r>
        <w:rPr>
          <w:rFonts w:ascii="Courier New" w:cs="Courier New" w:eastAsia="Courier New" w:hAnsi="Courier New"/>
          <w:color w:val="4C1D95"/>
          <w:sz w:val="17"/>
          <w:szCs w:val="17"/>
        </w:rPr>
        <w:t xml:space="preserve">  error_detail      TEXT,</w:t>
      </w:r>
    </w:p>
    <w:p>
      <w:pPr>
        <w:spacing w:after="40" w:before="40"/>
        <w:ind w:left="360"/>
      </w:pPr>
      <w:r>
        <w:rPr>
          <w:rFonts w:ascii="Courier New" w:cs="Courier New" w:eastAsia="Courier New" w:hAnsi="Courier New"/>
          <w:color w:val="4C1D95"/>
          <w:sz w:val="17"/>
          <w:szCs w:val="17"/>
        </w:rPr>
        <w:t xml:space="preserve">  created_at        TIMESTAMPTZ NOT NULL DEFAULT NOW(),</w:t>
      </w:r>
    </w:p>
    <w:p>
      <w:pPr>
        <w:spacing w:after="40" w:before="40"/>
        <w:ind w:left="360"/>
      </w:pPr>
      <w:r>
        <w:rPr>
          <w:rFonts w:ascii="Courier New" w:cs="Courier New" w:eastAsia="Courier New" w:hAnsi="Courier New"/>
          <w:color w:val="4C1D95"/>
          <w:sz w:val="17"/>
          <w:szCs w:val="17"/>
        </w:rPr>
        <w:t xml:space="preserve">  confirmed_at      TIMESTAMPTZ</w:t>
      </w:r>
    </w:p>
    <w:p>
      <w:pPr>
        <w:spacing w:after="40" w:before="40"/>
        <w:ind w:left="360"/>
      </w:pPr>
      <w:r>
        <w:rPr>
          <w:rFonts w:ascii="Courier New" w:cs="Courier New" w:eastAsia="Courier New" w:hAnsi="Courier New"/>
          <w:color w:val="4C1D95"/>
          <w:sz w:val="17"/>
          <w:szCs w:val="17"/>
        </w:rPr>
        <w:t xml:space="preserve">);</w:t>
      </w:r>
    </w:p>
    <w:p>
      <w:pPr>
        <w:spacing w:after="40" w:before="40"/>
        <w:ind w:left="360"/>
      </w:pPr>
      <w:r>
        <w:rPr>
          <w:rFonts w:ascii="Courier New" w:cs="Courier New" w:eastAsia="Courier New" w:hAnsi="Courier New"/>
          <w:color w:val="4C1D95"/>
          <w:sz w:val="17"/>
          <w:szCs w:val="17"/>
        </w:rPr>
        <w:t xml:space="preserve">CREATE TYPE exec_status AS ENUM (</w:t>
      </w:r>
    </w:p>
    <w:p>
      <w:pPr>
        <w:spacing w:after="40" w:before="40"/>
        <w:ind w:left="360"/>
      </w:pPr>
      <w:r>
        <w:rPr>
          <w:rFonts w:ascii="Courier New" w:cs="Courier New" w:eastAsia="Courier New" w:hAnsi="Courier New"/>
          <w:color w:val="4C1D95"/>
          <w:sz w:val="17"/>
          <w:szCs w:val="17"/>
        </w:rPr>
        <w:t xml:space="preserve">  'PROCESSING', 'CONFIRMED', 'FAILED', 'DUPLICATE_DISCARDED',</w:t>
      </w:r>
    </w:p>
    <w:p>
      <w:pPr>
        <w:spacing w:after="40" w:before="40"/>
        <w:ind w:left="360"/>
      </w:pPr>
      <w:r>
        <w:rPr>
          <w:rFonts w:ascii="Courier New" w:cs="Courier New" w:eastAsia="Courier New" w:hAnsi="Courier New"/>
          <w:color w:val="4C1D95"/>
          <w:sz w:val="17"/>
          <w:szCs w:val="17"/>
        </w:rPr>
        <w:t xml:space="preserve">  'STALE_CONDITION', 'PRICE_DEVIATION_ABORT', 'CIRCUIT_BREAKER_HALT',</w:t>
      </w:r>
    </w:p>
    <w:p>
      <w:pPr>
        <w:spacing w:after="40" w:before="40"/>
        <w:ind w:left="360"/>
      </w:pPr>
      <w:r>
        <w:rPr>
          <w:rFonts w:ascii="Courier New" w:cs="Courier New" w:eastAsia="Courier New" w:hAnsi="Courier New"/>
          <w:color w:val="4C1D95"/>
          <w:sz w:val="17"/>
          <w:szCs w:val="17"/>
        </w:rPr>
        <w:t xml:space="preserve">  'INSUFFICIENT_FUNDS'</w:t>
      </w:r>
    </w:p>
    <w:p>
      <w:pPr>
        <w:spacing w:after="40" w:before="40"/>
        <w:ind w:left="360"/>
      </w:pPr>
      <w:r>
        <w:rPr>
          <w:rFonts w:ascii="Courier New" w:cs="Courier New" w:eastAsia="Courier New" w:hAnsi="Courier New"/>
          <w:color w:val="4C1D95"/>
          <w:sz w:val="17"/>
          <w:szCs w:val="17"/>
        </w:rPr>
        <w:t xml:space="preserve">);</w:t>
      </w:r>
    </w:p>
    <w:p>
      <w:pPr>
        <w:spacing w:after="0" w:before="80"/>
      </w:pPr>
      <w:r>
        <w:t xml:space="preserve"/>
      </w:r>
    </w:p>
    <w:p>
      <w:pPr>
        <w:pBdr>
          <w:left w:val="single" w:color="1D4ED8" w:sz="20" w:space="8"/>
        </w:pBdr>
        <w:shd w:fill="DBEAFE" w:val="clear"/>
        <w:spacing w:after="140" w:before="140"/>
        <w:ind w:left="240"/>
      </w:pPr>
      <w:r>
        <w:rPr>
          <w:rFonts w:ascii="Arial" w:cs="Arial" w:eastAsia="Arial" w:hAnsi="Arial"/>
          <w:b/>
          <w:bCs/>
          <w:color w:val="1D4ED8"/>
          <w:sz w:val="19"/>
          <w:szCs w:val="19"/>
        </w:rPr>
        <w:t xml:space="preserve">NOTE  </w:t>
      </w:r>
      <w:r>
        <w:rPr>
          <w:rFonts w:ascii="Arial" w:cs="Arial" w:eastAsia="Arial" w:hAnsi="Arial"/>
          <w:color w:val="111827"/>
          <w:sz w:val="19"/>
          <w:szCs w:val="19"/>
        </w:rPr>
        <w:t xml:space="preserve">All tables use TIMESTAMPTZ (not TIMESTAMP) for timezone-correct time storage. All IDs are UUID v4 — not sequential integers — to prevent enumeration attacks on the public audit API. JSONB columns allow efficient indexing and querying of nested rule and memo data.</w:t>
      </w:r>
    </w:p>
    <w:p>
      <w:pPr>
        <w:spacing w:after="0" w:before="120"/>
      </w:pPr>
      <w:r>
        <w:t xml:space="preserve"/>
      </w:r>
    </w:p>
    <w:p>
      <w:r>
        <w:br w:type="page"/>
      </w:r>
    </w:p>
    <w:p>
      <w:pPr>
        <w:pStyle w:val="Heading1"/>
        <w:pBdr>
          <w:bottom w:val="single" w:color="6D28D9" w:sz="6" w:space="6"/>
        </w:pBdr>
        <w:spacing w:after="180" w:before="480"/>
      </w:pPr>
      <w:r>
        <w:rPr>
          <w:rFonts w:ascii="Arial" w:cs="Arial" w:eastAsia="Arial" w:hAnsi="Arial"/>
          <w:b/>
          <w:bCs/>
          <w:color w:val="4C1D95"/>
          <w:sz w:val="40"/>
          <w:szCs w:val="40"/>
        </w:rPr>
        <w:t xml:space="preserve">10. API Specification</w:t>
      </w:r>
    </w:p>
    <w:p>
      <w:pPr>
        <w:pStyle w:val="Heading2"/>
        <w:spacing w:after="120" w:before="300"/>
      </w:pPr>
      <w:r>
        <w:rPr>
          <w:rFonts w:ascii="Arial" w:cs="Arial" w:eastAsia="Arial" w:hAnsi="Arial"/>
          <w:b/>
          <w:bCs/>
          <w:color w:val="6D28D9"/>
          <w:sz w:val="28"/>
          <w:szCs w:val="28"/>
        </w:rPr>
        <w:t xml:space="preserve">10.1  Authentication</w:t>
      </w:r>
    </w:p>
    <w:p>
      <w:pPr>
        <w:spacing w:after="80" w:before="80"/>
      </w:pPr>
      <w:r>
        <w:rPr>
          <w:rFonts w:ascii="Arial" w:cs="Arial" w:eastAsia="Arial" w:hAnsi="Arial"/>
          <w:b w:val="false"/>
          <w:bCs w:val="false"/>
          <w:color w:val="374151"/>
          <w:sz w:val="19"/>
          <w:szCs w:val="19"/>
        </w:rPr>
        <w:t xml:space="preserve">All write endpoints require a JWT in the Authorization header. JWTs are issued after Sign-In With Solana (SIWS):</w:t>
      </w:r>
    </w:p>
    <w:p>
      <w:pPr>
        <w:pStyle w:val="ListParagraph"/>
        <w:numPr>
          <w:ilvl w:val="0"/>
          <w:numId w:val="2"/>
        </w:numPr>
        <w:spacing w:after="50" w:before="50"/>
      </w:pPr>
      <w:r>
        <w:rPr>
          <w:rFonts w:ascii="Arial" w:cs="Arial" w:eastAsia="Arial" w:hAnsi="Arial"/>
          <w:color w:val="374151"/>
          <w:sz w:val="19"/>
          <w:szCs w:val="19"/>
        </w:rPr>
        <w:t xml:space="preserve">Client generates a nonce from the server (GET /auth/nonce).</w:t>
      </w:r>
    </w:p>
    <w:p>
      <w:pPr>
        <w:pStyle w:val="ListParagraph"/>
        <w:numPr>
          <w:ilvl w:val="0"/>
          <w:numId w:val="2"/>
        </w:numPr>
        <w:spacing w:after="50" w:before="50"/>
      </w:pPr>
      <w:r>
        <w:rPr>
          <w:rFonts w:ascii="Arial" w:cs="Arial" w:eastAsia="Arial" w:hAnsi="Arial"/>
          <w:color w:val="374151"/>
          <w:sz w:val="19"/>
          <w:szCs w:val="19"/>
        </w:rPr>
        <w:t xml:space="preserve">Client signs the SIWS message with their Phantom/Solflare wallet.</w:t>
      </w:r>
    </w:p>
    <w:p>
      <w:pPr>
        <w:pStyle w:val="ListParagraph"/>
        <w:numPr>
          <w:ilvl w:val="0"/>
          <w:numId w:val="2"/>
        </w:numPr>
        <w:spacing w:after="50" w:before="50"/>
      </w:pPr>
      <w:r>
        <w:rPr>
          <w:rFonts w:ascii="Arial" w:cs="Arial" w:eastAsia="Arial" w:hAnsi="Arial"/>
          <w:color w:val="374151"/>
          <w:sz w:val="19"/>
          <w:szCs w:val="19"/>
        </w:rPr>
        <w:t xml:space="preserve">Client POSTs signature to POST /auth/verify.</w:t>
      </w:r>
    </w:p>
    <w:p>
      <w:pPr>
        <w:pStyle w:val="ListParagraph"/>
        <w:numPr>
          <w:ilvl w:val="0"/>
          <w:numId w:val="2"/>
        </w:numPr>
        <w:spacing w:after="50" w:before="50"/>
      </w:pPr>
      <w:r>
        <w:rPr>
          <w:rFonts w:ascii="Arial" w:cs="Arial" w:eastAsia="Arial" w:hAnsi="Arial"/>
          <w:color w:val="374151"/>
          <w:sz w:val="19"/>
          <w:szCs w:val="19"/>
        </w:rPr>
        <w:t xml:space="preserve">Server verifies signature using @solana/web3.js verifySignature. Issues JWT on success.</w:t>
      </w:r>
    </w:p>
    <w:p>
      <w:pPr>
        <w:spacing w:after="0" w:before="60"/>
      </w:pPr>
      <w:r>
        <w:t xml:space="preserve"/>
      </w:r>
    </w:p>
    <w:p>
      <w:pPr>
        <w:spacing w:after="40" w:before="40"/>
        <w:ind w:left="360"/>
      </w:pPr>
      <w:r>
        <w:rPr>
          <w:rFonts w:ascii="Courier New" w:cs="Courier New" w:eastAsia="Courier New" w:hAnsi="Courier New"/>
          <w:color w:val="4C1D95"/>
          <w:sz w:val="17"/>
          <w:szCs w:val="17"/>
        </w:rPr>
        <w:t xml:space="preserve">POST /auth/verify</w:t>
      </w:r>
    </w:p>
    <w:p>
      <w:pPr>
        <w:spacing w:after="40" w:before="40"/>
        <w:ind w:left="360"/>
      </w:pPr>
      <w:r>
        <w:rPr>
          <w:rFonts w:ascii="Courier New" w:cs="Courier New" w:eastAsia="Courier New" w:hAnsi="Courier New"/>
          <w:color w:val="4C1D95"/>
          <w:sz w:val="17"/>
          <w:szCs w:val="17"/>
        </w:rPr>
        <w:t xml:space="preserve">Body: { wallet: "7xKp...4rNs", signature: "base64...", nonce: "abc123" }</w:t>
      </w:r>
    </w:p>
    <w:p>
      <w:pPr>
        <w:spacing w:after="40" w:before="40"/>
        <w:ind w:left="360"/>
      </w:pPr>
      <w:r>
        <w:rPr>
          <w:rFonts w:ascii="Courier New" w:cs="Courier New" w:eastAsia="Courier New" w:hAnsi="Courier New"/>
          <w:color w:val="4C1D95"/>
          <w:sz w:val="17"/>
          <w:szCs w:val="17"/>
        </w:rPr>
        <w:t xml:space="preserve">Response 200: { token: "eyJ...", expires_at: "2025-01-02T00:00:00Z" }</w:t>
      </w:r>
    </w:p>
    <w:p>
      <w:pPr>
        <w:spacing w:after="0" w:before="80"/>
      </w:pPr>
      <w:r>
        <w:t xml:space="preserve"/>
      </w:r>
    </w:p>
    <w:p>
      <w:pPr>
        <w:pStyle w:val="Heading2"/>
        <w:spacing w:after="120" w:before="300"/>
      </w:pPr>
      <w:r>
        <w:rPr>
          <w:rFonts w:ascii="Arial" w:cs="Arial" w:eastAsia="Arial" w:hAnsi="Arial"/>
          <w:b/>
          <w:bCs/>
          <w:color w:val="6D28D9"/>
          <w:sz w:val="28"/>
          <w:szCs w:val="28"/>
        </w:rPr>
        <w:t xml:space="preserve">10.2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800"/>
        <w:gridCol w:w="1400"/>
        <w:gridCol w:w="3860"/>
      </w:tblGrid>
      <w:tr>
        <w:tc>
          <w:tcPr>
            <w:tcW w:type="dxa" w:w="70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vAlign w:val="top"/>
          </w:tcPr>
          <w:p>
            <w:pPr>
              <w:spacing w:after="20" w:before="20"/>
              <w:jc w:val="left"/>
            </w:pPr>
            <w:r>
              <w:rPr>
                <w:rFonts w:ascii="Arial" w:cs="Arial" w:eastAsia="Arial" w:hAnsi="Arial"/>
                <w:b/>
                <w:bCs/>
                <w:i w:val="false"/>
                <w:iCs w:val="false"/>
                <w:color w:val="FFFFFF"/>
                <w:sz w:val="19"/>
                <w:szCs w:val="19"/>
              </w:rPr>
              <w:t xml:space="preserve">Method</w:t>
            </w:r>
          </w:p>
        </w:tc>
        <w:tc>
          <w:tcPr>
            <w:tcW w:type="dxa" w:w="260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vAlign w:val="top"/>
          </w:tcPr>
          <w:p>
            <w:pPr>
              <w:spacing w:after="20" w:before="20"/>
              <w:jc w:val="left"/>
            </w:pPr>
            <w:r>
              <w:rPr>
                <w:rFonts w:ascii="Arial" w:cs="Arial" w:eastAsia="Arial" w:hAnsi="Arial"/>
                <w:b/>
                <w:bCs/>
                <w:i w:val="false"/>
                <w:iCs w:val="false"/>
                <w:color w:val="FFFFFF"/>
                <w:sz w:val="19"/>
                <w:szCs w:val="19"/>
              </w:rPr>
              <w:t xml:space="preserve">Endpoint</w:t>
            </w:r>
          </w:p>
        </w:tc>
        <w:tc>
          <w:tcPr>
            <w:tcW w:type="dxa" w:w="80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vAlign w:val="top"/>
          </w:tcPr>
          <w:p>
            <w:pPr>
              <w:spacing w:after="20" w:before="20"/>
              <w:jc w:val="left"/>
            </w:pPr>
            <w:r>
              <w:rPr>
                <w:rFonts w:ascii="Arial" w:cs="Arial" w:eastAsia="Arial" w:hAnsi="Arial"/>
                <w:b/>
                <w:bCs/>
                <w:i w:val="false"/>
                <w:iCs w:val="false"/>
                <w:color w:val="FFFFFF"/>
                <w:sz w:val="19"/>
                <w:szCs w:val="19"/>
              </w:rPr>
              <w:t xml:space="preserve">Auth</w:t>
            </w:r>
          </w:p>
        </w:tc>
        <w:tc>
          <w:tcPr>
            <w:tcW w:type="dxa" w:w="140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vAlign w:val="top"/>
          </w:tcPr>
          <w:p>
            <w:pPr>
              <w:spacing w:after="20" w:before="20"/>
              <w:jc w:val="left"/>
            </w:pPr>
            <w:r>
              <w:rPr>
                <w:rFonts w:ascii="Arial" w:cs="Arial" w:eastAsia="Arial" w:hAnsi="Arial"/>
                <w:b/>
                <w:bCs/>
                <w:i w:val="false"/>
                <w:iCs w:val="false"/>
                <w:color w:val="FFFFFF"/>
                <w:sz w:val="19"/>
                <w:szCs w:val="19"/>
              </w:rPr>
              <w:t xml:space="preserve">Rate Limit</w:t>
            </w:r>
          </w:p>
        </w:tc>
        <w:tc>
          <w:tcPr>
            <w:tcW w:type="dxa" w:w="386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vAlign w:val="top"/>
          </w:tcPr>
          <w:p>
            <w:pPr>
              <w:spacing w:after="20" w:before="20"/>
              <w:jc w:val="left"/>
            </w:pPr>
            <w:r>
              <w:rPr>
                <w:rFonts w:ascii="Arial" w:cs="Arial" w:eastAsia="Arial" w:hAnsi="Arial"/>
                <w:b/>
                <w:bCs/>
                <w:i w:val="false"/>
                <w:iCs w:val="false"/>
                <w:color w:val="FFFFFF"/>
                <w:sz w:val="19"/>
                <w:szCs w:val="19"/>
              </w:rPr>
              <w:t xml:space="preserve">Description</w:t>
            </w:r>
          </w:p>
        </w:tc>
      </w:tr>
      <w:tr>
        <w:tc>
          <w:tcPr>
            <w:tcW w:type="dxa" w:w="7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POST</w:t>
            </w:r>
          </w:p>
        </w:tc>
        <w:tc>
          <w:tcPr>
            <w:tcW w:type="dxa" w:w="26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/auth/verify</w:t>
            </w:r>
          </w:p>
        </w:tc>
        <w:tc>
          <w:tcPr>
            <w:tcW w:type="dxa" w:w="8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None</w:t>
            </w:r>
          </w:p>
        </w:tc>
        <w:tc>
          <w:tcPr>
            <w:tcW w:type="dxa" w:w="14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20/min/IP</w:t>
            </w:r>
          </w:p>
        </w:tc>
        <w:tc>
          <w:tcPr>
            <w:tcW w:type="dxa" w:w="386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Exchange SIWS signature for JWT</w:t>
            </w:r>
          </w:p>
        </w:tc>
      </w:tr>
      <w:tr>
        <w:tc>
          <w:tcPr>
            <w:tcW w:type="dxa" w:w="7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POST</w:t>
            </w:r>
          </w:p>
        </w:tc>
        <w:tc>
          <w:tcPr>
            <w:tcW w:type="dxa" w:w="26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/rules</w:t>
            </w:r>
          </w:p>
        </w:tc>
        <w:tc>
          <w:tcPr>
            <w:tcW w:type="dxa" w:w="8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JWT</w:t>
            </w:r>
          </w:p>
        </w:tc>
        <w:tc>
          <w:tcPr>
            <w:tcW w:type="dxa" w:w="14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10/hour/wallet</w:t>
            </w:r>
          </w:p>
        </w:tc>
        <w:tc>
          <w:tcPr>
            <w:tcW w:type="dxa" w:w="386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Create and activate a new rule</w:t>
            </w:r>
          </w:p>
        </w:tc>
      </w:tr>
      <w:tr>
        <w:tc>
          <w:tcPr>
            <w:tcW w:type="dxa" w:w="7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GET</w:t>
            </w:r>
          </w:p>
        </w:tc>
        <w:tc>
          <w:tcPr>
            <w:tcW w:type="dxa" w:w="26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/rules</w:t>
            </w:r>
          </w:p>
        </w:tc>
        <w:tc>
          <w:tcPr>
            <w:tcW w:type="dxa" w:w="8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JWT</w:t>
            </w:r>
          </w:p>
        </w:tc>
        <w:tc>
          <w:tcPr>
            <w:tcW w:type="dxa" w:w="14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60/min/wallet</w:t>
            </w:r>
          </w:p>
        </w:tc>
        <w:tc>
          <w:tcPr>
            <w:tcW w:type="dxa" w:w="386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List all rules for authenticated wallet</w:t>
            </w:r>
          </w:p>
        </w:tc>
      </w:tr>
      <w:tr>
        <w:tc>
          <w:tcPr>
            <w:tcW w:type="dxa" w:w="7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GET</w:t>
            </w:r>
          </w:p>
        </w:tc>
        <w:tc>
          <w:tcPr>
            <w:tcW w:type="dxa" w:w="26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/rules/:id</w:t>
            </w:r>
          </w:p>
        </w:tc>
        <w:tc>
          <w:tcPr>
            <w:tcW w:type="dxa" w:w="8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JWT</w:t>
            </w:r>
          </w:p>
        </w:tc>
        <w:tc>
          <w:tcPr>
            <w:tcW w:type="dxa" w:w="14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60/min/wallet</w:t>
            </w:r>
          </w:p>
        </w:tc>
        <w:tc>
          <w:tcPr>
            <w:tcW w:type="dxa" w:w="386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Get single rule with full history</w:t>
            </w:r>
          </w:p>
        </w:tc>
      </w:tr>
      <w:tr>
        <w:tc>
          <w:tcPr>
            <w:tcW w:type="dxa" w:w="7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PATCH</w:t>
            </w:r>
          </w:p>
        </w:tc>
        <w:tc>
          <w:tcPr>
            <w:tcW w:type="dxa" w:w="26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/rules/:id/pause</w:t>
            </w:r>
          </w:p>
        </w:tc>
        <w:tc>
          <w:tcPr>
            <w:tcW w:type="dxa" w:w="8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JWT</w:t>
            </w:r>
          </w:p>
        </w:tc>
        <w:tc>
          <w:tcPr>
            <w:tcW w:type="dxa" w:w="14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30/min/wallet</w:t>
            </w:r>
          </w:p>
        </w:tc>
        <w:tc>
          <w:tcPr>
            <w:tcW w:type="dxa" w:w="386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Pause an active rule</w:t>
            </w:r>
          </w:p>
        </w:tc>
      </w:tr>
      <w:tr>
        <w:tc>
          <w:tcPr>
            <w:tcW w:type="dxa" w:w="7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PATCH</w:t>
            </w:r>
          </w:p>
        </w:tc>
        <w:tc>
          <w:tcPr>
            <w:tcW w:type="dxa" w:w="26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/rules/:id/activate</w:t>
            </w:r>
          </w:p>
        </w:tc>
        <w:tc>
          <w:tcPr>
            <w:tcW w:type="dxa" w:w="8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JWT</w:t>
            </w:r>
          </w:p>
        </w:tc>
        <w:tc>
          <w:tcPr>
            <w:tcW w:type="dxa" w:w="14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30/min/wallet</w:t>
            </w:r>
          </w:p>
        </w:tc>
        <w:tc>
          <w:tcPr>
            <w:tcW w:type="dxa" w:w="386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Re-activate a paused rule</w:t>
            </w:r>
          </w:p>
        </w:tc>
      </w:tr>
      <w:tr>
        <w:tc>
          <w:tcPr>
            <w:tcW w:type="dxa" w:w="7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DELETE</w:t>
            </w:r>
          </w:p>
        </w:tc>
        <w:tc>
          <w:tcPr>
            <w:tcW w:type="dxa" w:w="26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/rules/:id</w:t>
            </w:r>
          </w:p>
        </w:tc>
        <w:tc>
          <w:tcPr>
            <w:tcW w:type="dxa" w:w="8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JWT</w:t>
            </w:r>
          </w:p>
        </w:tc>
        <w:tc>
          <w:tcPr>
            <w:tcW w:type="dxa" w:w="14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10/hour/wallet</w:t>
            </w:r>
          </w:p>
        </w:tc>
        <w:tc>
          <w:tcPr>
            <w:tcW w:type="dxa" w:w="386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Archive a rule (soft delete)</w:t>
            </w:r>
          </w:p>
        </w:tc>
      </w:tr>
      <w:tr>
        <w:tc>
          <w:tcPr>
            <w:tcW w:type="dxa" w:w="7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POST</w:t>
            </w:r>
          </w:p>
        </w:tc>
        <w:tc>
          <w:tcPr>
            <w:tcW w:type="dxa" w:w="26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/rules/simulate</w:t>
            </w:r>
          </w:p>
        </w:tc>
        <w:tc>
          <w:tcPr>
            <w:tcW w:type="dxa" w:w="8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JWT</w:t>
            </w:r>
          </w:p>
        </w:tc>
        <w:tc>
          <w:tcPr>
            <w:tcW w:type="dxa" w:w="14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5/min/wallet</w:t>
            </w:r>
          </w:p>
        </w:tc>
        <w:tc>
          <w:tcPr>
            <w:tcW w:type="dxa" w:w="386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Run 7-day replay simulation for a rule</w:t>
            </w:r>
          </w:p>
        </w:tc>
      </w:tr>
      <w:tr>
        <w:tc>
          <w:tcPr>
            <w:tcW w:type="dxa" w:w="7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GET</w:t>
            </w:r>
          </w:p>
        </w:tc>
        <w:tc>
          <w:tcPr>
            <w:tcW w:type="dxa" w:w="26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/audit/:wallet_pubkey</w:t>
            </w:r>
          </w:p>
        </w:tc>
        <w:tc>
          <w:tcPr>
            <w:tcW w:type="dxa" w:w="8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None</w:t>
            </w:r>
          </w:p>
        </w:tc>
        <w:tc>
          <w:tcPr>
            <w:tcW w:type="dxa" w:w="14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30/min/IP</w:t>
            </w:r>
          </w:p>
        </w:tc>
        <w:tc>
          <w:tcPr>
            <w:tcW w:type="dxa" w:w="386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Public: get execution history for any wallet</w:t>
            </w:r>
          </w:p>
        </w:tc>
      </w:tr>
      <w:tr>
        <w:tc>
          <w:tcPr>
            <w:tcW w:type="dxa" w:w="7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GET</w:t>
            </w:r>
          </w:p>
        </w:tc>
        <w:tc>
          <w:tcPr>
            <w:tcW w:type="dxa" w:w="26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/audit/:wallet_pubkey/stats</w:t>
            </w:r>
          </w:p>
        </w:tc>
        <w:tc>
          <w:tcPr>
            <w:tcW w:type="dxa" w:w="8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None</w:t>
            </w:r>
          </w:p>
        </w:tc>
        <w:tc>
          <w:tcPr>
            <w:tcW w:type="dxa" w:w="14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30/min/IP</w:t>
            </w:r>
          </w:p>
        </w:tc>
        <w:tc>
          <w:tcPr>
            <w:tcW w:type="dxa" w:w="386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Public: aggregate execution stats</w:t>
            </w:r>
          </w:p>
        </w:tc>
      </w:tr>
      <w:tr>
        <w:tc>
          <w:tcPr>
            <w:tcW w:type="dxa" w:w="7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GET</w:t>
            </w:r>
          </w:p>
        </w:tc>
        <w:tc>
          <w:tcPr>
            <w:tcW w:type="dxa" w:w="26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/audit/tx/:signature</w:t>
            </w:r>
          </w:p>
        </w:tc>
        <w:tc>
          <w:tcPr>
            <w:tcW w:type="dxa" w:w="8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None</w:t>
            </w:r>
          </w:p>
        </w:tc>
        <w:tc>
          <w:tcPr>
            <w:tcW w:type="dxa" w:w="14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60/min/IP</w:t>
            </w:r>
          </w:p>
        </w:tc>
        <w:tc>
          <w:tcPr>
            <w:tcW w:type="dxa" w:w="386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Public: get execution proof for a transaction</w:t>
            </w:r>
          </w:p>
        </w:tc>
      </w:tr>
      <w:tr>
        <w:tc>
          <w:tcPr>
            <w:tcW w:type="dxa" w:w="7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GET</w:t>
            </w:r>
          </w:p>
        </w:tc>
        <w:tc>
          <w:tcPr>
            <w:tcW w:type="dxa" w:w="26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/health</w:t>
            </w:r>
          </w:p>
        </w:tc>
        <w:tc>
          <w:tcPr>
            <w:tcW w:type="dxa" w:w="8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None</w:t>
            </w:r>
          </w:p>
        </w:tc>
        <w:tc>
          <w:tcPr>
            <w:tcW w:type="dxa" w:w="14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Unlimited</w:t>
            </w:r>
          </w:p>
        </w:tc>
        <w:tc>
          <w:tcPr>
            <w:tcW w:type="dxa" w:w="386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System health check</w:t>
            </w:r>
          </w:p>
        </w:tc>
      </w:tr>
      <w:tr>
        <w:tc>
          <w:tcPr>
            <w:tcW w:type="dxa" w:w="7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GET</w:t>
            </w:r>
          </w:p>
        </w:tc>
        <w:tc>
          <w:tcPr>
            <w:tcW w:type="dxa" w:w="26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/ws/activity</w:t>
            </w:r>
          </w:p>
        </w:tc>
        <w:tc>
          <w:tcPr>
            <w:tcW w:type="dxa" w:w="8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JWT (ws)</w:t>
            </w:r>
          </w:p>
        </w:tc>
        <w:tc>
          <w:tcPr>
            <w:tcW w:type="dxa" w:w="14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1 conn/wallet</w:t>
            </w:r>
          </w:p>
        </w:tc>
        <w:tc>
          <w:tcPr>
            <w:tcW w:type="dxa" w:w="386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WebSocket stream of real-time agent activity</w:t>
            </w:r>
          </w:p>
        </w:tc>
      </w:tr>
    </w:tbl>
    <w:p>
      <w:pPr>
        <w:spacing w:after="0" w:before="80"/>
      </w:pPr>
      <w:r>
        <w:t xml:space="preserve"/>
      </w:r>
    </w:p>
    <w:p>
      <w:pPr>
        <w:pStyle w:val="Heading2"/>
        <w:spacing w:after="120" w:before="300"/>
      </w:pPr>
      <w:r>
        <w:rPr>
          <w:rFonts w:ascii="Arial" w:cs="Arial" w:eastAsia="Arial" w:hAnsi="Arial"/>
          <w:b/>
          <w:bCs/>
          <w:color w:val="6D28D9"/>
          <w:sz w:val="28"/>
          <w:szCs w:val="28"/>
        </w:rPr>
        <w:t xml:space="preserve">10.3  Error Response Standard</w:t>
      </w:r>
    </w:p>
    <w:p>
      <w:pPr>
        <w:spacing w:after="80" w:before="80"/>
      </w:pPr>
      <w:r>
        <w:rPr>
          <w:rFonts w:ascii="Arial" w:cs="Arial" w:eastAsia="Arial" w:hAnsi="Arial"/>
          <w:b w:val="false"/>
          <w:bCs w:val="false"/>
          <w:color w:val="374151"/>
          <w:sz w:val="19"/>
          <w:szCs w:val="19"/>
        </w:rPr>
        <w:t xml:space="preserve">All errors follow RFC 7807 Problem Details format:</w:t>
      </w:r>
    </w:p>
    <w:p>
      <w:pPr>
        <w:spacing w:after="0" w:before="40"/>
      </w:pPr>
      <w:r>
        <w:t xml:space="preserve"/>
      </w:r>
    </w:p>
    <w:p>
      <w:pPr>
        <w:spacing w:after="40" w:before="40"/>
        <w:ind w:left="360"/>
      </w:pPr>
      <w:r>
        <w:rPr>
          <w:rFonts w:ascii="Courier New" w:cs="Courier New" w:eastAsia="Courier New" w:hAnsi="Courier New"/>
          <w:color w:val="4C1D95"/>
          <w:sz w:val="17"/>
          <w:szCs w:val="17"/>
        </w:rPr>
        <w:t xml:space="preserve">{</w:t>
      </w:r>
    </w:p>
    <w:p>
      <w:pPr>
        <w:spacing w:after="40" w:before="40"/>
        <w:ind w:left="360"/>
      </w:pPr>
      <w:r>
        <w:rPr>
          <w:rFonts w:ascii="Courier New" w:cs="Courier New" w:eastAsia="Courier New" w:hAnsi="Courier New"/>
          <w:color w:val="4C1D95"/>
          <w:sz w:val="17"/>
          <w:szCs w:val="17"/>
        </w:rPr>
        <w:t xml:space="preserve">  "type": "https://solanaagent.xyz/errors/rule-validation-failed",</w:t>
      </w:r>
    </w:p>
    <w:p>
      <w:pPr>
        <w:spacing w:after="40" w:before="40"/>
        <w:ind w:left="360"/>
      </w:pPr>
      <w:r>
        <w:rPr>
          <w:rFonts w:ascii="Courier New" w:cs="Courier New" w:eastAsia="Courier New" w:hAnsi="Courier New"/>
          <w:color w:val="4C1D95"/>
          <w:sz w:val="17"/>
          <w:szCs w:val="17"/>
        </w:rPr>
        <w:t xml:space="preserve">  "title": "Rule Validation Failed",</w:t>
      </w:r>
    </w:p>
    <w:p>
      <w:pPr>
        <w:spacing w:after="40" w:before="40"/>
        <w:ind w:left="360"/>
      </w:pPr>
      <w:r>
        <w:rPr>
          <w:rFonts w:ascii="Courier New" w:cs="Courier New" w:eastAsia="Courier New" w:hAnsi="Courier New"/>
          <w:color w:val="4C1D95"/>
          <w:sz w:val="17"/>
          <w:szCs w:val="17"/>
        </w:rPr>
        <w:t xml:space="preserve">  "status": 422,</w:t>
      </w:r>
    </w:p>
    <w:p>
      <w:pPr>
        <w:spacing w:after="40" w:before="40"/>
        <w:ind w:left="360"/>
      </w:pPr>
      <w:r>
        <w:rPr>
          <w:rFonts w:ascii="Courier New" w:cs="Courier New" w:eastAsia="Courier New" w:hAnsi="Courier New"/>
          <w:color w:val="4C1D95"/>
          <w:sz w:val="17"/>
          <w:szCs w:val="17"/>
        </w:rPr>
        <w:t xml:space="preserve">  "detail": "Trigger asset PEPE is not supported.",</w:t>
      </w:r>
    </w:p>
    <w:p>
      <w:pPr>
        <w:spacing w:after="40" w:before="40"/>
        <w:ind w:left="360"/>
      </w:pPr>
      <w:r>
        <w:rPr>
          <w:rFonts w:ascii="Courier New" w:cs="Courier New" w:eastAsia="Courier New" w:hAnsi="Courier New"/>
          <w:color w:val="4C1D95"/>
          <w:sz w:val="17"/>
          <w:szCs w:val="17"/>
        </w:rPr>
        <w:t xml:space="preserve">  "instance": "/rules",</w:t>
      </w:r>
    </w:p>
    <w:p>
      <w:pPr>
        <w:spacing w:after="40" w:before="40"/>
        <w:ind w:left="360"/>
      </w:pPr>
      <w:r>
        <w:rPr>
          <w:rFonts w:ascii="Courier New" w:cs="Courier New" w:eastAsia="Courier New" w:hAnsi="Courier New"/>
          <w:color w:val="4C1D95"/>
          <w:sz w:val="17"/>
          <w:szCs w:val="17"/>
        </w:rPr>
        <w:t xml:space="preserve">  "errors": [{ "field": "trigger.asset", "message": "Must be one of: SOL, USDC, USDT, JUP, BONK" }]</w:t>
      </w:r>
    </w:p>
    <w:p>
      <w:pPr>
        <w:spacing w:after="40" w:before="40"/>
        <w:ind w:left="360"/>
      </w:pPr>
      <w:r>
        <w:rPr>
          <w:rFonts w:ascii="Courier New" w:cs="Courier New" w:eastAsia="Courier New" w:hAnsi="Courier New"/>
          <w:color w:val="4C1D95"/>
          <w:sz w:val="17"/>
          <w:szCs w:val="17"/>
        </w:rPr>
        <w:t xml:space="preserve">}</w:t>
      </w:r>
    </w:p>
    <w:p>
      <w:pPr>
        <w:spacing w:after="0" w:before="120"/>
      </w:pPr>
      <w:r>
        <w:t xml:space="preserve"/>
      </w:r>
    </w:p>
    <w:p>
      <w:r>
        <w:br w:type="page"/>
      </w:r>
    </w:p>
    <w:p>
      <w:pPr>
        <w:pStyle w:val="Heading1"/>
        <w:pBdr>
          <w:bottom w:val="single" w:color="6D28D9" w:sz="6" w:space="6"/>
        </w:pBdr>
        <w:spacing w:after="180" w:before="480"/>
      </w:pPr>
      <w:r>
        <w:rPr>
          <w:rFonts w:ascii="Arial" w:cs="Arial" w:eastAsia="Arial" w:hAnsi="Arial"/>
          <w:b/>
          <w:bCs/>
          <w:color w:val="4C1D95"/>
          <w:sz w:val="40"/>
          <w:szCs w:val="40"/>
        </w:rPr>
        <w:t xml:space="preserve">11. Infrastructure &amp; DevOps</w:t>
      </w:r>
    </w:p>
    <w:p>
      <w:pPr>
        <w:pStyle w:val="Heading2"/>
        <w:spacing w:after="120" w:before="300"/>
      </w:pPr>
      <w:r>
        <w:rPr>
          <w:rFonts w:ascii="Arial" w:cs="Arial" w:eastAsia="Arial" w:hAnsi="Arial"/>
          <w:b/>
          <w:bCs/>
          <w:color w:val="6D28D9"/>
          <w:sz w:val="28"/>
          <w:szCs w:val="28"/>
        </w:rPr>
        <w:t xml:space="preserve">11.1  Service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400"/>
        <w:gridCol w:w="1200"/>
        <w:gridCol w:w="2960"/>
      </w:tblGrid>
      <w:tr>
        <w:tc>
          <w:tcPr>
            <w:tcW w:type="dxa" w:w="180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vAlign w:val="top"/>
          </w:tcPr>
          <w:p>
            <w:pPr>
              <w:spacing w:after="20" w:before="20"/>
              <w:jc w:val="left"/>
            </w:pPr>
            <w:r>
              <w:rPr>
                <w:rFonts w:ascii="Arial" w:cs="Arial" w:eastAsia="Arial" w:hAnsi="Arial"/>
                <w:b/>
                <w:bCs/>
                <w:i w:val="false"/>
                <w:iCs w:val="false"/>
                <w:color w:val="FFFFFF"/>
                <w:sz w:val="19"/>
                <w:szCs w:val="19"/>
              </w:rPr>
              <w:t xml:space="preserve">Service</w:t>
            </w:r>
          </w:p>
        </w:tc>
        <w:tc>
          <w:tcPr>
            <w:tcW w:type="dxa" w:w="200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vAlign w:val="top"/>
          </w:tcPr>
          <w:p>
            <w:pPr>
              <w:spacing w:after="20" w:before="20"/>
              <w:jc w:val="left"/>
            </w:pPr>
            <w:r>
              <w:rPr>
                <w:rFonts w:ascii="Arial" w:cs="Arial" w:eastAsia="Arial" w:hAnsi="Arial"/>
                <w:b/>
                <w:bCs/>
                <w:i w:val="false"/>
                <w:iCs w:val="false"/>
                <w:color w:val="FFFFFF"/>
                <w:sz w:val="19"/>
                <w:szCs w:val="19"/>
              </w:rPr>
              <w:t xml:space="preserve">Deployment</w:t>
            </w:r>
          </w:p>
        </w:tc>
        <w:tc>
          <w:tcPr>
            <w:tcW w:type="dxa" w:w="140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vAlign w:val="top"/>
          </w:tcPr>
          <w:p>
            <w:pPr>
              <w:spacing w:after="20" w:before="20"/>
              <w:jc w:val="left"/>
            </w:pPr>
            <w:r>
              <w:rPr>
                <w:rFonts w:ascii="Arial" w:cs="Arial" w:eastAsia="Arial" w:hAnsi="Arial"/>
                <w:b/>
                <w:bCs/>
                <w:i w:val="false"/>
                <w:iCs w:val="false"/>
                <w:color w:val="FFFFFF"/>
                <w:sz w:val="19"/>
                <w:szCs w:val="19"/>
              </w:rPr>
              <w:t xml:space="preserve">Replicas</w:t>
            </w:r>
          </w:p>
        </w:tc>
        <w:tc>
          <w:tcPr>
            <w:tcW w:type="dxa" w:w="120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vAlign w:val="top"/>
          </w:tcPr>
          <w:p>
            <w:pPr>
              <w:spacing w:after="20" w:before="20"/>
              <w:jc w:val="left"/>
            </w:pPr>
            <w:r>
              <w:rPr>
                <w:rFonts w:ascii="Arial" w:cs="Arial" w:eastAsia="Arial" w:hAnsi="Arial"/>
                <w:b/>
                <w:bCs/>
                <w:i w:val="false"/>
                <w:iCs w:val="false"/>
                <w:color w:val="FFFFFF"/>
                <w:sz w:val="19"/>
                <w:szCs w:val="19"/>
              </w:rPr>
              <w:t xml:space="preserve">Memory</w:t>
            </w:r>
          </w:p>
        </w:tc>
        <w:tc>
          <w:tcPr>
            <w:tcW w:type="dxa" w:w="296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vAlign w:val="top"/>
          </w:tcPr>
          <w:p>
            <w:pPr>
              <w:spacing w:after="20" w:before="20"/>
              <w:jc w:val="left"/>
            </w:pPr>
            <w:r>
              <w:rPr>
                <w:rFonts w:ascii="Arial" w:cs="Arial" w:eastAsia="Arial" w:hAnsi="Arial"/>
                <w:b/>
                <w:bCs/>
                <w:i w:val="false"/>
                <w:iCs w:val="false"/>
                <w:color w:val="FFFFFF"/>
                <w:sz w:val="19"/>
                <w:szCs w:val="19"/>
              </w:rPr>
              <w:t xml:space="preserve">Notes</w:t>
            </w:r>
          </w:p>
        </w:tc>
      </w:tr>
      <w:tr>
        <w:tc>
          <w:tcPr>
            <w:tcW w:type="dxa" w:w="18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API Gateway</w:t>
            </w:r>
          </w:p>
        </w:tc>
        <w:tc>
          <w:tcPr>
            <w:tcW w:type="dxa" w:w="20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Docker + Kubernetes</w:t>
            </w:r>
          </w:p>
        </w:tc>
        <w:tc>
          <w:tcPr>
            <w:tcW w:type="dxa" w:w="14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3 (minimum)</w:t>
            </w:r>
          </w:p>
        </w:tc>
        <w:tc>
          <w:tcPr>
            <w:tcW w:type="dxa" w:w="12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512MB each</w:t>
            </w:r>
          </w:p>
        </w:tc>
        <w:tc>
          <w:tcPr>
            <w:tcW w:type="dxa" w:w="296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Stateless. HPA scales on CPU. Behind Cloudflare.</w:t>
            </w:r>
          </w:p>
        </w:tc>
      </w:tr>
      <w:tr>
        <w:tc>
          <w:tcPr>
            <w:tcW w:type="dxa" w:w="18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Rule Engine</w:t>
            </w:r>
          </w:p>
        </w:tc>
        <w:tc>
          <w:tcPr>
            <w:tcW w:type="dxa" w:w="20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Docker + Kubernetes</w:t>
            </w:r>
          </w:p>
        </w:tc>
        <w:tc>
          <w:tcPr>
            <w:tcW w:type="dxa" w:w="14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2</w:t>
            </w:r>
          </w:p>
        </w:tc>
        <w:tc>
          <w:tcPr>
            <w:tcW w:type="dxa" w:w="12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1GB each</w:t>
            </w:r>
          </w:p>
        </w:tc>
        <w:tc>
          <w:tcPr>
            <w:tcW w:type="dxa" w:w="296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Stateless. Calls Claude API externally.</w:t>
            </w:r>
          </w:p>
        </w:tc>
      </w:tr>
      <w:tr>
        <w:tc>
          <w:tcPr>
            <w:tcW w:type="dxa" w:w="18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Event Listener</w:t>
            </w:r>
          </w:p>
        </w:tc>
        <w:tc>
          <w:tcPr>
            <w:tcW w:type="dxa" w:w="20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Docker + Kubernetes</w:t>
            </w:r>
          </w:p>
        </w:tc>
        <w:tc>
          <w:tcPr>
            <w:tcW w:type="dxa" w:w="14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2</w:t>
            </w:r>
          </w:p>
        </w:tc>
        <w:tc>
          <w:tcPr>
            <w:tcW w:type="dxa" w:w="12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512MB each</w:t>
            </w:r>
          </w:p>
        </w:tc>
        <w:tc>
          <w:tcPr>
            <w:tcW w:type="dxa" w:w="296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Receives Helius webhooks. Stateless fanout only.</w:t>
            </w:r>
          </w:p>
        </w:tc>
      </w:tr>
      <w:tr>
        <w:tc>
          <w:tcPr>
            <w:tcW w:type="dxa" w:w="18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Condition Evaluator</w:t>
            </w:r>
          </w:p>
        </w:tc>
        <w:tc>
          <w:tcPr>
            <w:tcW w:type="dxa" w:w="20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Docker + Kubernetes</w:t>
            </w:r>
          </w:p>
        </w:tc>
        <w:tc>
          <w:tcPr>
            <w:tcW w:type="dxa" w:w="14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4–16 (auto-scale)</w:t>
            </w:r>
          </w:p>
        </w:tc>
        <w:tc>
          <w:tcPr>
            <w:tcW w:type="dxa" w:w="12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512MB each</w:t>
            </w:r>
          </w:p>
        </w:tc>
        <w:tc>
          <w:tcPr>
            <w:tcW w:type="dxa" w:w="296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Stateless workers. HPA scales on BullMQ queue depth.</w:t>
            </w:r>
          </w:p>
        </w:tc>
      </w:tr>
      <w:tr>
        <w:tc>
          <w:tcPr>
            <w:tcW w:type="dxa" w:w="18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Execution Engine</w:t>
            </w:r>
          </w:p>
        </w:tc>
        <w:tc>
          <w:tcPr>
            <w:tcW w:type="dxa" w:w="20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Docker + Kubernetes</w:t>
            </w:r>
          </w:p>
        </w:tc>
        <w:tc>
          <w:tcPr>
            <w:tcW w:type="dxa" w:w="14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2 (active-standby)</w:t>
            </w:r>
          </w:p>
        </w:tc>
        <w:tc>
          <w:tcPr>
            <w:tcW w:type="dxa" w:w="12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1GB each</w:t>
            </w:r>
          </w:p>
        </w:tc>
        <w:tc>
          <w:tcPr>
            <w:tcW w:type="dxa" w:w="296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Stateful per wallet via BullMQ. Only 1 active per wallet queue.</w:t>
            </w:r>
          </w:p>
        </w:tc>
      </w:tr>
      <w:tr>
        <w:tc>
          <w:tcPr>
            <w:tcW w:type="dxa" w:w="18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Audit Indexer</w:t>
            </w:r>
          </w:p>
        </w:tc>
        <w:tc>
          <w:tcPr>
            <w:tcW w:type="dxa" w:w="20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Docker + Kubernetes</w:t>
            </w:r>
          </w:p>
        </w:tc>
        <w:tc>
          <w:tcPr>
            <w:tcW w:type="dxa" w:w="14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2</w:t>
            </w:r>
          </w:p>
        </w:tc>
        <w:tc>
          <w:tcPr>
            <w:tcW w:type="dxa" w:w="12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2GB each</w:t>
            </w:r>
          </w:p>
        </w:tc>
        <w:tc>
          <w:tcPr>
            <w:tcW w:type="dxa" w:w="296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Memory-intensive due to transaction parsing.</w:t>
            </w:r>
          </w:p>
        </w:tc>
      </w:tr>
      <w:tr>
        <w:tc>
          <w:tcPr>
            <w:tcW w:type="dxa" w:w="18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PostgreSQL</w:t>
            </w:r>
          </w:p>
        </w:tc>
        <w:tc>
          <w:tcPr>
            <w:tcW w:type="dxa" w:w="20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AWS RDS (Multi-AZ)</w:t>
            </w:r>
          </w:p>
        </w:tc>
        <w:tc>
          <w:tcPr>
            <w:tcW w:type="dxa" w:w="14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1 primary + 1 replica</w:t>
            </w:r>
          </w:p>
        </w:tc>
        <w:tc>
          <w:tcPr>
            <w:tcW w:type="dxa" w:w="12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Managed</w:t>
            </w:r>
          </w:p>
        </w:tc>
        <w:tc>
          <w:tcPr>
            <w:tcW w:type="dxa" w:w="296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Automated backups every 6 hours. Point-in-time recovery.</w:t>
            </w:r>
          </w:p>
        </w:tc>
      </w:tr>
      <w:tr>
        <w:tc>
          <w:tcPr>
            <w:tcW w:type="dxa" w:w="18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Redis</w:t>
            </w:r>
          </w:p>
        </w:tc>
        <w:tc>
          <w:tcPr>
            <w:tcW w:type="dxa" w:w="20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AWS ElastiCache (cluster mode)</w:t>
            </w:r>
          </w:p>
        </w:tc>
        <w:tc>
          <w:tcPr>
            <w:tcW w:type="dxa" w:w="14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3 nodes</w:t>
            </w:r>
          </w:p>
        </w:tc>
        <w:tc>
          <w:tcPr>
            <w:tcW w:type="dxa" w:w="12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Managed</w:t>
            </w:r>
          </w:p>
        </w:tc>
        <w:tc>
          <w:tcPr>
            <w:tcW w:type="dxa" w:w="296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BullMQ queues + pub/sub + rate limit counters.</w:t>
            </w:r>
          </w:p>
        </w:tc>
      </w:tr>
    </w:tbl>
    <w:p>
      <w:pPr>
        <w:spacing w:after="0" w:before="80"/>
      </w:pPr>
      <w:r>
        <w:t xml:space="preserve"/>
      </w:r>
    </w:p>
    <w:p>
      <w:pPr>
        <w:pStyle w:val="Heading2"/>
        <w:spacing w:after="120" w:before="300"/>
      </w:pPr>
      <w:r>
        <w:rPr>
          <w:rFonts w:ascii="Arial" w:cs="Arial" w:eastAsia="Arial" w:hAnsi="Arial"/>
          <w:b/>
          <w:bCs/>
          <w:color w:val="6D28D9"/>
          <w:sz w:val="28"/>
          <w:szCs w:val="28"/>
        </w:rPr>
        <w:t xml:space="preserve">11.2  Environment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360"/>
      </w:tblGrid>
      <w:tr>
        <w:tc>
          <w:tcPr>
            <w:tcW w:type="dxa" w:w="180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vAlign w:val="top"/>
          </w:tcPr>
          <w:p>
            <w:pPr>
              <w:spacing w:after="20" w:before="20"/>
              <w:jc w:val="left"/>
            </w:pPr>
            <w:r>
              <w:rPr>
                <w:rFonts w:ascii="Arial" w:cs="Arial" w:eastAsia="Arial" w:hAnsi="Arial"/>
                <w:b/>
                <w:bCs/>
                <w:i w:val="false"/>
                <w:iCs w:val="false"/>
                <w:color w:val="FFFFFF"/>
                <w:sz w:val="19"/>
                <w:szCs w:val="19"/>
              </w:rPr>
              <w:t xml:space="preserve">Environment</w:t>
            </w:r>
          </w:p>
        </w:tc>
        <w:tc>
          <w:tcPr>
            <w:tcW w:type="dxa" w:w="180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vAlign w:val="top"/>
          </w:tcPr>
          <w:p>
            <w:pPr>
              <w:spacing w:after="20" w:before="20"/>
              <w:jc w:val="left"/>
            </w:pPr>
            <w:r>
              <w:rPr>
                <w:rFonts w:ascii="Arial" w:cs="Arial" w:eastAsia="Arial" w:hAnsi="Arial"/>
                <w:b/>
                <w:bCs/>
                <w:i w:val="false"/>
                <w:iCs w:val="false"/>
                <w:color w:val="FFFFFF"/>
                <w:sz w:val="19"/>
                <w:szCs w:val="19"/>
              </w:rPr>
              <w:t xml:space="preserve">Solana Network</w:t>
            </w:r>
          </w:p>
        </w:tc>
        <w:tc>
          <w:tcPr>
            <w:tcW w:type="dxa" w:w="240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vAlign w:val="top"/>
          </w:tcPr>
          <w:p>
            <w:pPr>
              <w:spacing w:after="20" w:before="20"/>
              <w:jc w:val="left"/>
            </w:pPr>
            <w:r>
              <w:rPr>
                <w:rFonts w:ascii="Arial" w:cs="Arial" w:eastAsia="Arial" w:hAnsi="Arial"/>
                <w:b/>
                <w:bCs/>
                <w:i w:val="false"/>
                <w:iCs w:val="false"/>
                <w:color w:val="FFFFFF"/>
                <w:sz w:val="19"/>
                <w:szCs w:val="19"/>
              </w:rPr>
              <w:t xml:space="preserve">Claude API</w:t>
            </w:r>
          </w:p>
        </w:tc>
        <w:tc>
          <w:tcPr>
            <w:tcW w:type="dxa" w:w="336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vAlign w:val="top"/>
          </w:tcPr>
          <w:p>
            <w:pPr>
              <w:spacing w:after="20" w:before="20"/>
              <w:jc w:val="left"/>
            </w:pPr>
            <w:r>
              <w:rPr>
                <w:rFonts w:ascii="Arial" w:cs="Arial" w:eastAsia="Arial" w:hAnsi="Arial"/>
                <w:b/>
                <w:bCs/>
                <w:i w:val="false"/>
                <w:iCs w:val="false"/>
                <w:color w:val="FFFFFF"/>
                <w:sz w:val="19"/>
                <w:szCs w:val="19"/>
              </w:rPr>
              <w:t xml:space="preserve">Purpose</w:t>
            </w:r>
          </w:p>
        </w:tc>
      </w:tr>
      <w:tr>
        <w:tc>
          <w:tcPr>
            <w:tcW w:type="dxa" w:w="18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development</w:t>
            </w:r>
          </w:p>
        </w:tc>
        <w:tc>
          <w:tcPr>
            <w:tcW w:type="dxa" w:w="18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Devnet</w:t>
            </w:r>
          </w:p>
        </w:tc>
        <w:tc>
          <w:tcPr>
            <w:tcW w:type="dxa" w:w="24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Real API (low volume)</w:t>
            </w:r>
          </w:p>
        </w:tc>
        <w:tc>
          <w:tcPr>
            <w:tcW w:type="dxa" w:w="336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Local development. Solana devnet SOL is free.</w:t>
            </w:r>
          </w:p>
        </w:tc>
      </w:tr>
      <w:tr>
        <w:tc>
          <w:tcPr>
            <w:tcW w:type="dxa" w:w="18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staging</w:t>
            </w:r>
          </w:p>
        </w:tc>
        <w:tc>
          <w:tcPr>
            <w:tcW w:type="dxa" w:w="18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Devnet</w:t>
            </w:r>
          </w:p>
        </w:tc>
        <w:tc>
          <w:tcPr>
            <w:tcW w:type="dxa" w:w="24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Real API</w:t>
            </w:r>
          </w:p>
        </w:tc>
        <w:tc>
          <w:tcPr>
            <w:tcW w:type="dxa" w:w="336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Full integration testing. CI/CD deploys here on every PR merge.</w:t>
            </w:r>
          </w:p>
        </w:tc>
      </w:tr>
      <w:tr>
        <w:tc>
          <w:tcPr>
            <w:tcW w:type="dxa" w:w="18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production</w:t>
            </w:r>
          </w:p>
        </w:tc>
        <w:tc>
          <w:tcPr>
            <w:tcW w:type="dxa" w:w="18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Mainnet-beta</w:t>
            </w:r>
          </w:p>
        </w:tc>
        <w:tc>
          <w:tcPr>
            <w:tcW w:type="dxa" w:w="24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Real API</w:t>
            </w:r>
          </w:p>
        </w:tc>
        <w:tc>
          <w:tcPr>
            <w:tcW w:type="dxa" w:w="336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Live. Deployed from main branch only after staging validation.</w:t>
            </w:r>
          </w:p>
        </w:tc>
      </w:tr>
    </w:tbl>
    <w:p>
      <w:pPr>
        <w:spacing w:after="0" w:before="80"/>
      </w:pPr>
      <w:r>
        <w:t xml:space="preserve"/>
      </w:r>
    </w:p>
    <w:p>
      <w:pPr>
        <w:pStyle w:val="Heading2"/>
        <w:spacing w:after="120" w:before="300"/>
      </w:pPr>
      <w:r>
        <w:rPr>
          <w:rFonts w:ascii="Arial" w:cs="Arial" w:eastAsia="Arial" w:hAnsi="Arial"/>
          <w:b/>
          <w:bCs/>
          <w:color w:val="6D28D9"/>
          <w:sz w:val="28"/>
          <w:szCs w:val="28"/>
        </w:rPr>
        <w:t xml:space="preserve">11.3  CI/CD Pipeline</w:t>
      </w:r>
    </w:p>
    <w:p>
      <w:pPr>
        <w:pStyle w:val="ListParagraph"/>
        <w:numPr>
          <w:ilvl w:val="0"/>
          <w:numId w:val="2"/>
        </w:numPr>
        <w:spacing w:after="50" w:before="50"/>
      </w:pPr>
      <w:r>
        <w:rPr>
          <w:rFonts w:ascii="Arial" w:cs="Arial" w:eastAsia="Arial" w:hAnsi="Arial"/>
          <w:color w:val="374151"/>
          <w:sz w:val="19"/>
          <w:szCs w:val="19"/>
        </w:rPr>
        <w:t xml:space="preserve">PR opened: lint, type-check, unit tests, schema validation tests.</w:t>
      </w:r>
    </w:p>
    <w:p>
      <w:pPr>
        <w:pStyle w:val="ListParagraph"/>
        <w:numPr>
          <w:ilvl w:val="0"/>
          <w:numId w:val="2"/>
        </w:numPr>
        <w:spacing w:after="50" w:before="50"/>
      </w:pPr>
      <w:r>
        <w:rPr>
          <w:rFonts w:ascii="Arial" w:cs="Arial" w:eastAsia="Arial" w:hAnsi="Arial"/>
          <w:color w:val="374151"/>
          <w:sz w:val="19"/>
          <w:szCs w:val="19"/>
        </w:rPr>
        <w:t xml:space="preserve">PR merged to main: build Docker images, push to ECR, deploy to staging.</w:t>
      </w:r>
    </w:p>
    <w:p>
      <w:pPr>
        <w:pStyle w:val="ListParagraph"/>
        <w:numPr>
          <w:ilvl w:val="0"/>
          <w:numId w:val="2"/>
        </w:numPr>
        <w:spacing w:after="50" w:before="50"/>
      </w:pPr>
      <w:r>
        <w:rPr>
          <w:rFonts w:ascii="Arial" w:cs="Arial" w:eastAsia="Arial" w:hAnsi="Arial"/>
          <w:color w:val="374151"/>
          <w:sz w:val="19"/>
          <w:szCs w:val="19"/>
        </w:rPr>
        <w:t xml:space="preserve">Staging smoke tests: run 10 pre-defined rule creation + execution scenarios against devnet.</w:t>
      </w:r>
    </w:p>
    <w:p>
      <w:pPr>
        <w:pStyle w:val="ListParagraph"/>
        <w:numPr>
          <w:ilvl w:val="0"/>
          <w:numId w:val="2"/>
        </w:numPr>
        <w:spacing w:after="50" w:before="50"/>
      </w:pPr>
      <w:r>
        <w:rPr>
          <w:rFonts w:ascii="Arial" w:cs="Arial" w:eastAsia="Arial" w:hAnsi="Arial"/>
          <w:color w:val="374151"/>
          <w:sz w:val="19"/>
          <w:szCs w:val="19"/>
        </w:rPr>
        <w:t xml:space="preserve">Manual approval gate: engineering lead approves production deployment.</w:t>
      </w:r>
    </w:p>
    <w:p>
      <w:pPr>
        <w:pStyle w:val="ListParagraph"/>
        <w:numPr>
          <w:ilvl w:val="0"/>
          <w:numId w:val="2"/>
        </w:numPr>
        <w:spacing w:after="50" w:before="50"/>
      </w:pPr>
      <w:r>
        <w:rPr>
          <w:rFonts w:ascii="Arial" w:cs="Arial" w:eastAsia="Arial" w:hAnsi="Arial"/>
          <w:color w:val="374151"/>
          <w:sz w:val="19"/>
          <w:szCs w:val="19"/>
        </w:rPr>
        <w:t xml:space="preserve">Production deploy: rolling update, canary 10% → 50% → 100% over 30 minutes.</w:t>
      </w:r>
    </w:p>
    <w:p>
      <w:pPr>
        <w:pStyle w:val="ListParagraph"/>
        <w:numPr>
          <w:ilvl w:val="0"/>
          <w:numId w:val="2"/>
        </w:numPr>
        <w:spacing w:after="50" w:before="50"/>
      </w:pPr>
      <w:r>
        <w:rPr>
          <w:rFonts w:ascii="Arial" w:cs="Arial" w:eastAsia="Arial" w:hAnsi="Arial"/>
          <w:color w:val="374151"/>
          <w:sz w:val="19"/>
          <w:szCs w:val="19"/>
        </w:rPr>
        <w:t xml:space="preserve">Post-deploy: automated smoke tests against production (with test wallet funded from ops wallet).</w:t>
      </w:r>
    </w:p>
    <w:p>
      <w:pPr>
        <w:spacing w:after="0" w:before="80"/>
      </w:pPr>
      <w:r>
        <w:t xml:space="preserve"/>
      </w:r>
    </w:p>
    <w:p>
      <w:pPr>
        <w:pStyle w:val="Heading2"/>
        <w:spacing w:after="120" w:before="300"/>
      </w:pPr>
      <w:r>
        <w:rPr>
          <w:rFonts w:ascii="Arial" w:cs="Arial" w:eastAsia="Arial" w:hAnsi="Arial"/>
          <w:b/>
          <w:bCs/>
          <w:color w:val="6D28D9"/>
          <w:sz w:val="28"/>
          <w:szCs w:val="28"/>
        </w:rPr>
        <w:t xml:space="preserve">11.4  Secrets Management</w:t>
      </w:r>
    </w:p>
    <w:p>
      <w:pPr>
        <w:pStyle w:val="ListParagraph"/>
        <w:numPr>
          <w:ilvl w:val="0"/>
          <w:numId w:val="3"/>
        </w:numPr>
        <w:spacing w:after="50" w:before="50"/>
      </w:pPr>
      <w:r>
        <w:rPr>
          <w:rFonts w:ascii="Arial" w:cs="Arial" w:eastAsia="Arial" w:hAnsi="Arial"/>
          <w:color w:val="374151"/>
          <w:sz w:val="19"/>
          <w:szCs w:val="19"/>
        </w:rPr>
        <w:t xml:space="preserve">All secrets (Claude API key, database credentials, Redis credentials, Helius API key) stored in AWS Secrets Manager</w:t>
      </w:r>
    </w:p>
    <w:p>
      <w:pPr>
        <w:pStyle w:val="ListParagraph"/>
        <w:numPr>
          <w:ilvl w:val="0"/>
          <w:numId w:val="3"/>
        </w:numPr>
        <w:spacing w:after="50" w:before="50"/>
      </w:pPr>
      <w:r>
        <w:rPr>
          <w:rFonts w:ascii="Arial" w:cs="Arial" w:eastAsia="Arial" w:hAnsi="Arial"/>
          <w:color w:val="374151"/>
          <w:sz w:val="19"/>
          <w:szCs w:val="19"/>
        </w:rPr>
        <w:t xml:space="preserve">Kubernetes pods access secrets via AWS Secrets Manager CSI Driver — secrets mounted as files, never as environment variables</w:t>
      </w:r>
    </w:p>
    <w:p>
      <w:pPr>
        <w:pStyle w:val="ListParagraph"/>
        <w:numPr>
          <w:ilvl w:val="0"/>
          <w:numId w:val="3"/>
        </w:numPr>
        <w:spacing w:after="50" w:before="50"/>
      </w:pPr>
      <w:r>
        <w:rPr>
          <w:rFonts w:ascii="Arial" w:cs="Arial" w:eastAsia="Arial" w:hAnsi="Arial"/>
          <w:color w:val="374151"/>
          <w:sz w:val="19"/>
          <w:szCs w:val="19"/>
        </w:rPr>
        <w:t xml:space="preserve">Encrypted agent keypairs stored in PostgreSQL — encryption keys derived per-user from HKDF, not stored in Secrets Manager</w:t>
      </w:r>
    </w:p>
    <w:p>
      <w:pPr>
        <w:pStyle w:val="ListParagraph"/>
        <w:numPr>
          <w:ilvl w:val="0"/>
          <w:numId w:val="3"/>
        </w:numPr>
        <w:spacing w:after="50" w:before="50"/>
      </w:pPr>
      <w:r>
        <w:rPr>
          <w:rFonts w:ascii="Arial" w:cs="Arial" w:eastAsia="Arial" w:hAnsi="Arial"/>
          <w:color w:val="374151"/>
          <w:sz w:val="19"/>
          <w:szCs w:val="19"/>
        </w:rPr>
        <w:t xml:space="preserve">Secret rotation: Claude API key rotated monthly. DB credentials rotated quarterly. Webhook signing secrets rotated monthly.</w:t>
      </w:r>
    </w:p>
    <w:p>
      <w:pPr>
        <w:spacing w:after="0" w:before="120"/>
      </w:pPr>
      <w:r>
        <w:t xml:space="preserve"/>
      </w:r>
    </w:p>
    <w:p>
      <w:r>
        <w:br w:type="page"/>
      </w:r>
    </w:p>
    <w:p>
      <w:pPr>
        <w:pStyle w:val="Heading1"/>
        <w:pBdr>
          <w:bottom w:val="single" w:color="6D28D9" w:sz="6" w:space="6"/>
        </w:pBdr>
        <w:spacing w:after="180" w:before="480"/>
      </w:pPr>
      <w:r>
        <w:rPr>
          <w:rFonts w:ascii="Arial" w:cs="Arial" w:eastAsia="Arial" w:hAnsi="Arial"/>
          <w:b/>
          <w:bCs/>
          <w:color w:val="4C1D95"/>
          <w:sz w:val="40"/>
          <w:szCs w:val="40"/>
        </w:rPr>
        <w:t xml:space="preserve">12. Error Taxonomy &amp; Recovery Playbook</w:t>
      </w:r>
    </w:p>
    <w:p>
      <w:pPr>
        <w:spacing w:after="80" w:before="80"/>
      </w:pPr>
      <w:r>
        <w:rPr>
          <w:rFonts w:ascii="Arial" w:cs="Arial" w:eastAsia="Arial" w:hAnsi="Arial"/>
          <w:b w:val="false"/>
          <w:bCs w:val="false"/>
          <w:color w:val="374151"/>
          <w:sz w:val="19"/>
          <w:szCs w:val="19"/>
        </w:rPr>
        <w:t xml:space="preserve">Every possible failure in SolAgent has a defined error code, a defined user-visible message, and a defined system recovery action. There are no undefined failure states.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760"/>
        <w:gridCol w:w="1600"/>
      </w:tblGrid>
      <w:tr>
        <w:tc>
          <w:tcPr>
            <w:tcW w:type="dxa" w:w="220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vAlign w:val="top"/>
          </w:tcPr>
          <w:p>
            <w:pPr>
              <w:spacing w:after="20" w:before="20"/>
              <w:jc w:val="left"/>
            </w:pPr>
            <w:r>
              <w:rPr>
                <w:rFonts w:ascii="Arial" w:cs="Arial" w:eastAsia="Arial" w:hAnsi="Arial"/>
                <w:b/>
                <w:bCs/>
                <w:i w:val="false"/>
                <w:iCs w:val="false"/>
                <w:color w:val="FFFFFF"/>
                <w:sz w:val="19"/>
                <w:szCs w:val="19"/>
              </w:rPr>
              <w:t xml:space="preserve">Error Code</w:t>
            </w:r>
          </w:p>
        </w:tc>
        <w:tc>
          <w:tcPr>
            <w:tcW w:type="dxa" w:w="280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vAlign w:val="top"/>
          </w:tcPr>
          <w:p>
            <w:pPr>
              <w:spacing w:after="20" w:before="20"/>
              <w:jc w:val="left"/>
            </w:pPr>
            <w:r>
              <w:rPr>
                <w:rFonts w:ascii="Arial" w:cs="Arial" w:eastAsia="Arial" w:hAnsi="Arial"/>
                <w:b/>
                <w:bCs/>
                <w:i w:val="false"/>
                <w:iCs w:val="false"/>
                <w:color w:val="FFFFFF"/>
                <w:sz w:val="19"/>
                <w:szCs w:val="19"/>
              </w:rPr>
              <w:t xml:space="preserve">Meaning</w:t>
            </w:r>
          </w:p>
        </w:tc>
        <w:tc>
          <w:tcPr>
            <w:tcW w:type="dxa" w:w="276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vAlign w:val="top"/>
          </w:tcPr>
          <w:p>
            <w:pPr>
              <w:spacing w:after="20" w:before="20"/>
              <w:jc w:val="left"/>
            </w:pPr>
            <w:r>
              <w:rPr>
                <w:rFonts w:ascii="Arial" w:cs="Arial" w:eastAsia="Arial" w:hAnsi="Arial"/>
                <w:b/>
                <w:bCs/>
                <w:i w:val="false"/>
                <w:iCs w:val="false"/>
                <w:color w:val="FFFFFF"/>
                <w:sz w:val="19"/>
                <w:szCs w:val="19"/>
              </w:rPr>
              <w:t xml:space="preserve">User Message</w:t>
            </w:r>
          </w:p>
        </w:tc>
        <w:tc>
          <w:tcPr>
            <w:tcW w:type="dxa" w:w="160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vAlign w:val="top"/>
          </w:tcPr>
          <w:p>
            <w:pPr>
              <w:spacing w:after="20" w:before="20"/>
              <w:jc w:val="left"/>
            </w:pPr>
            <w:r>
              <w:rPr>
                <w:rFonts w:ascii="Arial" w:cs="Arial" w:eastAsia="Arial" w:hAnsi="Arial"/>
                <w:b/>
                <w:bCs/>
                <w:i w:val="false"/>
                <w:iCs w:val="false"/>
                <w:color w:val="FFFFFF"/>
                <w:sz w:val="19"/>
                <w:szCs w:val="19"/>
              </w:rPr>
              <w:t xml:space="preserve">System Action</w:t>
            </w:r>
          </w:p>
        </w:tc>
      </w:tr>
      <w:tr>
        <w:tc>
          <w:tcPr>
            <w:tcW w:type="dxa" w:w="22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RULE_PARSE_FAIL</w:t>
            </w:r>
          </w:p>
        </w:tc>
        <w:tc>
          <w:tcPr>
            <w:tcW w:type="dxa" w:w="28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LLM could not produce valid schema from input</w:t>
            </w:r>
          </w:p>
        </w:tc>
        <w:tc>
          <w:tcPr>
            <w:tcW w:type="dxa" w:w="276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"Couldn't understand that rule. Try: 'If SOL drops below 1, swap 10 USDC to SOL'"</w:t>
            </w:r>
          </w:p>
        </w:tc>
        <w:tc>
          <w:tcPr>
            <w:tcW w:type="dxa" w:w="16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Log parse attempt, return 422, no state written</w:t>
            </w:r>
          </w:p>
        </w:tc>
      </w:tr>
      <w:tr>
        <w:tc>
          <w:tcPr>
            <w:tcW w:type="dxa" w:w="22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RULE_VALIDATION_FAIL</w:t>
            </w:r>
          </w:p>
        </w:tc>
        <w:tc>
          <w:tcPr>
            <w:tcW w:type="dxa" w:w="28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Schema produced but fails business validation</w:t>
            </w:r>
          </w:p>
        </w:tc>
        <w:tc>
          <w:tcPr>
            <w:tcW w:type="dxa" w:w="276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"[Specific field error with guidance]"</w:t>
            </w:r>
          </w:p>
        </w:tc>
        <w:tc>
          <w:tcPr>
            <w:tcW w:type="dxa" w:w="16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Return 422 with RFC 7807 error detail</w:t>
            </w:r>
          </w:p>
        </w:tc>
      </w:tr>
      <w:tr>
        <w:tc>
          <w:tcPr>
            <w:tcW w:type="dxa" w:w="22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EXEC_DUPLICATE</w:t>
            </w:r>
          </w:p>
        </w:tc>
        <w:tc>
          <w:tcPr>
            <w:tcW w:type="dxa" w:w="28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Idempotency key already exists</w:t>
            </w:r>
          </w:p>
        </w:tc>
        <w:tc>
          <w:tcPr>
            <w:tcW w:type="dxa" w:w="276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Silent (user never sees this)</w:t>
            </w:r>
          </w:p>
        </w:tc>
        <w:tc>
          <w:tcPr>
            <w:tcW w:type="dxa" w:w="16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Discard silently, log DUPLICATE_DISCARDED</w:t>
            </w:r>
          </w:p>
        </w:tc>
      </w:tr>
      <w:tr>
        <w:tc>
          <w:tcPr>
            <w:tcW w:type="dxa" w:w="22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EXEC_PRICE_DEVIATION</w:t>
            </w:r>
          </w:p>
        </w:tc>
        <w:tc>
          <w:tcPr>
            <w:tcW w:type="dxa" w:w="28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Jupiter/Pyth spread &gt;1% at execution time</w:t>
            </w:r>
          </w:p>
        </w:tc>
        <w:tc>
          <w:tcPr>
            <w:tcW w:type="dxa" w:w="276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"Price spread too high — waiting for market to stabilize"</w:t>
            </w:r>
          </w:p>
        </w:tc>
        <w:tc>
          <w:tcPr>
            <w:tcW w:type="dxa" w:w="16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Re-queue once after 60s. Mark FAILED if second attempt also deviates.</w:t>
            </w:r>
          </w:p>
        </w:tc>
      </w:tr>
      <w:tr>
        <w:tc>
          <w:tcPr>
            <w:tcW w:type="dxa" w:w="22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EXEC_INSUFFICIENT_FUNDS</w:t>
            </w:r>
          </w:p>
        </w:tc>
        <w:tc>
          <w:tcPr>
            <w:tcW w:type="dxa" w:w="28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Agent wallet lacks funds for action</w:t>
            </w:r>
          </w:p>
        </w:tc>
        <w:tc>
          <w:tcPr>
            <w:tcW w:type="dxa" w:w="276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"Agent wallet insufficient balance. Please fund your agent wallet."</w:t>
            </w:r>
          </w:p>
        </w:tc>
        <w:tc>
          <w:tcPr>
            <w:tcW w:type="dxa" w:w="16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Pause rule. Alert user. Do not retry.</w:t>
            </w:r>
          </w:p>
        </w:tc>
      </w:tr>
      <w:tr>
        <w:tc>
          <w:tcPr>
            <w:tcW w:type="dxa" w:w="22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EXEC_TIMEOUT</w:t>
            </w:r>
          </w:p>
        </w:tc>
        <w:tc>
          <w:tcPr>
            <w:tcW w:type="dxa" w:w="28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Transaction not confirmed in 60s</w:t>
            </w:r>
          </w:p>
        </w:tc>
        <w:tc>
          <w:tcPr>
            <w:tcW w:type="dxa" w:w="276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"Transaction did not confirm. Your funds are safe — no action was taken."</w:t>
            </w:r>
          </w:p>
        </w:tc>
        <w:tc>
          <w:tcPr>
            <w:tcW w:type="dxa" w:w="16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Mark FAILED. Do not retry. User must manually trigger.</w:t>
            </w:r>
          </w:p>
        </w:tc>
      </w:tr>
      <w:tr>
        <w:tc>
          <w:tcPr>
            <w:tcW w:type="dxa" w:w="22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EXEC_SIMULATION_FAIL</w:t>
            </w:r>
          </w:p>
        </w:tc>
        <w:tc>
          <w:tcPr>
            <w:tcW w:type="dxa" w:w="28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Transaction simulation fails before submission</w:t>
            </w:r>
          </w:p>
        </w:tc>
        <w:tc>
          <w:tcPr>
            <w:tcW w:type="dxa" w:w="276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"Market conditions changed — action no longer valid."</w:t>
            </w:r>
          </w:p>
        </w:tc>
        <w:tc>
          <w:tcPr>
            <w:tcW w:type="dxa" w:w="16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Mark STALE_CONDITION. Log for analysis.</w:t>
            </w:r>
          </w:p>
        </w:tc>
      </w:tr>
      <w:tr>
        <w:tc>
          <w:tcPr>
            <w:tcW w:type="dxa" w:w="22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CIRCUIT_WALLET_BREAKER</w:t>
            </w:r>
          </w:p>
        </w:tc>
        <w:tc>
          <w:tcPr>
            <w:tcW w:type="dxa" w:w="28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Wallet daily limit exceeded</w:t>
            </w:r>
          </w:p>
        </w:tc>
        <w:tc>
          <w:tcPr>
            <w:tcW w:type="dxa" w:w="276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"Daily limit reached. All rules paused for 24 hours for your safety."</w:t>
            </w:r>
          </w:p>
        </w:tc>
        <w:tc>
          <w:tcPr>
            <w:tcW w:type="dxa" w:w="16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Pause ALL wallet rules. Alert user. Auto-resume after 24h.</w:t>
            </w:r>
          </w:p>
        </w:tc>
      </w:tr>
      <w:tr>
        <w:tc>
          <w:tcPr>
            <w:tcW w:type="dxa" w:w="22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CIRCUIT_RULE_BREAKER</w:t>
            </w:r>
          </w:p>
        </w:tc>
        <w:tc>
          <w:tcPr>
            <w:tcW w:type="dxa" w:w="28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Rule fired too many times</w:t>
            </w:r>
          </w:p>
        </w:tc>
        <w:tc>
          <w:tcPr>
            <w:tcW w:type="dxa" w:w="276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"This rule has fired unusually often. Please review and re-activate."</w:t>
            </w:r>
          </w:p>
        </w:tc>
        <w:tc>
          <w:tcPr>
            <w:tcW w:type="dxa" w:w="16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Pause specific rule. Require manual re-activation.</w:t>
            </w:r>
          </w:p>
        </w:tc>
      </w:tr>
      <w:tr>
        <w:tc>
          <w:tcPr>
            <w:tcW w:type="dxa" w:w="22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RPC_UNAVAILABLE</w:t>
            </w:r>
          </w:p>
        </w:tc>
        <w:tc>
          <w:tcPr>
            <w:tcW w:type="dxa" w:w="28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Both RPC providers unreachable</w:t>
            </w:r>
          </w:p>
        </w:tc>
        <w:tc>
          <w:tcPr>
            <w:tcW w:type="dxa" w:w="276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"Solana connectivity issue — retrying automatically."</w:t>
            </w:r>
          </w:p>
        </w:tc>
        <w:tc>
          <w:tcPr>
            <w:tcW w:type="dxa" w:w="16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Pause all executions. PagerDuty alert. Retry on recovery.</w:t>
            </w:r>
          </w:p>
        </w:tc>
      </w:tr>
      <w:tr>
        <w:tc>
          <w:tcPr>
            <w:tcW w:type="dxa" w:w="22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WEBHOOK_HMAC_FAIL</w:t>
            </w:r>
          </w:p>
        </w:tc>
        <w:tc>
          <w:tcPr>
            <w:tcW w:type="dxa" w:w="28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Helius webhook signature invalid</w:t>
            </w:r>
          </w:p>
        </w:tc>
        <w:tc>
          <w:tcPr>
            <w:tcW w:type="dxa" w:w="276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Silent (never user-facing)</w:t>
            </w:r>
          </w:p>
        </w:tc>
        <w:tc>
          <w:tcPr>
            <w:tcW w:type="dxa" w:w="16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Reject with 401. Log source IP. Alert if repeated.</w:t>
            </w:r>
          </w:p>
        </w:tc>
      </w:tr>
    </w:tbl>
    <w:p>
      <w:pPr>
        <w:spacing w:after="0" w:before="120"/>
      </w:pPr>
      <w:r>
        <w:t xml:space="preserve"/>
      </w:r>
    </w:p>
    <w:p>
      <w:r>
        <w:br w:type="page"/>
      </w:r>
    </w:p>
    <w:p>
      <w:pPr>
        <w:pStyle w:val="Heading1"/>
        <w:pBdr>
          <w:bottom w:val="single" w:color="6D28D9" w:sz="6" w:space="6"/>
        </w:pBdr>
        <w:spacing w:after="180" w:before="480"/>
      </w:pPr>
      <w:r>
        <w:rPr>
          <w:rFonts w:ascii="Arial" w:cs="Arial" w:eastAsia="Arial" w:hAnsi="Arial"/>
          <w:b/>
          <w:bCs/>
          <w:color w:val="4C1D95"/>
          <w:sz w:val="40"/>
          <w:szCs w:val="40"/>
        </w:rPr>
        <w:t xml:space="preserve">13. Competitive Position</w:t>
      </w:r>
    </w:p>
    <w:p>
      <w:pPr>
        <w:pStyle w:val="Heading2"/>
        <w:spacing w:after="120" w:before="300"/>
      </w:pPr>
      <w:r>
        <w:rPr>
          <w:rFonts w:ascii="Arial" w:cs="Arial" w:eastAsia="Arial" w:hAnsi="Arial"/>
          <w:b/>
          <w:bCs/>
          <w:color w:val="6D28D9"/>
          <w:sz w:val="28"/>
          <w:szCs w:val="28"/>
        </w:rPr>
        <w:t xml:space="preserve">13.1  Honest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400"/>
        <w:gridCol w:w="2160"/>
      </w:tblGrid>
      <w:tr>
        <w:tc>
          <w:tcPr>
            <w:tcW w:type="dxa" w:w="220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vAlign w:val="top"/>
          </w:tcPr>
          <w:p>
            <w:pPr>
              <w:spacing w:after="20" w:before="20"/>
              <w:jc w:val="left"/>
            </w:pPr>
            <w:r>
              <w:rPr>
                <w:rFonts w:ascii="Arial" w:cs="Arial" w:eastAsia="Arial" w:hAnsi="Arial"/>
                <w:b/>
                <w:bCs/>
                <w:i w:val="false"/>
                <w:iCs w:val="false"/>
                <w:color w:val="FFFFFF"/>
                <w:sz w:val="19"/>
                <w:szCs w:val="19"/>
              </w:rPr>
              <w:t xml:space="preserve">Competitor</w:t>
            </w:r>
          </w:p>
        </w:tc>
        <w:tc>
          <w:tcPr>
            <w:tcW w:type="dxa" w:w="260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vAlign w:val="top"/>
          </w:tcPr>
          <w:p>
            <w:pPr>
              <w:spacing w:after="20" w:before="20"/>
              <w:jc w:val="left"/>
            </w:pPr>
            <w:r>
              <w:rPr>
                <w:rFonts w:ascii="Arial" w:cs="Arial" w:eastAsia="Arial" w:hAnsi="Arial"/>
                <w:b/>
                <w:bCs/>
                <w:i w:val="false"/>
                <w:iCs w:val="false"/>
                <w:color w:val="FFFFFF"/>
                <w:sz w:val="19"/>
                <w:szCs w:val="19"/>
              </w:rPr>
              <w:t xml:space="preserve">What They Do Well</w:t>
            </w:r>
          </w:p>
        </w:tc>
        <w:tc>
          <w:tcPr>
            <w:tcW w:type="dxa" w:w="240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vAlign w:val="top"/>
          </w:tcPr>
          <w:p>
            <w:pPr>
              <w:spacing w:after="20" w:before="20"/>
              <w:jc w:val="left"/>
            </w:pPr>
            <w:r>
              <w:rPr>
                <w:rFonts w:ascii="Arial" w:cs="Arial" w:eastAsia="Arial" w:hAnsi="Arial"/>
                <w:b/>
                <w:bCs/>
                <w:i w:val="false"/>
                <w:iCs w:val="false"/>
                <w:color w:val="FFFFFF"/>
                <w:sz w:val="19"/>
                <w:szCs w:val="19"/>
              </w:rPr>
              <w:t xml:space="preserve">Their Gap</w:t>
            </w:r>
          </w:p>
        </w:tc>
        <w:tc>
          <w:tcPr>
            <w:tcW w:type="dxa" w:w="216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vAlign w:val="top"/>
          </w:tcPr>
          <w:p>
            <w:pPr>
              <w:spacing w:after="20" w:before="20"/>
              <w:jc w:val="left"/>
            </w:pPr>
            <w:r>
              <w:rPr>
                <w:rFonts w:ascii="Arial" w:cs="Arial" w:eastAsia="Arial" w:hAnsi="Arial"/>
                <w:b/>
                <w:bCs/>
                <w:i w:val="false"/>
                <w:iCs w:val="false"/>
                <w:color w:val="FFFFFF"/>
                <w:sz w:val="19"/>
                <w:szCs w:val="19"/>
              </w:rPr>
              <w:t xml:space="preserve">SolAgent Difference</w:t>
            </w:r>
          </w:p>
        </w:tc>
      </w:tr>
      <w:tr>
        <w:tc>
          <w:tcPr>
            <w:tcW w:type="dxa" w:w="22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Banana Gun / Trojan (Telegram bots)</w:t>
            </w:r>
          </w:p>
        </w:tc>
        <w:tc>
          <w:tcPr>
            <w:tcW w:type="dxa" w:w="26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Speed, sniper execution, large user base</w:t>
            </w:r>
          </w:p>
        </w:tc>
        <w:tc>
          <w:tcPr>
            <w:tcW w:type="dxa" w:w="24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Custodial, opaque, no audit trail, technical setup required</w:t>
            </w:r>
          </w:p>
        </w:tc>
        <w:tc>
          <w:tcPr>
            <w:tcW w:type="dxa" w:w="216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Non-technical NLP interface, on-chain audit trail, semi-custodial with migration path</w:t>
            </w:r>
          </w:p>
        </w:tc>
      </w:tr>
      <w:tr>
        <w:tc>
          <w:tcPr>
            <w:tcW w:type="dxa" w:w="22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Streamflow</w:t>
            </w:r>
          </w:p>
        </w:tc>
        <w:tc>
          <w:tcPr>
            <w:tcW w:type="dxa" w:w="26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Token streaming, vesting, scheduled transfers</w:t>
            </w:r>
          </w:p>
        </w:tc>
        <w:tc>
          <w:tcPr>
            <w:tcW w:type="dxa" w:w="24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Single-purpose, no conditional logic, no AI</w:t>
            </w:r>
          </w:p>
        </w:tc>
        <w:tc>
          <w:tcPr>
            <w:tcW w:type="dxa" w:w="216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General-purpose conditional rules, NLP interface</w:t>
            </w:r>
          </w:p>
        </w:tc>
      </w:tr>
      <w:tr>
        <w:tc>
          <w:tcPr>
            <w:tcW w:type="dxa" w:w="22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Kamino / MarginFi</w:t>
            </w:r>
          </w:p>
        </w:tc>
        <w:tc>
          <w:tcPr>
            <w:tcW w:type="dxa" w:w="26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Deep DeFi protocol integrations, battle-tested</w:t>
            </w:r>
          </w:p>
        </w:tc>
        <w:tc>
          <w:tcPr>
            <w:tcW w:type="dxa" w:w="24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Not automation tools — they are protocols</w:t>
            </w:r>
          </w:p>
        </w:tc>
        <w:tc>
          <w:tcPr>
            <w:tcW w:type="dxa" w:w="216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Integration targets: SolAgent will automate Kamino/MarginFi strategies</w:t>
            </w:r>
          </w:p>
        </w:tc>
      </w:tr>
      <w:tr>
        <w:tc>
          <w:tcPr>
            <w:tcW w:type="dxa" w:w="22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Dialect Blinks</w:t>
            </w:r>
          </w:p>
        </w:tc>
        <w:tc>
          <w:tcPr>
            <w:tcW w:type="dxa" w:w="26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Embeddable Solana action UI</w:t>
            </w:r>
          </w:p>
        </w:tc>
        <w:tc>
          <w:tcPr>
            <w:tcW w:type="dxa" w:w="24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Human-initiated only, no autonomous execution</w:t>
            </w:r>
          </w:p>
        </w:tc>
        <w:tc>
          <w:tcPr>
            <w:tcW w:type="dxa" w:w="216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Complementary — Blinks for manual; SolAgent for autonomous</w:t>
            </w:r>
          </w:p>
        </w:tc>
      </w:tr>
      <w:tr>
        <w:tc>
          <w:tcPr>
            <w:tcW w:type="dxa" w:w="22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Custom Anchor programs</w:t>
            </w:r>
          </w:p>
        </w:tc>
        <w:tc>
          <w:tcPr>
            <w:tcW w:type="dxa" w:w="26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Fully on-chain logic, trustless</w:t>
            </w:r>
          </w:p>
        </w:tc>
        <w:tc>
          <w:tcPr>
            <w:tcW w:type="dxa" w:w="24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Requires Rust developer, expensive to deploy/maintain</w:t>
            </w:r>
          </w:p>
        </w:tc>
        <w:tc>
          <w:tcPr>
            <w:tcW w:type="dxa" w:w="216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NLP interface replaces code for 99% of use cases</w:t>
            </w:r>
          </w:p>
        </w:tc>
      </w:tr>
    </w:tbl>
    <w:p>
      <w:pPr>
        <w:spacing w:after="0" w:before="80"/>
      </w:pPr>
      <w:r>
        <w:t xml:space="preserve"/>
      </w:r>
    </w:p>
    <w:p>
      <w:pPr>
        <w:pStyle w:val="Heading2"/>
        <w:spacing w:after="120" w:before="300"/>
      </w:pPr>
      <w:r>
        <w:rPr>
          <w:rFonts w:ascii="Arial" w:cs="Arial" w:eastAsia="Arial" w:hAnsi="Arial"/>
          <w:b/>
          <w:bCs/>
          <w:color w:val="6D28D9"/>
          <w:sz w:val="28"/>
          <w:szCs w:val="28"/>
        </w:rPr>
        <w:t xml:space="preserve">13.2  Why This Is Hard to Copy</w:t>
      </w:r>
    </w:p>
    <w:p>
      <w:pPr>
        <w:spacing w:after="80" w:before="80"/>
      </w:pPr>
      <w:r>
        <w:rPr>
          <w:rFonts w:ascii="Arial" w:cs="Arial" w:eastAsia="Arial" w:hAnsi="Arial"/>
          <w:b w:val="false"/>
          <w:bCs w:val="false"/>
          <w:color w:val="374151"/>
          <w:sz w:val="19"/>
          <w:szCs w:val="19"/>
        </w:rPr>
        <w:t xml:space="preserve">The mechanism (memo logging) is trivially copyable. The moat is not the mechanism. The moat is:</w:t>
      </w:r>
    </w:p>
    <w:p>
      <w:pPr>
        <w:pStyle w:val="ListParagraph"/>
        <w:numPr>
          <w:ilvl w:val="0"/>
          <w:numId w:val="3"/>
        </w:numPr>
        <w:spacing w:after="50" w:before="50"/>
      </w:pPr>
      <w:r>
        <w:rPr>
          <w:rFonts w:ascii="Arial" w:cs="Arial" w:eastAsia="Arial" w:hAnsi="Arial"/>
          <w:color w:val="374151"/>
          <w:sz w:val="19"/>
          <w:szCs w:val="19"/>
        </w:rPr>
        <w:t xml:space="preserve">Execution history as a data asset: every wallet that uses SolAgent generates verifiable on-chain history. That history has compounding value — to the user, and to protocols that build on top of it.</w:t>
      </w:r>
    </w:p>
    <w:p>
      <w:pPr>
        <w:pStyle w:val="ListParagraph"/>
        <w:numPr>
          <w:ilvl w:val="0"/>
          <w:numId w:val="3"/>
        </w:numPr>
        <w:spacing w:after="50" w:before="50"/>
      </w:pPr>
      <w:r>
        <w:rPr>
          <w:rFonts w:ascii="Arial" w:cs="Arial" w:eastAsia="Arial" w:hAnsi="Arial"/>
          <w:color w:val="374151"/>
          <w:sz w:val="19"/>
          <w:szCs w:val="19"/>
        </w:rPr>
        <w:t xml:space="preserve">The audit API as a protocol primitive: if Kamino or MarginFi integrates SolAgent's audit API for credit scoring, SolAgent becomes infrastructure. Infrastructure is sticky.</w:t>
      </w:r>
    </w:p>
    <w:p>
      <w:pPr>
        <w:pStyle w:val="ListParagraph"/>
        <w:numPr>
          <w:ilvl w:val="0"/>
          <w:numId w:val="3"/>
        </w:numPr>
        <w:spacing w:after="50" w:before="50"/>
      </w:pPr>
      <w:r>
        <w:rPr>
          <w:rFonts w:ascii="Arial" w:cs="Arial" w:eastAsia="Arial" w:hAnsi="Arial"/>
          <w:color w:val="374151"/>
          <w:sz w:val="19"/>
          <w:szCs w:val="19"/>
        </w:rPr>
        <w:t xml:space="preserve">The on-chain memo schema as a standard: if SolAgent's schema becomes the de facto format for AI agent execution proofs on Solana, other agents will adopt it for interoperability. Standards are winner-take-most.</w:t>
      </w:r>
    </w:p>
    <w:p>
      <w:pPr>
        <w:pStyle w:val="ListParagraph"/>
        <w:numPr>
          <w:ilvl w:val="0"/>
          <w:numId w:val="3"/>
        </w:numPr>
        <w:spacing w:after="50" w:before="50"/>
      </w:pPr>
      <w:r>
        <w:rPr>
          <w:rFonts w:ascii="Arial" w:cs="Arial" w:eastAsia="Arial" w:hAnsi="Arial"/>
          <w:color w:val="374151"/>
          <w:sz w:val="19"/>
          <w:szCs w:val="19"/>
        </w:rPr>
        <w:t xml:space="preserve">Trust is time-denominated: a 12-month clean execution record cannot be faked or fast-followed. Time is the moat.</w:t>
      </w:r>
    </w:p>
    <w:p>
      <w:pPr>
        <w:spacing w:after="0" w:before="120"/>
      </w:pPr>
      <w:r>
        <w:t xml:space="preserve"/>
      </w:r>
    </w:p>
    <w:p>
      <w:r>
        <w:br w:type="page"/>
      </w:r>
    </w:p>
    <w:p>
      <w:pPr>
        <w:pStyle w:val="Heading1"/>
        <w:pBdr>
          <w:bottom w:val="single" w:color="6D28D9" w:sz="6" w:space="6"/>
        </w:pBdr>
        <w:spacing w:after="180" w:before="480"/>
      </w:pPr>
      <w:r>
        <w:rPr>
          <w:rFonts w:ascii="Arial" w:cs="Arial" w:eastAsia="Arial" w:hAnsi="Arial"/>
          <w:b/>
          <w:bCs/>
          <w:color w:val="4C1D95"/>
          <w:sz w:val="40"/>
          <w:szCs w:val="40"/>
        </w:rPr>
        <w:t xml:space="preserve">14. Unit Economics &amp; Business Model</w:t>
      </w:r>
    </w:p>
    <w:p>
      <w:pPr>
        <w:pStyle w:val="Heading2"/>
        <w:spacing w:after="120" w:before="300"/>
      </w:pPr>
      <w:r>
        <w:rPr>
          <w:rFonts w:ascii="Arial" w:cs="Arial" w:eastAsia="Arial" w:hAnsi="Arial"/>
          <w:b/>
          <w:bCs/>
          <w:color w:val="6D28D9"/>
          <w:sz w:val="28"/>
          <w:szCs w:val="28"/>
        </w:rPr>
        <w:t xml:space="preserve">14.1  Cost Structure Per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vAlign w:val="top"/>
          </w:tcPr>
          <w:p>
            <w:pPr>
              <w:spacing w:after="20" w:before="20"/>
              <w:jc w:val="left"/>
            </w:pPr>
            <w:r>
              <w:rPr>
                <w:rFonts w:ascii="Arial" w:cs="Arial" w:eastAsia="Arial" w:hAnsi="Arial"/>
                <w:b/>
                <w:bCs/>
                <w:i w:val="false"/>
                <w:iCs w:val="false"/>
                <w:color w:val="FFFFFF"/>
                <w:sz w:val="19"/>
                <w:szCs w:val="19"/>
              </w:rPr>
              <w:t xml:space="preserve">Cost Item</w:t>
            </w:r>
          </w:p>
        </w:tc>
        <w:tc>
          <w:tcPr>
            <w:tcW w:type="dxa" w:w="160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vAlign w:val="top"/>
          </w:tcPr>
          <w:p>
            <w:pPr>
              <w:spacing w:after="20" w:before="20"/>
              <w:jc w:val="left"/>
            </w:pPr>
            <w:r>
              <w:rPr>
                <w:rFonts w:ascii="Arial" w:cs="Arial" w:eastAsia="Arial" w:hAnsi="Arial"/>
                <w:b/>
                <w:bCs/>
                <w:i w:val="false"/>
                <w:iCs w:val="false"/>
                <w:color w:val="FFFFFF"/>
                <w:sz w:val="19"/>
                <w:szCs w:val="19"/>
              </w:rPr>
              <w:t xml:space="preserve">Amount</w:t>
            </w:r>
          </w:p>
        </w:tc>
        <w:tc>
          <w:tcPr>
            <w:tcW w:type="dxa" w:w="456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vAlign w:val="top"/>
          </w:tcPr>
          <w:p>
            <w:pPr>
              <w:spacing w:after="20" w:before="20"/>
              <w:jc w:val="left"/>
            </w:pPr>
            <w:r>
              <w:rPr>
                <w:rFonts w:ascii="Arial" w:cs="Arial" w:eastAsia="Arial" w:hAnsi="Arial"/>
                <w:b/>
                <w:bCs/>
                <w:i w:val="false"/>
                <w:iCs w:val="false"/>
                <w:color w:val="FFFFFF"/>
                <w:sz w:val="19"/>
                <w:szCs w:val="19"/>
              </w:rPr>
              <w:t xml:space="preserve">Notes</w:t>
            </w:r>
          </w:p>
        </w:tc>
      </w:tr>
      <w:tr>
        <w:tc>
          <w:tcPr>
            <w:tcW w:type="dxa" w:w="32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Solana transaction fee</w:t>
            </w:r>
          </w:p>
        </w:tc>
        <w:tc>
          <w:tcPr>
            <w:tcW w:type="dxa" w:w="16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~$0.00025</w:t>
            </w:r>
          </w:p>
        </w:tc>
        <w:tc>
          <w:tcPr>
            <w:tcW w:type="dxa" w:w="456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Base fee + priority fee (estimated average)</w:t>
            </w:r>
          </w:p>
        </w:tc>
      </w:tr>
      <w:tr>
        <w:tc>
          <w:tcPr>
            <w:tcW w:type="dxa" w:w="32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Memo instruction cost</w:t>
            </w:r>
          </w:p>
        </w:tc>
        <w:tc>
          <w:tcPr>
            <w:tcW w:type="dxa" w:w="16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~$0.00005</w:t>
            </w:r>
          </w:p>
        </w:tc>
        <w:tc>
          <w:tcPr>
            <w:tcW w:type="dxa" w:w="456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Included in transaction fee effectively</w:t>
            </w:r>
          </w:p>
        </w:tc>
      </w:tr>
      <w:tr>
        <w:tc>
          <w:tcPr>
            <w:tcW w:type="dxa" w:w="32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Helius RPC (per webhook)</w:t>
            </w:r>
          </w:p>
        </w:tc>
        <w:tc>
          <w:tcPr>
            <w:tcW w:type="dxa" w:w="16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~$0.0001</w:t>
            </w:r>
          </w:p>
        </w:tc>
        <w:tc>
          <w:tcPr>
            <w:tcW w:type="dxa" w:w="456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At Helius Growth plan pricing</w:t>
            </w:r>
          </w:p>
        </w:tc>
      </w:tr>
      <w:tr>
        <w:tc>
          <w:tcPr>
            <w:tcW w:type="dxa" w:w="32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Claude API (rule creation only)</w:t>
            </w:r>
          </w:p>
        </w:tc>
        <w:tc>
          <w:tcPr>
            <w:tcW w:type="dxa" w:w="16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~$0.002</w:t>
            </w:r>
          </w:p>
        </w:tc>
        <w:tc>
          <w:tcPr>
            <w:tcW w:type="dxa" w:w="456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One-time per rule, amortized over all executions</w:t>
            </w:r>
          </w:p>
        </w:tc>
      </w:tr>
      <w:tr>
        <w:tc>
          <w:tcPr>
            <w:tcW w:type="dxa" w:w="32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Server compute (per execution)</w:t>
            </w:r>
          </w:p>
        </w:tc>
        <w:tc>
          <w:tcPr>
            <w:tcW w:type="dxa" w:w="16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~$0.0005</w:t>
            </w:r>
          </w:p>
        </w:tc>
        <w:tc>
          <w:tcPr>
            <w:tcW w:type="dxa" w:w="456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Estimated at 10,000 executions/day across infrastructure</w:t>
            </w:r>
          </w:p>
        </w:tc>
      </w:tr>
      <w:tr>
        <w:tc>
          <w:tcPr>
            <w:tcW w:type="dxa" w:w="32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Total marginal cost per execution</w:t>
            </w:r>
          </w:p>
        </w:tc>
        <w:tc>
          <w:tcPr>
            <w:tcW w:type="dxa" w:w="16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~$0.003</w:t>
            </w:r>
          </w:p>
        </w:tc>
        <w:tc>
          <w:tcPr>
            <w:tcW w:type="dxa" w:w="456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Dominated by Claude API amortized cost</w:t>
            </w:r>
          </w:p>
        </w:tc>
      </w:tr>
    </w:tbl>
    <w:p>
      <w:pPr>
        <w:spacing w:after="0" w:before="80"/>
      </w:pPr>
      <w:r>
        <w:t xml:space="preserve"/>
      </w:r>
    </w:p>
    <w:p>
      <w:pPr>
        <w:pStyle w:val="Heading2"/>
        <w:spacing w:after="120" w:before="300"/>
      </w:pPr>
      <w:r>
        <w:rPr>
          <w:rFonts w:ascii="Arial" w:cs="Arial" w:eastAsia="Arial" w:hAnsi="Arial"/>
          <w:b/>
          <w:bCs/>
          <w:color w:val="6D28D9"/>
          <w:sz w:val="28"/>
          <w:szCs w:val="28"/>
        </w:rPr>
        <w:t xml:space="preserve">14.2  Revenue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4200"/>
        <w:gridCol w:w="2160"/>
      </w:tblGrid>
      <w:tr>
        <w:tc>
          <w:tcPr>
            <w:tcW w:type="dxa" w:w="140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vAlign w:val="top"/>
          </w:tcPr>
          <w:p>
            <w:pPr>
              <w:spacing w:after="20" w:before="20"/>
              <w:jc w:val="left"/>
            </w:pPr>
            <w:r>
              <w:rPr>
                <w:rFonts w:ascii="Arial" w:cs="Arial" w:eastAsia="Arial" w:hAnsi="Arial"/>
                <w:b/>
                <w:bCs/>
                <w:i w:val="false"/>
                <w:iCs w:val="false"/>
                <w:color w:val="FFFFFF"/>
                <w:sz w:val="19"/>
                <w:szCs w:val="19"/>
              </w:rPr>
              <w:t xml:space="preserve">Tier</w:t>
            </w:r>
          </w:p>
        </w:tc>
        <w:tc>
          <w:tcPr>
            <w:tcW w:type="dxa" w:w="160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vAlign w:val="top"/>
          </w:tcPr>
          <w:p>
            <w:pPr>
              <w:spacing w:after="20" w:before="20"/>
              <w:jc w:val="left"/>
            </w:pPr>
            <w:r>
              <w:rPr>
                <w:rFonts w:ascii="Arial" w:cs="Arial" w:eastAsia="Arial" w:hAnsi="Arial"/>
                <w:b/>
                <w:bCs/>
                <w:i w:val="false"/>
                <w:iCs w:val="false"/>
                <w:color w:val="FFFFFF"/>
                <w:sz w:val="19"/>
                <w:szCs w:val="19"/>
              </w:rPr>
              <w:t xml:space="preserve">Price</w:t>
            </w:r>
          </w:p>
        </w:tc>
        <w:tc>
          <w:tcPr>
            <w:tcW w:type="dxa" w:w="420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vAlign w:val="top"/>
          </w:tcPr>
          <w:p>
            <w:pPr>
              <w:spacing w:after="20" w:before="20"/>
              <w:jc w:val="left"/>
            </w:pPr>
            <w:r>
              <w:rPr>
                <w:rFonts w:ascii="Arial" w:cs="Arial" w:eastAsia="Arial" w:hAnsi="Arial"/>
                <w:b/>
                <w:bCs/>
                <w:i w:val="false"/>
                <w:iCs w:val="false"/>
                <w:color w:val="FFFFFF"/>
                <w:sz w:val="19"/>
                <w:szCs w:val="19"/>
              </w:rPr>
              <w:t xml:space="preserve">Included</w:t>
            </w:r>
          </w:p>
        </w:tc>
        <w:tc>
          <w:tcPr>
            <w:tcW w:type="dxa" w:w="216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vAlign w:val="top"/>
          </w:tcPr>
          <w:p>
            <w:pPr>
              <w:spacing w:after="20" w:before="20"/>
              <w:jc w:val="left"/>
            </w:pPr>
            <w:r>
              <w:rPr>
                <w:rFonts w:ascii="Arial" w:cs="Arial" w:eastAsia="Arial" w:hAnsi="Arial"/>
                <w:b/>
                <w:bCs/>
                <w:i w:val="false"/>
                <w:iCs w:val="false"/>
                <w:color w:val="FFFFFF"/>
                <w:sz w:val="19"/>
                <w:szCs w:val="19"/>
              </w:rPr>
              <w:t xml:space="preserve">Target User</w:t>
            </w:r>
          </w:p>
        </w:tc>
      </w:tr>
      <w:tr>
        <w:tc>
          <w:tcPr>
            <w:tcW w:type="dxa" w:w="14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Free</w:t>
            </w:r>
          </w:p>
        </w:tc>
        <w:tc>
          <w:tcPr>
            <w:tcW w:type="dxa" w:w="16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$0/month</w:t>
            </w:r>
          </w:p>
        </w:tc>
        <w:tc>
          <w:tcPr>
            <w:tcW w:type="dxa" w:w="42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3 active rules, 50 executions/month, basic audit history</w:t>
            </w:r>
          </w:p>
        </w:tc>
        <w:tc>
          <w:tcPr>
            <w:tcW w:type="dxa" w:w="216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Try before commit</w:t>
            </w:r>
          </w:p>
        </w:tc>
      </w:tr>
      <w:tr>
        <w:tc>
          <w:tcPr>
            <w:tcW w:type="dxa" w:w="14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Individual</w:t>
            </w:r>
          </w:p>
        </w:tc>
        <w:tc>
          <w:tcPr>
            <w:tcW w:type="dxa" w:w="16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$15/month</w:t>
            </w:r>
          </w:p>
        </w:tc>
        <w:tc>
          <w:tcPr>
            <w:tcW w:type="dxa" w:w="42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20 active rules, 500 executions/month, full audit history, replay simulation, email alerts</w:t>
            </w:r>
          </w:p>
        </w:tc>
        <w:tc>
          <w:tcPr>
            <w:tcW w:type="dxa" w:w="216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Active DeFi users</w:t>
            </w:r>
          </w:p>
        </w:tc>
      </w:tr>
      <w:tr>
        <w:tc>
          <w:tcPr>
            <w:tcW w:type="dxa" w:w="14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Power</w:t>
            </w:r>
          </w:p>
        </w:tc>
        <w:tc>
          <w:tcPr>
            <w:tcW w:type="dxa" w:w="16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$49/month</w:t>
            </w:r>
          </w:p>
        </w:tc>
        <w:tc>
          <w:tcPr>
            <w:tcW w:type="dxa" w:w="42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100 active rules, unlimited executions, priority execution queue, anomaly detection, API access</w:t>
            </w:r>
          </w:p>
        </w:tc>
        <w:tc>
          <w:tcPr>
            <w:tcW w:type="dxa" w:w="216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Power users, small DAOs</w:t>
            </w:r>
          </w:p>
        </w:tc>
      </w:tr>
      <w:tr>
        <w:tc>
          <w:tcPr>
            <w:tcW w:type="dxa" w:w="14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Protocol / B2B</w:t>
            </w:r>
          </w:p>
        </w:tc>
        <w:tc>
          <w:tcPr>
            <w:tcW w:type="dxa" w:w="16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Custom</w:t>
            </w:r>
          </w:p>
        </w:tc>
        <w:tc>
          <w:tcPr>
            <w:tcW w:type="dxa" w:w="42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Audit API access, white-label, custom rule types, dedicated execution capacity</w:t>
            </w:r>
          </w:p>
        </w:tc>
        <w:tc>
          <w:tcPr>
            <w:tcW w:type="dxa" w:w="216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DeFi protocols, funds</w:t>
            </w:r>
          </w:p>
        </w:tc>
      </w:tr>
    </w:tbl>
    <w:p>
      <w:pPr>
        <w:spacing w:after="0" w:before="80"/>
      </w:pPr>
      <w:r>
        <w:t xml:space="preserve"/>
      </w:r>
    </w:p>
    <w:p>
      <w:pPr>
        <w:pStyle w:val="Heading2"/>
        <w:spacing w:after="120" w:before="300"/>
      </w:pPr>
      <w:r>
        <w:rPr>
          <w:rFonts w:ascii="Arial" w:cs="Arial" w:eastAsia="Arial" w:hAnsi="Arial"/>
          <w:b/>
          <w:bCs/>
          <w:color w:val="6D28D9"/>
          <w:sz w:val="28"/>
          <w:szCs w:val="28"/>
        </w:rPr>
        <w:t xml:space="preserve">14.3  Unit Economics at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00"/>
        <w:gridCol w:w="2100"/>
        <w:gridCol w:w="2360"/>
      </w:tblGrid>
      <w:tr>
        <w:tc>
          <w:tcPr>
            <w:tcW w:type="dxa" w:w="280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vAlign w:val="top"/>
          </w:tcPr>
          <w:p>
            <w:pPr>
              <w:spacing w:after="20" w:before="20"/>
              <w:jc w:val="left"/>
            </w:pPr>
            <w:r>
              <w:rPr>
                <w:rFonts w:ascii="Arial" w:cs="Arial" w:eastAsia="Arial" w:hAnsi="Arial"/>
                <w:b/>
                <w:bCs/>
                <w:i w:val="false"/>
                <w:iCs w:val="false"/>
                <w:color w:val="FFFFFF"/>
                <w:sz w:val="19"/>
                <w:szCs w:val="19"/>
              </w:rPr>
              <w:t xml:space="preserve">Metric</w:t>
            </w:r>
          </w:p>
        </w:tc>
        <w:tc>
          <w:tcPr>
            <w:tcW w:type="dxa" w:w="210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vAlign w:val="top"/>
          </w:tcPr>
          <w:p>
            <w:pPr>
              <w:spacing w:after="20" w:before="20"/>
              <w:jc w:val="left"/>
            </w:pPr>
            <w:r>
              <w:rPr>
                <w:rFonts w:ascii="Arial" w:cs="Arial" w:eastAsia="Arial" w:hAnsi="Arial"/>
                <w:b/>
                <w:bCs/>
                <w:i w:val="false"/>
                <w:iCs w:val="false"/>
                <w:color w:val="FFFFFF"/>
                <w:sz w:val="19"/>
                <w:szCs w:val="19"/>
              </w:rPr>
              <w:t xml:space="preserve">100 Paying Users</w:t>
            </w:r>
          </w:p>
        </w:tc>
        <w:tc>
          <w:tcPr>
            <w:tcW w:type="dxa" w:w="210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vAlign w:val="top"/>
          </w:tcPr>
          <w:p>
            <w:pPr>
              <w:spacing w:after="20" w:before="20"/>
              <w:jc w:val="left"/>
            </w:pPr>
            <w:r>
              <w:rPr>
                <w:rFonts w:ascii="Arial" w:cs="Arial" w:eastAsia="Arial" w:hAnsi="Arial"/>
                <w:b/>
                <w:bCs/>
                <w:i w:val="false"/>
                <w:iCs w:val="false"/>
                <w:color w:val="FFFFFF"/>
                <w:sz w:val="19"/>
                <w:szCs w:val="19"/>
              </w:rPr>
              <w:t xml:space="preserve">1,000 Paying Users</w:t>
            </w:r>
          </w:p>
        </w:tc>
        <w:tc>
          <w:tcPr>
            <w:tcW w:type="dxa" w:w="236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vAlign w:val="top"/>
          </w:tcPr>
          <w:p>
            <w:pPr>
              <w:spacing w:after="20" w:before="20"/>
              <w:jc w:val="left"/>
            </w:pPr>
            <w:r>
              <w:rPr>
                <w:rFonts w:ascii="Arial" w:cs="Arial" w:eastAsia="Arial" w:hAnsi="Arial"/>
                <w:b/>
                <w:bCs/>
                <w:i w:val="false"/>
                <w:iCs w:val="false"/>
                <w:color w:val="FFFFFF"/>
                <w:sz w:val="19"/>
                <w:szCs w:val="19"/>
              </w:rPr>
              <w:t xml:space="preserve">10,000 Paying Users</w:t>
            </w:r>
          </w:p>
        </w:tc>
      </w:tr>
      <w:tr>
        <w:tc>
          <w:tcPr>
            <w:tcW w:type="dxa" w:w="28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Average revenue per user (blended)</w:t>
            </w:r>
          </w:p>
        </w:tc>
        <w:tc>
          <w:tcPr>
            <w:tcW w:type="dxa" w:w="21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$22/month</w:t>
            </w:r>
          </w:p>
        </w:tc>
        <w:tc>
          <w:tcPr>
            <w:tcW w:type="dxa" w:w="21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$22/month</w:t>
            </w:r>
          </w:p>
        </w:tc>
        <w:tc>
          <w:tcPr>
            <w:tcW w:type="dxa" w:w="236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$22/month</w:t>
            </w:r>
          </w:p>
        </w:tc>
      </w:tr>
      <w:tr>
        <w:tc>
          <w:tcPr>
            <w:tcW w:type="dxa" w:w="28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Monthly Revenue</w:t>
            </w:r>
          </w:p>
        </w:tc>
        <w:tc>
          <w:tcPr>
            <w:tcW w:type="dxa" w:w="21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$2,200</w:t>
            </w:r>
          </w:p>
        </w:tc>
        <w:tc>
          <w:tcPr>
            <w:tcW w:type="dxa" w:w="21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$22,000</w:t>
            </w:r>
          </w:p>
        </w:tc>
        <w:tc>
          <w:tcPr>
            <w:tcW w:type="dxa" w:w="236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$220,000</w:t>
            </w:r>
          </w:p>
        </w:tc>
      </w:tr>
      <w:tr>
        <w:tc>
          <w:tcPr>
            <w:tcW w:type="dxa" w:w="28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Estimated server cost</w:t>
            </w:r>
          </w:p>
        </w:tc>
        <w:tc>
          <w:tcPr>
            <w:tcW w:type="dxa" w:w="21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$800</w:t>
            </w:r>
          </w:p>
        </w:tc>
        <w:tc>
          <w:tcPr>
            <w:tcW w:type="dxa" w:w="21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$3,500</w:t>
            </w:r>
          </w:p>
        </w:tc>
        <w:tc>
          <w:tcPr>
            <w:tcW w:type="dxa" w:w="236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$20,000</w:t>
            </w:r>
          </w:p>
        </w:tc>
      </w:tr>
      <w:tr>
        <w:tc>
          <w:tcPr>
            <w:tcW w:type="dxa" w:w="28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Estimated Claude API cost (rule creation)</w:t>
            </w:r>
          </w:p>
        </w:tc>
        <w:tc>
          <w:tcPr>
            <w:tcW w:type="dxa" w:w="21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$50</w:t>
            </w:r>
          </w:p>
        </w:tc>
        <w:tc>
          <w:tcPr>
            <w:tcW w:type="dxa" w:w="21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$500</w:t>
            </w:r>
          </w:p>
        </w:tc>
        <w:tc>
          <w:tcPr>
            <w:tcW w:type="dxa" w:w="236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$5,000</w:t>
            </w:r>
          </w:p>
        </w:tc>
      </w:tr>
      <w:tr>
        <w:tc>
          <w:tcPr>
            <w:tcW w:type="dxa" w:w="28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Gross margin</w:t>
            </w:r>
          </w:p>
        </w:tc>
        <w:tc>
          <w:tcPr>
            <w:tcW w:type="dxa" w:w="21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~60%</w:t>
            </w:r>
          </w:p>
        </w:tc>
        <w:tc>
          <w:tcPr>
            <w:tcW w:type="dxa" w:w="21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~82%</w:t>
            </w:r>
          </w:p>
        </w:tc>
        <w:tc>
          <w:tcPr>
            <w:tcW w:type="dxa" w:w="236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~89%</w:t>
            </w:r>
          </w:p>
        </w:tc>
      </w:tr>
    </w:tbl>
    <w:p>
      <w:pPr>
        <w:spacing w:after="0" w:before="80"/>
      </w:pPr>
      <w:r>
        <w:t xml:space="preserve"/>
      </w:r>
    </w:p>
    <w:p>
      <w:pPr>
        <w:pBdr>
          <w:left w:val="single" w:color="059669" w:sz="20" w:space="8"/>
        </w:pBdr>
        <w:shd w:fill="D1FAE5" w:val="clear"/>
        <w:spacing w:after="140" w:before="140"/>
        <w:ind w:left="240"/>
      </w:pPr>
      <w:r>
        <w:rPr>
          <w:rFonts w:ascii="Arial" w:cs="Arial" w:eastAsia="Arial" w:hAnsi="Arial"/>
          <w:b/>
          <w:bCs/>
          <w:color w:val="059669"/>
          <w:sz w:val="19"/>
          <w:szCs w:val="19"/>
        </w:rPr>
        <w:t xml:space="preserve">DECISION  </w:t>
      </w:r>
      <w:r>
        <w:rPr>
          <w:rFonts w:ascii="Arial" w:cs="Arial" w:eastAsia="Arial" w:hAnsi="Arial"/>
          <w:color w:val="111827"/>
          <w:sz w:val="19"/>
          <w:szCs w:val="19"/>
        </w:rPr>
        <w:t xml:space="preserve">Gross margin improves dramatically with scale because the primary variable cost (Claude API) is per-rule-creation, not per-execution. Infrastructure costs grow sub-linearly due to execution batching and caching.</w:t>
      </w:r>
    </w:p>
    <w:p>
      <w:pPr>
        <w:spacing w:after="0" w:before="120"/>
      </w:pPr>
      <w:r>
        <w:t xml:space="preserve"/>
      </w:r>
    </w:p>
    <w:p>
      <w:r>
        <w:br w:type="page"/>
      </w:r>
    </w:p>
    <w:p>
      <w:pPr>
        <w:pStyle w:val="Heading1"/>
        <w:pBdr>
          <w:bottom w:val="single" w:color="6D28D9" w:sz="6" w:space="6"/>
        </w:pBdr>
        <w:spacing w:after="180" w:before="480"/>
      </w:pPr>
      <w:r>
        <w:rPr>
          <w:rFonts w:ascii="Arial" w:cs="Arial" w:eastAsia="Arial" w:hAnsi="Arial"/>
          <w:b/>
          <w:bCs/>
          <w:color w:val="4C1D95"/>
          <w:sz w:val="40"/>
          <w:szCs w:val="40"/>
        </w:rPr>
        <w:t xml:space="preserve">15. Phase Roadmap</w:t>
      </w:r>
    </w:p>
    <w:p>
      <w:pPr>
        <w:pStyle w:val="Heading2"/>
        <w:spacing w:after="120" w:before="300"/>
      </w:pPr>
      <w:r>
        <w:rPr>
          <w:rFonts w:ascii="Arial" w:cs="Arial" w:eastAsia="Arial" w:hAnsi="Arial"/>
          <w:b/>
          <w:bCs/>
          <w:color w:val="6D28D9"/>
          <w:sz w:val="28"/>
          <w:szCs w:val="28"/>
        </w:rPr>
        <w:t xml:space="preserve">15.1  v1.0 — Foundation (Months 1–3)</w:t>
      </w:r>
    </w:p>
    <w:p>
      <w:pPr>
        <w:pBdr>
          <w:left w:val="single" w:color="6D28D9" w:sz="20" w:space="8"/>
        </w:pBdr>
        <w:shd w:fill="EDE9FE" w:val="clear"/>
        <w:spacing w:after="140" w:before="140"/>
        <w:ind w:left="240"/>
      </w:pPr>
      <w:r>
        <w:rPr>
          <w:rFonts w:ascii="Arial" w:cs="Arial" w:eastAsia="Arial" w:hAnsi="Arial"/>
          <w:b/>
          <w:bCs/>
          <w:color w:val="6D28D9"/>
          <w:sz w:val="19"/>
          <w:szCs w:val="19"/>
        </w:rPr>
        <w:t xml:space="preserve">v1.0 GOAL  </w:t>
      </w:r>
      <w:r>
        <w:rPr>
          <w:rFonts w:ascii="Arial" w:cs="Arial" w:eastAsia="Arial" w:hAnsi="Arial"/>
          <w:color w:val="111827"/>
          <w:sz w:val="19"/>
          <w:szCs w:val="19"/>
        </w:rPr>
        <w:t xml:space="preserve">Goal: Production-grade core loop. Event-driven monitoring, idempotent execution, on-chain proofs, honest semi-custodial model. No cutting corners on security or architecture.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vAlign w:val="top"/>
          </w:tcPr>
          <w:p>
            <w:pPr>
              <w:spacing w:after="20" w:before="20"/>
              <w:jc w:val="left"/>
            </w:pPr>
            <w:r>
              <w:rPr>
                <w:rFonts w:ascii="Arial" w:cs="Arial" w:eastAsia="Arial" w:hAnsi="Arial"/>
                <w:b/>
                <w:bCs/>
                <w:i w:val="false"/>
                <w:iCs w:val="false"/>
                <w:color w:val="FFFFFF"/>
                <w:sz w:val="19"/>
                <w:szCs w:val="19"/>
              </w:rPr>
              <w:t xml:space="preserve">Component</w:t>
            </w:r>
          </w:p>
        </w:tc>
        <w:tc>
          <w:tcPr>
            <w:tcW w:type="dxa" w:w="420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vAlign w:val="top"/>
          </w:tcPr>
          <w:p>
            <w:pPr>
              <w:spacing w:after="20" w:before="20"/>
              <w:jc w:val="left"/>
            </w:pPr>
            <w:r>
              <w:rPr>
                <w:rFonts w:ascii="Arial" w:cs="Arial" w:eastAsia="Arial" w:hAnsi="Arial"/>
                <w:b/>
                <w:bCs/>
                <w:i w:val="false"/>
                <w:iCs w:val="false"/>
                <w:color w:val="FFFFFF"/>
                <w:sz w:val="19"/>
                <w:szCs w:val="19"/>
              </w:rPr>
              <w:t xml:space="preserve">Specification</w:t>
            </w:r>
          </w:p>
        </w:tc>
        <w:tc>
          <w:tcPr>
            <w:tcW w:type="dxa" w:w="276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vAlign w:val="top"/>
          </w:tcPr>
          <w:p>
            <w:pPr>
              <w:spacing w:after="20" w:before="20"/>
              <w:jc w:val="left"/>
            </w:pPr>
            <w:r>
              <w:rPr>
                <w:rFonts w:ascii="Arial" w:cs="Arial" w:eastAsia="Arial" w:hAnsi="Arial"/>
                <w:b/>
                <w:bCs/>
                <w:i w:val="false"/>
                <w:iCs w:val="false"/>
                <w:color w:val="FFFFFF"/>
                <w:sz w:val="19"/>
                <w:szCs w:val="19"/>
              </w:rPr>
              <w:t xml:space="preserve">Done When</w:t>
            </w:r>
          </w:p>
        </w:tc>
      </w:tr>
      <w:tr>
        <w:tc>
          <w:tcPr>
            <w:tcW w:type="dxa" w:w="24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Event-driven monitoring</w:t>
            </w:r>
          </w:p>
        </w:tc>
        <w:tc>
          <w:tcPr>
            <w:tcW w:type="dxa" w:w="42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Helius webhooks for all agent wallets + 5-min safety polling fallback</w:t>
            </w:r>
          </w:p>
        </w:tc>
        <w:tc>
          <w:tcPr>
            <w:tcW w:type="dxa" w:w="276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Zero missed events in 7-day test</w:t>
            </w:r>
          </w:p>
        </w:tc>
      </w:tr>
      <w:tr>
        <w:tc>
          <w:tcPr>
            <w:tcW w:type="dxa" w:w="24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Idempotent execution engine</w:t>
            </w:r>
          </w:p>
        </w:tc>
        <w:tc>
          <w:tcPr>
            <w:tcW w:type="dxa" w:w="42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PostgreSQL-based idempotency key check, wallet-keyed BullMQ queues</w:t>
            </w:r>
          </w:p>
        </w:tc>
        <w:tc>
          <w:tcPr>
            <w:tcW w:type="dxa" w:w="276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Stress test: 0 double-executions in 1000 runs</w:t>
            </w:r>
          </w:p>
        </w:tc>
      </w:tr>
      <w:tr>
        <w:tc>
          <w:tcPr>
            <w:tcW w:type="dxa" w:w="24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On-chain memo proofs</w:t>
            </w:r>
          </w:p>
        </w:tc>
        <w:tc>
          <w:tcPr>
            <w:tcW w:type="dxa" w:w="42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Versioned JSON memo attached to every execution transaction, Audit Indexer live</w:t>
            </w:r>
          </w:p>
        </w:tc>
        <w:tc>
          <w:tcPr>
            <w:tcW w:type="dxa" w:w="276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100% of executions have retrievable on-chain proof</w:t>
            </w:r>
          </w:p>
        </w:tc>
      </w:tr>
      <w:tr>
        <w:tc>
          <w:tcPr>
            <w:tcW w:type="dxa" w:w="24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Dual-oracle price check</w:t>
            </w:r>
          </w:p>
        </w:tc>
        <w:tc>
          <w:tcPr>
            <w:tcW w:type="dxa" w:w="42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Jupiter + Pyth cross-validation with 1% deviation threshold</w:t>
            </w:r>
          </w:p>
        </w:tc>
        <w:tc>
          <w:tcPr>
            <w:tcW w:type="dxa" w:w="276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All price-triggered executions validated before submission</w:t>
            </w:r>
          </w:p>
        </w:tc>
      </w:tr>
      <w:tr>
        <w:tc>
          <w:tcPr>
            <w:tcW w:type="dxa" w:w="24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Multi-layer circuit breakers</w:t>
            </w:r>
          </w:p>
        </w:tc>
        <w:tc>
          <w:tcPr>
            <w:tcW w:type="dxa" w:w="42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Per-execution, per-rule, per-wallet, global anomaly detection</w:t>
            </w:r>
          </w:p>
        </w:tc>
        <w:tc>
          <w:tcPr>
            <w:tcW w:type="dxa" w:w="276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Circuit breaker test suite: 100% coverage</w:t>
            </w:r>
          </w:p>
        </w:tc>
      </w:tr>
      <w:tr>
        <w:tc>
          <w:tcPr>
            <w:tcW w:type="dxa" w:w="24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Structured LLM output</w:t>
            </w:r>
          </w:p>
        </w:tc>
        <w:tc>
          <w:tcPr>
            <w:tcW w:type="dxa" w:w="42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Tool-use API with full schema validation pipeline, 6-layer validation</w:t>
            </w:r>
          </w:p>
        </w:tc>
        <w:tc>
          <w:tcPr>
            <w:tcW w:type="dxa" w:w="276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0 invalid rules reach database</w:t>
            </w:r>
          </w:p>
        </w:tc>
      </w:tr>
      <w:tr>
        <w:tc>
          <w:tcPr>
            <w:tcW w:type="dxa" w:w="24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Rule Replay simulation</w:t>
            </w:r>
          </w:p>
        </w:tc>
        <w:tc>
          <w:tcPr>
            <w:tcW w:type="dxa" w:w="42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7-day historical backtest before activation</w:t>
            </w:r>
          </w:p>
        </w:tc>
        <w:tc>
          <w:tcPr>
            <w:tcW w:type="dxa" w:w="276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Available on all rule types</w:t>
            </w:r>
          </w:p>
        </w:tc>
      </w:tr>
      <w:tr>
        <w:tc>
          <w:tcPr>
            <w:tcW w:type="dxa" w:w="24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SIWS authentication</w:t>
            </w:r>
          </w:p>
        </w:tc>
        <w:tc>
          <w:tcPr>
            <w:tcW w:type="dxa" w:w="42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Sign-In With Solana, JWT 24h expiry</w:t>
            </w:r>
          </w:p>
        </w:tc>
        <w:tc>
          <w:tcPr>
            <w:tcW w:type="dxa" w:w="276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No password-based auth anywhere</w:t>
            </w:r>
          </w:p>
        </w:tc>
      </w:tr>
      <w:tr>
        <w:tc>
          <w:tcPr>
            <w:tcW w:type="dxa" w:w="24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Public Audit API</w:t>
            </w:r>
          </w:p>
        </w:tc>
        <w:tc>
          <w:tcPr>
            <w:tcW w:type="dxa" w:w="42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GET /audit/{wallet}, GET /audit/tx/{sig} — no auth required</w:t>
            </w:r>
          </w:p>
        </w:tc>
        <w:tc>
          <w:tcPr>
            <w:tcW w:type="dxa" w:w="276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Any third party can verify any execution</w:t>
            </w:r>
          </w:p>
        </w:tc>
      </w:tr>
    </w:tbl>
    <w:p>
      <w:pPr>
        <w:spacing w:after="0" w:before="80"/>
      </w:pPr>
      <w:r>
        <w:t xml:space="preserve"/>
      </w:r>
    </w:p>
    <w:p>
      <w:pPr>
        <w:pStyle w:val="Heading2"/>
        <w:spacing w:after="120" w:before="300"/>
      </w:pPr>
      <w:r>
        <w:rPr>
          <w:rFonts w:ascii="Arial" w:cs="Arial" w:eastAsia="Arial" w:hAnsi="Arial"/>
          <w:b/>
          <w:bCs/>
          <w:color w:val="6D28D9"/>
          <w:sz w:val="28"/>
          <w:szCs w:val="28"/>
        </w:rPr>
        <w:t xml:space="preserve">15.2  v2.0 — Trust Upgrade (Months 4–8)</w:t>
      </w:r>
    </w:p>
    <w:p>
      <w:pPr>
        <w:pStyle w:val="ListParagraph"/>
        <w:numPr>
          <w:ilvl w:val="0"/>
          <w:numId w:val="3"/>
        </w:numPr>
        <w:spacing w:after="50" w:before="50"/>
      </w:pPr>
      <w:r>
        <w:rPr>
          <w:rFonts w:ascii="Arial" w:cs="Arial" w:eastAsia="Arial" w:hAnsi="Arial"/>
          <w:color w:val="374151"/>
          <w:sz w:val="19"/>
          <w:szCs w:val="19"/>
        </w:rPr>
        <w:t xml:space="preserve">Squads multisig integration: high-value transactions (&gt;$500) require co-signer key held by user</w:t>
      </w:r>
    </w:p>
    <w:p>
      <w:pPr>
        <w:pStyle w:val="ListParagraph"/>
        <w:numPr>
          <w:ilvl w:val="0"/>
          <w:numId w:val="3"/>
        </w:numPr>
        <w:spacing w:after="50" w:before="50"/>
      </w:pPr>
      <w:r>
        <w:rPr>
          <w:rFonts w:ascii="Arial" w:cs="Arial" w:eastAsia="Arial" w:hAnsi="Arial"/>
          <w:color w:val="374151"/>
          <w:sz w:val="19"/>
          <w:szCs w:val="19"/>
        </w:rPr>
        <w:t xml:space="preserve">Conversational rule refinement: multi-turn chat to iteratively refine rules before activation</w:t>
      </w:r>
    </w:p>
    <w:p>
      <w:pPr>
        <w:pStyle w:val="ListParagraph"/>
        <w:numPr>
          <w:ilvl w:val="0"/>
          <w:numId w:val="3"/>
        </w:numPr>
        <w:spacing w:after="50" w:before="50"/>
      </w:pPr>
      <w:r>
        <w:rPr>
          <w:rFonts w:ascii="Arial" w:cs="Arial" w:eastAsia="Arial" w:hAnsi="Arial"/>
          <w:color w:val="374151"/>
          <w:sz w:val="19"/>
          <w:szCs w:val="19"/>
        </w:rPr>
        <w:t xml:space="preserve">AND/OR multi-condition rules with parenthetical grouping</w:t>
      </w:r>
    </w:p>
    <w:p>
      <w:pPr>
        <w:pStyle w:val="ListParagraph"/>
        <w:numPr>
          <w:ilvl w:val="0"/>
          <w:numId w:val="3"/>
        </w:numPr>
        <w:spacing w:after="50" w:before="50"/>
      </w:pPr>
      <w:r>
        <w:rPr>
          <w:rFonts w:ascii="Arial" w:cs="Arial" w:eastAsia="Arial" w:hAnsi="Arial"/>
          <w:color w:val="374151"/>
          <w:sz w:val="19"/>
          <w:szCs w:val="19"/>
        </w:rPr>
        <w:t xml:space="preserve">Protocol integrations: Kamino yield strategy automation, MarginFi collateral management</w:t>
      </w:r>
    </w:p>
    <w:p>
      <w:pPr>
        <w:pStyle w:val="ListParagraph"/>
        <w:numPr>
          <w:ilvl w:val="0"/>
          <w:numId w:val="3"/>
        </w:numPr>
        <w:spacing w:after="50" w:before="50"/>
      </w:pPr>
      <w:r>
        <w:rPr>
          <w:rFonts w:ascii="Arial" w:cs="Arial" w:eastAsia="Arial" w:hAnsi="Arial"/>
          <w:color w:val="374151"/>
          <w:sz w:val="19"/>
          <w:szCs w:val="19"/>
        </w:rPr>
        <w:t xml:space="preserve">Mobile app: iOS and Android with push notifications for execution events and anomaly alerts</w:t>
      </w:r>
    </w:p>
    <w:p>
      <w:pPr>
        <w:pStyle w:val="ListParagraph"/>
        <w:numPr>
          <w:ilvl w:val="0"/>
          <w:numId w:val="3"/>
        </w:numPr>
        <w:spacing w:after="50" w:before="50"/>
      </w:pPr>
      <w:r>
        <w:rPr>
          <w:rFonts w:ascii="Arial" w:cs="Arial" w:eastAsia="Arial" w:hAnsi="Arial"/>
          <w:color w:val="374151"/>
          <w:sz w:val="19"/>
          <w:szCs w:val="19"/>
        </w:rPr>
        <w:t xml:space="preserve">Rule marketplace: browse and clone community-published rule templates</w:t>
      </w:r>
    </w:p>
    <w:p>
      <w:pPr>
        <w:pStyle w:val="ListParagraph"/>
        <w:numPr>
          <w:ilvl w:val="0"/>
          <w:numId w:val="3"/>
        </w:numPr>
        <w:spacing w:after="50" w:before="50"/>
      </w:pPr>
      <w:r>
        <w:rPr>
          <w:rFonts w:ascii="Arial" w:cs="Arial" w:eastAsia="Arial" w:hAnsi="Arial"/>
          <w:color w:val="374151"/>
          <w:sz w:val="19"/>
          <w:szCs w:val="19"/>
        </w:rPr>
        <w:t xml:space="preserve">B2B audit API: authenticated tier with bulk access, webhooks for protocol integrations</w:t>
      </w:r>
    </w:p>
    <w:p>
      <w:pPr>
        <w:spacing w:after="0" w:before="80"/>
      </w:pPr>
      <w:r>
        <w:t xml:space="preserve"/>
      </w:r>
    </w:p>
    <w:p>
      <w:pPr>
        <w:pStyle w:val="Heading2"/>
        <w:spacing w:after="120" w:before="300"/>
      </w:pPr>
      <w:r>
        <w:rPr>
          <w:rFonts w:ascii="Arial" w:cs="Arial" w:eastAsia="Arial" w:hAnsi="Arial"/>
          <w:b/>
          <w:bCs/>
          <w:color w:val="6D28D9"/>
          <w:sz w:val="28"/>
          <w:szCs w:val="28"/>
        </w:rPr>
        <w:t xml:space="preserve">15.3  v3.0 — Infrastructure Layer (Months 9–18)</w:t>
      </w:r>
    </w:p>
    <w:p>
      <w:pPr>
        <w:pStyle w:val="ListParagraph"/>
        <w:numPr>
          <w:ilvl w:val="0"/>
          <w:numId w:val="3"/>
        </w:numPr>
        <w:spacing w:after="50" w:before="50"/>
      </w:pPr>
      <w:r>
        <w:rPr>
          <w:rFonts w:ascii="Arial" w:cs="Arial" w:eastAsia="Arial" w:hAnsi="Arial"/>
          <w:color w:val="374151"/>
          <w:sz w:val="19"/>
          <w:szCs w:val="19"/>
        </w:rPr>
        <w:t xml:space="preserve">TEE key management: agent keypairs generated and held inside AWS Nitro Enclaves — near non-custodial</w:t>
      </w:r>
    </w:p>
    <w:p>
      <w:pPr>
        <w:pStyle w:val="ListParagraph"/>
        <w:numPr>
          <w:ilvl w:val="0"/>
          <w:numId w:val="3"/>
        </w:numPr>
        <w:spacing w:after="50" w:before="50"/>
      </w:pPr>
      <w:r>
        <w:rPr>
          <w:rFonts w:ascii="Arial" w:cs="Arial" w:eastAsia="Arial" w:hAnsi="Arial"/>
          <w:color w:val="374151"/>
          <w:sz w:val="19"/>
          <w:szCs w:val="19"/>
        </w:rPr>
        <w:t xml:space="preserve">On-chain SolAgent program: optional Anchor program that enforces rule conditions cryptographically, eliminating backend trust entirely for supported rule types</w:t>
      </w:r>
    </w:p>
    <w:p>
      <w:pPr>
        <w:pStyle w:val="ListParagraph"/>
        <w:numPr>
          <w:ilvl w:val="0"/>
          <w:numId w:val="3"/>
        </w:numPr>
        <w:spacing w:after="50" w:before="50"/>
      </w:pPr>
      <w:r>
        <w:rPr>
          <w:rFonts w:ascii="Arial" w:cs="Arial" w:eastAsia="Arial" w:hAnsi="Arial"/>
          <w:color w:val="374151"/>
          <w:sz w:val="19"/>
          <w:szCs w:val="19"/>
        </w:rPr>
        <w:t xml:space="preserve">Cross-chain expansion: Ethereum and Base via Wormhole/deBridge, with on-chain proofs on each respective chain</w:t>
      </w:r>
    </w:p>
    <w:p>
      <w:pPr>
        <w:pStyle w:val="ListParagraph"/>
        <w:numPr>
          <w:ilvl w:val="0"/>
          <w:numId w:val="3"/>
        </w:numPr>
        <w:spacing w:after="50" w:before="50"/>
      </w:pPr>
      <w:r>
        <w:rPr>
          <w:rFonts w:ascii="Arial" w:cs="Arial" w:eastAsia="Arial" w:hAnsi="Arial"/>
          <w:color w:val="374151"/>
          <w:sz w:val="19"/>
          <w:szCs w:val="19"/>
        </w:rPr>
        <w:t xml:space="preserve">DAO treasury module: shared agent wallets with on-chain governance approval for rule activation</w:t>
      </w:r>
    </w:p>
    <w:p>
      <w:pPr>
        <w:pStyle w:val="ListParagraph"/>
        <w:numPr>
          <w:ilvl w:val="0"/>
          <w:numId w:val="3"/>
        </w:numPr>
        <w:spacing w:after="50" w:before="50"/>
      </w:pPr>
      <w:r>
        <w:rPr>
          <w:rFonts w:ascii="Arial" w:cs="Arial" w:eastAsia="Arial" w:hAnsi="Arial"/>
          <w:color w:val="374151"/>
          <w:sz w:val="19"/>
          <w:szCs w:val="19"/>
        </w:rPr>
        <w:t xml:space="preserve">Verified execution reputation: SolAgent wallet score becomes queryable credit primitive for DeFi protocols</w:t>
      </w:r>
    </w:p>
    <w:p>
      <w:pPr>
        <w:pStyle w:val="ListParagraph"/>
        <w:numPr>
          <w:ilvl w:val="0"/>
          <w:numId w:val="3"/>
        </w:numPr>
        <w:spacing w:after="50" w:before="50"/>
      </w:pPr>
      <w:r>
        <w:rPr>
          <w:rFonts w:ascii="Arial" w:cs="Arial" w:eastAsia="Arial" w:hAnsi="Arial"/>
          <w:color w:val="374151"/>
          <w:sz w:val="19"/>
          <w:szCs w:val="19"/>
        </w:rPr>
        <w:t xml:space="preserve">Agent-to-agent communication: SolAgent rules can trigger other SolAgent rules across wallets — composable autonomous finance</w:t>
      </w:r>
    </w:p>
    <w:p>
      <w:pPr>
        <w:spacing w:after="0" w:before="120"/>
      </w:pPr>
      <w:r>
        <w:t xml:space="preserve"/>
      </w:r>
    </w:p>
    <w:p>
      <w:r>
        <w:br w:type="page"/>
      </w:r>
    </w:p>
    <w:p>
      <w:pPr>
        <w:pStyle w:val="Heading1"/>
        <w:pBdr>
          <w:bottom w:val="single" w:color="6D28D9" w:sz="6" w:space="6"/>
        </w:pBdr>
        <w:spacing w:after="180" w:before="480"/>
      </w:pPr>
      <w:r>
        <w:rPr>
          <w:rFonts w:ascii="Arial" w:cs="Arial" w:eastAsia="Arial" w:hAnsi="Arial"/>
          <w:b/>
          <w:bCs/>
          <w:color w:val="4C1D95"/>
          <w:sz w:val="40"/>
          <w:szCs w:val="40"/>
        </w:rPr>
        <w:t xml:space="preserve">16. Demo &amp; Launch Strategy</w:t>
      </w:r>
    </w:p>
    <w:p>
      <w:pPr>
        <w:pStyle w:val="Heading2"/>
        <w:spacing w:after="120" w:before="300"/>
      </w:pPr>
      <w:r>
        <w:rPr>
          <w:rFonts w:ascii="Arial" w:cs="Arial" w:eastAsia="Arial" w:hAnsi="Arial"/>
          <w:b/>
          <w:bCs/>
          <w:color w:val="6D28D9"/>
          <w:sz w:val="28"/>
          <w:szCs w:val="28"/>
        </w:rPr>
        <w:t xml:space="preserve">16.1  The Technical Demo Sequence</w:t>
      </w:r>
    </w:p>
    <w:p>
      <w:pPr>
        <w:pBdr>
          <w:left w:val="single" w:color="DC2626" w:sz="20" w:space="8"/>
        </w:pBdr>
        <w:shd w:fill="FEE2E2" w:val="clear"/>
        <w:spacing w:after="140" w:before="140"/>
        <w:ind w:left="240"/>
      </w:pPr>
      <w:r>
        <w:rPr>
          <w:rFonts w:ascii="Arial" w:cs="Arial" w:eastAsia="Arial" w:hAnsi="Arial"/>
          <w:b/>
          <w:bCs/>
          <w:color w:val="DC2626"/>
          <w:sz w:val="19"/>
          <w:szCs w:val="19"/>
        </w:rPr>
        <w:t xml:space="preserve">CRITICAL  </w:t>
      </w:r>
      <w:r>
        <w:rPr>
          <w:rFonts w:ascii="Arial" w:cs="Arial" w:eastAsia="Arial" w:hAnsi="Arial"/>
          <w:color w:val="111827"/>
          <w:sz w:val="19"/>
          <w:szCs w:val="19"/>
        </w:rPr>
        <w:t xml:space="preserve">The demo is the product. Every engineering decision must support this sequence working flawlessly. This is not a slide deck — it is a live system running on mainnet.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2800"/>
        <w:gridCol w:w="4360"/>
      </w:tblGrid>
      <w:tr>
        <w:tc>
          <w:tcPr>
            <w:tcW w:type="dxa" w:w="40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vAlign w:val="top"/>
          </w:tcPr>
          <w:p>
            <w:pPr>
              <w:spacing w:after="20" w:before="20"/>
              <w:jc w:val="left"/>
            </w:pPr>
            <w:r>
              <w:rPr>
                <w:rFonts w:ascii="Arial" w:cs="Arial" w:eastAsia="Arial" w:hAnsi="Arial"/>
                <w:b/>
                <w:bCs/>
                <w:i w:val="false"/>
                <w:iCs w:val="false"/>
                <w:color w:val="FFFFFF"/>
                <w:sz w:val="19"/>
                <w:szCs w:val="19"/>
              </w:rPr>
              <w:t xml:space="preserve">Step</w:t>
            </w:r>
          </w:p>
        </w:tc>
        <w:tc>
          <w:tcPr>
            <w:tcW w:type="dxa" w:w="180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vAlign w:val="top"/>
          </w:tcPr>
          <w:p>
            <w:pPr>
              <w:spacing w:after="20" w:before="20"/>
              <w:jc w:val="left"/>
            </w:pPr>
            <w:r>
              <w:rPr>
                <w:rFonts w:ascii="Arial" w:cs="Arial" w:eastAsia="Arial" w:hAnsi="Arial"/>
                <w:b/>
                <w:bCs/>
                <w:i w:val="false"/>
                <w:iCs w:val="false"/>
                <w:color w:val="FFFFFF"/>
                <w:sz w:val="19"/>
                <w:szCs w:val="19"/>
              </w:rPr>
              <w:t xml:space="preserve">Action</w:t>
            </w:r>
          </w:p>
        </w:tc>
        <w:tc>
          <w:tcPr>
            <w:tcW w:type="dxa" w:w="280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vAlign w:val="top"/>
          </w:tcPr>
          <w:p>
            <w:pPr>
              <w:spacing w:after="20" w:before="20"/>
              <w:jc w:val="left"/>
            </w:pPr>
            <w:r>
              <w:rPr>
                <w:rFonts w:ascii="Arial" w:cs="Arial" w:eastAsia="Arial" w:hAnsi="Arial"/>
                <w:b/>
                <w:bCs/>
                <w:i w:val="false"/>
                <w:iCs w:val="false"/>
                <w:color w:val="FFFFFF"/>
                <w:sz w:val="19"/>
                <w:szCs w:val="19"/>
              </w:rPr>
              <w:t xml:space="preserve">What the Audience Sees</w:t>
            </w:r>
          </w:p>
        </w:tc>
        <w:tc>
          <w:tcPr>
            <w:tcW w:type="dxa" w:w="436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vAlign w:val="top"/>
          </w:tcPr>
          <w:p>
            <w:pPr>
              <w:spacing w:after="20" w:before="20"/>
              <w:jc w:val="left"/>
            </w:pPr>
            <w:r>
              <w:rPr>
                <w:rFonts w:ascii="Arial" w:cs="Arial" w:eastAsia="Arial" w:hAnsi="Arial"/>
                <w:b/>
                <w:bCs/>
                <w:i w:val="false"/>
                <w:iCs w:val="false"/>
                <w:color w:val="FFFFFF"/>
                <w:sz w:val="19"/>
                <w:szCs w:val="19"/>
              </w:rPr>
              <w:t xml:space="preserve">Technical Prerequisite</w:t>
            </w:r>
          </w:p>
        </w:tc>
      </w:tr>
      <w:tr>
        <w:tc>
          <w:tcPr>
            <w:tcW w:type="dxa" w:w="4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1</w:t>
            </w:r>
          </w:p>
        </w:tc>
        <w:tc>
          <w:tcPr>
            <w:tcW w:type="dxa" w:w="18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Open the app. Show wallet connected.</w:t>
            </w:r>
          </w:p>
        </w:tc>
        <w:tc>
          <w:tcPr>
            <w:tcW w:type="dxa" w:w="28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Clean UI. Agent wallet balance visible. Zero active rules.</w:t>
            </w:r>
          </w:p>
        </w:tc>
        <w:tc>
          <w:tcPr>
            <w:tcW w:type="dxa" w:w="436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Agent wallet pre-funded with 5 USDC and 2 SOL on mainnet.</w:t>
            </w:r>
          </w:p>
        </w:tc>
      </w:tr>
      <w:tr>
        <w:tc>
          <w:tcPr>
            <w:tcW w:type="dxa" w:w="4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2</w:t>
            </w:r>
          </w:p>
        </w:tc>
        <w:tc>
          <w:tcPr>
            <w:tcW w:type="dxa" w:w="18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Run replay simulation first.</w:t>
            </w:r>
          </w:p>
        </w:tc>
        <w:tc>
          <w:tcPr>
            <w:tcW w:type="dxa" w:w="28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Show: 'This rule would have fired 7 times over the past week.'</w:t>
            </w:r>
          </w:p>
        </w:tc>
        <w:tc>
          <w:tcPr>
            <w:tcW w:type="dxa" w:w="436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Rule Replay using Jupiter historical API. Shows the rule has real behavior.</w:t>
            </w:r>
          </w:p>
        </w:tc>
      </w:tr>
      <w:tr>
        <w:tc>
          <w:tcPr>
            <w:tcW w:type="dxa" w:w="4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3</w:t>
            </w:r>
          </w:p>
        </w:tc>
        <w:tc>
          <w:tcPr>
            <w:tcW w:type="dxa" w:w="18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Type the rule live.</w:t>
            </w:r>
          </w:p>
        </w:tc>
        <w:tc>
          <w:tcPr>
            <w:tcW w:type="dxa" w:w="28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'If my SOL balance drops below 1 SOL, swap 10 USDC to SOL'</w:t>
            </w:r>
          </w:p>
        </w:tc>
        <w:tc>
          <w:tcPr>
            <w:tcW w:type="dxa" w:w="436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NLP parsing visible in real time. JSON rule preview appears alongside.</w:t>
            </w:r>
          </w:p>
        </w:tc>
      </w:tr>
      <w:tr>
        <w:tc>
          <w:tcPr>
            <w:tcW w:type="dxa" w:w="4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4</w:t>
            </w:r>
          </w:p>
        </w:tc>
        <w:tc>
          <w:tcPr>
            <w:tcW w:type="dxa" w:w="18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Show the JSON preview.</w:t>
            </w:r>
          </w:p>
        </w:tc>
        <w:tc>
          <w:tcPr>
            <w:tcW w:type="dxa" w:w="28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Structured rule displayed: trigger, action, conditions, max_amount.</w:t>
            </w:r>
          </w:p>
        </w:tc>
        <w:tc>
          <w:tcPr>
            <w:tcW w:type="dxa" w:w="436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Validation pipeline ran. Rule semantically correct.</w:t>
            </w:r>
          </w:p>
        </w:tc>
      </w:tr>
      <w:tr>
        <w:tc>
          <w:tcPr>
            <w:tcW w:type="dxa" w:w="4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5</w:t>
            </w:r>
          </w:p>
        </w:tc>
        <w:tc>
          <w:tcPr>
            <w:tcW w:type="dxa" w:w="18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Confirm activation.</w:t>
            </w:r>
          </w:p>
        </w:tc>
        <w:tc>
          <w:tcPr>
            <w:tcW w:type="dxa" w:w="28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User clicks 'Activate Rule'. Rule appears in active list.</w:t>
            </w:r>
          </w:p>
        </w:tc>
        <w:tc>
          <w:tcPr>
            <w:tcW w:type="dxa" w:w="436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Rule written to DB. Helius webhook registered for agent wallet.</w:t>
            </w:r>
          </w:p>
        </w:tc>
      </w:tr>
      <w:tr>
        <w:tc>
          <w:tcPr>
            <w:tcW w:type="dxa" w:w="4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6</w:t>
            </w:r>
          </w:p>
        </w:tc>
        <w:tc>
          <w:tcPr>
            <w:tcW w:type="dxa" w:w="18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Drain the agent wallet.</w:t>
            </w:r>
          </w:p>
        </w:tc>
        <w:tc>
          <w:tcPr>
            <w:tcW w:type="dxa" w:w="28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Transfer SOL from agent wallet → demo address. Balance drops below 1 SOL.</w:t>
            </w:r>
          </w:p>
        </w:tc>
        <w:tc>
          <w:tcPr>
            <w:tcW w:type="dxa" w:w="436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Pre-arranged. Takes ~5 seconds. Balance updates in UI.</w:t>
            </w:r>
          </w:p>
        </w:tc>
      </w:tr>
      <w:tr>
        <w:tc>
          <w:tcPr>
            <w:tcW w:type="dxa" w:w="4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7</w:t>
            </w:r>
          </w:p>
        </w:tc>
        <w:tc>
          <w:tcPr>
            <w:tcW w:type="dxa" w:w="18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Agent fires — live.</w:t>
            </w:r>
          </w:p>
        </w:tc>
        <w:tc>
          <w:tcPr>
            <w:tcW w:type="dxa" w:w="28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Within 15 seconds: activity log entry appears. 'Trigger detected. Swap executing.'</w:t>
            </w:r>
          </w:p>
        </w:tc>
        <w:tc>
          <w:tcPr>
            <w:tcW w:type="dxa" w:w="436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Helius webhook fires. Evaluation completes. Execution engine builds tx.</w:t>
            </w:r>
          </w:p>
        </w:tc>
      </w:tr>
      <w:tr>
        <w:tc>
          <w:tcPr>
            <w:tcW w:type="dxa" w:w="4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8</w:t>
            </w:r>
          </w:p>
        </w:tc>
        <w:tc>
          <w:tcPr>
            <w:tcW w:type="dxa" w:w="18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Show Solana Explorer.</w:t>
            </w:r>
          </w:p>
        </w:tc>
        <w:tc>
          <w:tcPr>
            <w:tcW w:type="dxa" w:w="28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Click tx signature. Explorer shows: swap ix + Memo Program ix.</w:t>
            </w:r>
          </w:p>
        </w:tc>
        <w:tc>
          <w:tcPr>
            <w:tcW w:type="dxa" w:w="436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Transaction on mainnet. Memo JSON visible in Explorer.</w:t>
            </w:r>
          </w:p>
        </w:tc>
      </w:tr>
      <w:tr>
        <w:tc>
          <w:tcPr>
            <w:tcW w:type="dxa" w:w="4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9</w:t>
            </w:r>
          </w:p>
        </w:tc>
        <w:tc>
          <w:tcPr>
            <w:tcW w:type="dxa" w:w="18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Point to the memo.</w:t>
            </w:r>
          </w:p>
        </w:tc>
        <w:tc>
          <w:tcPr>
            <w:tcW w:type="dxa" w:w="28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Read the JSON out loud: trigger type, observed value, price sources, rule hash.</w:t>
            </w:r>
          </w:p>
        </w:tc>
        <w:tc>
          <w:tcPr>
            <w:tcW w:type="dxa" w:w="436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This is the moment. This is what no other team has.</w:t>
            </w:r>
          </w:p>
        </w:tc>
      </w:tr>
      <w:tr>
        <w:tc>
          <w:tcPr>
            <w:tcW w:type="dxa" w:w="4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10</w:t>
            </w:r>
          </w:p>
        </w:tc>
        <w:tc>
          <w:tcPr>
            <w:tcW w:type="dxa" w:w="18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Close the loop.</w:t>
            </w:r>
          </w:p>
        </w:tc>
        <w:tc>
          <w:tcPr>
            <w:tcW w:type="dxa" w:w="28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'That memo is permanent. It was written by the transaction itself. Nobody — including us — can change it.'</w:t>
            </w:r>
          </w:p>
        </w:tc>
        <w:tc>
          <w:tcPr>
            <w:tcW w:type="dxa" w:w="436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Wallet balance updated. Rule still active. Demo complete.</w:t>
            </w:r>
          </w:p>
        </w:tc>
      </w:tr>
    </w:tbl>
    <w:p>
      <w:pPr>
        <w:spacing w:after="0" w:before="80"/>
      </w:pPr>
      <w:r>
        <w:t xml:space="preserve"/>
      </w:r>
    </w:p>
    <w:p>
      <w:pPr>
        <w:pStyle w:val="Heading2"/>
        <w:spacing w:after="120" w:before="300"/>
      </w:pPr>
      <w:r>
        <w:rPr>
          <w:rFonts w:ascii="Arial" w:cs="Arial" w:eastAsia="Arial" w:hAnsi="Arial"/>
          <w:b/>
          <w:bCs/>
          <w:color w:val="6D28D9"/>
          <w:sz w:val="28"/>
          <w:szCs w:val="28"/>
        </w:rPr>
        <w:t xml:space="preserve">16.2  Pitch Framing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vAlign w:val="top"/>
          </w:tcPr>
          <w:p>
            <w:pPr>
              <w:spacing w:after="20" w:before="20"/>
              <w:jc w:val="left"/>
            </w:pPr>
            <w:r>
              <w:rPr>
                <w:rFonts w:ascii="Arial" w:cs="Arial" w:eastAsia="Arial" w:hAnsi="Arial"/>
                <w:b/>
                <w:bCs/>
                <w:i w:val="false"/>
                <w:iCs w:val="false"/>
                <w:color w:val="FFFFFF"/>
                <w:sz w:val="19"/>
                <w:szCs w:val="19"/>
              </w:rPr>
              <w:t xml:space="preserve">Moment</w:t>
            </w:r>
          </w:p>
        </w:tc>
        <w:tc>
          <w:tcPr>
            <w:tcW w:type="dxa" w:w="776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vAlign w:val="top"/>
          </w:tcPr>
          <w:p>
            <w:pPr>
              <w:spacing w:after="20" w:before="20"/>
              <w:jc w:val="left"/>
            </w:pPr>
            <w:r>
              <w:rPr>
                <w:rFonts w:ascii="Arial" w:cs="Arial" w:eastAsia="Arial" w:hAnsi="Arial"/>
                <w:b/>
                <w:bCs/>
                <w:i w:val="false"/>
                <w:iCs w:val="false"/>
                <w:color w:val="FFFFFF"/>
                <w:sz w:val="19"/>
                <w:szCs w:val="19"/>
              </w:rPr>
              <w:t xml:space="preserve">What to Say</w:t>
            </w:r>
          </w:p>
        </w:tc>
      </w:tr>
      <w:tr>
        <w:tc>
          <w:tcPr>
            <w:tcW w:type="dxa" w:w="16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Opening</w:t>
            </w:r>
          </w:p>
        </w:tc>
        <w:tc>
          <w:tcPr>
            <w:tcW w:type="dxa" w:w="776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"Every AI agent managing money has the same problem: you just have to trust it. We built the first one you don't have to."</w:t>
            </w:r>
          </w:p>
        </w:tc>
      </w:tr>
      <w:tr>
        <w:tc>
          <w:tcPr>
            <w:tcW w:type="dxa" w:w="16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Problem</w:t>
            </w:r>
          </w:p>
        </w:tc>
        <w:tc>
          <w:tcPr>
            <w:tcW w:type="dxa" w:w="776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"When an AI swaps your tokens at 3am — how do you know it did exactly what you told it, and nothing else? Today, you check their server logs. That's a Web2 answer to a Web3 problem."</w:t>
            </w:r>
          </w:p>
        </w:tc>
      </w:tr>
      <w:tr>
        <w:tc>
          <w:tcPr>
            <w:tcW w:type="dxa" w:w="16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Solution</w:t>
            </w:r>
          </w:p>
        </w:tc>
        <w:tc>
          <w:tcPr>
            <w:tcW w:type="dxa" w:w="776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"Every decision SolAgent makes is written to Solana in the same transaction as the action. The decision and the action are cryptographically inseparable. You can verify it like a smart contract."</w:t>
            </w:r>
          </w:p>
        </w:tc>
      </w:tr>
      <w:tr>
        <w:tc>
          <w:tcPr>
            <w:tcW w:type="dxa" w:w="16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Honest boundary</w:t>
            </w:r>
          </w:p>
        </w:tc>
        <w:tc>
          <w:tcPr>
            <w:tcW w:type="dxa" w:w="776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"What we prove: what happened, when, and which condition triggered it. What we don't prove: whether the price feed was correct. We're honest about that boundary — and that honesty is itself part of the trust model."</w:t>
            </w:r>
          </w:p>
        </w:tc>
      </w:tr>
      <w:tr>
        <w:tc>
          <w:tcPr>
            <w:tcW w:type="dxa" w:w="16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Closing</w:t>
            </w:r>
          </w:p>
        </w:tc>
        <w:tc>
          <w:tcPr>
            <w:tcW w:type="dxa" w:w="776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"This is what accountable AI looks like. Not just automation — verifiable automation. We're not building a bot. We're building the trust layer that makes AI agents safe to use with real money."</w:t>
            </w:r>
          </w:p>
        </w:tc>
      </w:tr>
    </w:tbl>
    <w:p>
      <w:pPr>
        <w:spacing w:after="0" w:before="120"/>
      </w:pPr>
      <w:r>
        <w:t xml:space="preserve"/>
      </w:r>
    </w:p>
    <w:p>
      <w:r>
        <w:br w:type="page"/>
      </w:r>
    </w:p>
    <w:p>
      <w:pPr>
        <w:pStyle w:val="Heading1"/>
        <w:pBdr>
          <w:bottom w:val="single" w:color="6D28D9" w:sz="6" w:space="6"/>
        </w:pBdr>
        <w:spacing w:after="180" w:before="480"/>
      </w:pPr>
      <w:r>
        <w:rPr>
          <w:rFonts w:ascii="Arial" w:cs="Arial" w:eastAsia="Arial" w:hAnsi="Arial"/>
          <w:b/>
          <w:bCs/>
          <w:color w:val="4C1D95"/>
          <w:sz w:val="40"/>
          <w:szCs w:val="40"/>
        </w:rPr>
        <w:t xml:space="preserve">Appendix — Architecture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vAlign w:val="top"/>
          </w:tcPr>
          <w:p>
            <w:pPr>
              <w:spacing w:after="20" w:before="20"/>
              <w:jc w:val="left"/>
            </w:pPr>
            <w:r>
              <w:rPr>
                <w:rFonts w:ascii="Arial" w:cs="Arial" w:eastAsia="Arial" w:hAnsi="Arial"/>
                <w:b/>
                <w:bCs/>
                <w:i w:val="false"/>
                <w:iCs w:val="false"/>
                <w:color w:val="FFFFFF"/>
                <w:sz w:val="19"/>
                <w:szCs w:val="19"/>
              </w:rPr>
              <w:t xml:space="preserve">Term</w:t>
            </w:r>
          </w:p>
        </w:tc>
        <w:tc>
          <w:tcPr>
            <w:tcW w:type="dxa" w:w="696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vAlign w:val="top"/>
          </w:tcPr>
          <w:p>
            <w:pPr>
              <w:spacing w:after="20" w:before="20"/>
              <w:jc w:val="left"/>
            </w:pPr>
            <w:r>
              <w:rPr>
                <w:rFonts w:ascii="Arial" w:cs="Arial" w:eastAsia="Arial" w:hAnsi="Arial"/>
                <w:b/>
                <w:bCs/>
                <w:i w:val="false"/>
                <w:iCs w:val="false"/>
                <w:color w:val="FFFFFF"/>
                <w:sz w:val="19"/>
                <w:szCs w:val="19"/>
              </w:rPr>
              <w:t xml:space="preserve">Definition</w:t>
            </w:r>
          </w:p>
        </w:tc>
      </w:tr>
      <w:tr>
        <w:tc>
          <w:tcPr>
            <w:tcW w:type="dxa" w:w="24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Idempotency key</w:t>
            </w:r>
          </w:p>
        </w:tc>
        <w:tc>
          <w:tcPr>
            <w:tcW w:type="dxa" w:w="696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SHA-256(rule_id + trigger_event_signature + trigger_slot). Unique identifier for a specific rule trigger event. Prevents any possibility of double-execution.</w:t>
            </w:r>
          </w:p>
        </w:tc>
      </w:tr>
      <w:tr>
        <w:tc>
          <w:tcPr>
            <w:tcW w:type="dxa" w:w="24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Execution proof / Memo</w:t>
            </w:r>
          </w:p>
        </w:tc>
        <w:tc>
          <w:tcPr>
            <w:tcW w:type="dxa" w:w="696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A structured JSON object (max 350 bytes) attached as a Memo Program v2 instruction to every execution transaction. Contains: rule ID, trigger condition, observed value, action taken, price sources, timestamp, and a tamper-evident hash of the rule.</w:t>
            </w:r>
          </w:p>
        </w:tc>
      </w:tr>
      <w:tr>
        <w:tc>
          <w:tcPr>
            <w:tcW w:type="dxa" w:w="24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Agent keypair</w:t>
            </w:r>
          </w:p>
        </w:tc>
        <w:tc>
          <w:tcPr>
            <w:tcW w:type="dxa" w:w="696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A Solana keypair stored AES-256-GCM encrypted on SolAgent servers. Generated per user. Separate from the user's main wallet. Encryption key derived from user's wallet signature via HKDF.</w:t>
            </w:r>
          </w:p>
        </w:tc>
      </w:tr>
      <w:tr>
        <w:tc>
          <w:tcPr>
            <w:tcW w:type="dxa" w:w="24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Agent wallet</w:t>
            </w:r>
          </w:p>
        </w:tc>
        <w:tc>
          <w:tcPr>
            <w:tcW w:type="dxa" w:w="696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The Solana wallet account controlled by the agent keypair. Funded only with assets the user explicitly transfers to it. Can be drained by the user at any time.</w:t>
            </w:r>
          </w:p>
        </w:tc>
      </w:tr>
      <w:tr>
        <w:tc>
          <w:tcPr>
            <w:tcW w:type="dxa" w:w="24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HKDF</w:t>
            </w:r>
          </w:p>
        </w:tc>
        <w:tc>
          <w:tcPr>
            <w:tcW w:type="dxa" w:w="696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HMAC-based Key Derivation Function (RFC 5869). Used to derive the AES encryption key for agent keypairs from the user's wallet signature. Makes the encryption key independent of SolAgent's stored secrets.</w:t>
            </w:r>
          </w:p>
        </w:tc>
      </w:tr>
      <w:tr>
        <w:tc>
          <w:tcPr>
            <w:tcW w:type="dxa" w:w="24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BullMQ</w:t>
            </w:r>
          </w:p>
        </w:tc>
        <w:tc>
          <w:tcPr>
            <w:tcW w:type="dxa" w:w="696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A production-grade Redis-backed job queue for Node.js. Provides durable job storage, retry logic, dead-letter queues, concurrency control, and job deduplication. Used for all async work in SolAgent.</w:t>
            </w:r>
          </w:p>
        </w:tc>
      </w:tr>
      <w:tr>
        <w:tc>
          <w:tcPr>
            <w:tcW w:type="dxa" w:w="24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Helius Enhanced Webhooks</w:t>
            </w:r>
          </w:p>
        </w:tc>
        <w:tc>
          <w:tcPr>
            <w:tcW w:type="dxa" w:w="696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A service from Helius (Solana RPC provider) that delivers parsed, real-time notifications of on-chain events to a registered HTTP endpoint. Replaces polling as the primary event detection mechanism.</w:t>
            </w:r>
          </w:p>
        </w:tc>
      </w:tr>
      <w:tr>
        <w:tc>
          <w:tcPr>
            <w:tcW w:type="dxa" w:w="24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Versioned transaction (v0)</w:t>
            </w:r>
          </w:p>
        </w:tc>
        <w:tc>
          <w:tcPr>
            <w:tcW w:type="dxa" w:w="696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Solana's modern transaction format, supporting Address Lookup Tables (ALTs) that compress frequently-used addresses to 1-byte indices. Allows more instructions per transaction than legacy format.</w:t>
            </w:r>
          </w:p>
        </w:tc>
      </w:tr>
      <w:tr>
        <w:tc>
          <w:tcPr>
            <w:tcW w:type="dxa" w:w="24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Address Lookup Table (ALT)</w:t>
            </w:r>
          </w:p>
        </w:tc>
        <w:tc>
          <w:tcPr>
            <w:tcW w:type="dxa" w:w="696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A Solana on-chain account containing a list of addresses. Versioned transactions can reference these addresses by 1-byte index instead of 32-byte pubkey, saving ~30% of transaction size.</w:t>
            </w:r>
          </w:p>
        </w:tc>
      </w:tr>
      <w:tr>
        <w:tc>
          <w:tcPr>
            <w:tcW w:type="dxa" w:w="24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Pyth Network</w:t>
            </w:r>
          </w:p>
        </w:tc>
        <w:tc>
          <w:tcPr>
            <w:tcW w:type="dxa" w:w="696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An on-chain oracle network providing real-time price feeds on Solana. Prices are aggregated from institutional market data providers and committed on-chain. Used as the secondary price source for deviation checking.</w:t>
            </w:r>
          </w:p>
        </w:tc>
      </w:tr>
      <w:tr>
        <w:tc>
          <w:tcPr>
            <w:tcW w:type="dxa" w:w="24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Circuit breaker</w:t>
            </w:r>
          </w:p>
        </w:tc>
        <w:tc>
          <w:tcPr>
            <w:tcW w:type="dxa" w:w="696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An automated safety mechanism that halts execution when anomalous behavior is detected, preventing cascading failures or unexpected fund movements.</w:t>
            </w:r>
          </w:p>
        </w:tc>
      </w:tr>
      <w:tr>
        <w:tc>
          <w:tcPr>
            <w:tcW w:type="dxa" w:w="24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SIWS</w:t>
            </w:r>
          </w:p>
        </w:tc>
        <w:tc>
          <w:tcPr>
            <w:tcW w:type="dxa" w:w="696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Sign-In With Solana. An authentication standard where users prove wallet ownership by signing a structured message. No passwords. SolAgent uses SIWS to issue JWTs.</w:t>
            </w:r>
          </w:p>
        </w:tc>
      </w:tr>
      <w:tr>
        <w:tc>
          <w:tcPr>
            <w:tcW w:type="dxa" w:w="24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TEE</w:t>
            </w:r>
          </w:p>
        </w:tc>
        <w:tc>
          <w:tcPr>
            <w:tcW w:type="dxa" w:w="696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Trusted Execution Environment. A secure hardware enclave (e.g., AWS Nitro Enclave) where code executes in isolation from the host OS and operators. Used in v3 for near-non-custodial key management.</w:t>
            </w:r>
          </w:p>
        </w:tc>
      </w:tr>
      <w:tr>
        <w:tc>
          <w:tcPr>
            <w:tcW w:type="dxa" w:w="24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Structured output (tool-use)</w:t>
            </w:r>
          </w:p>
        </w:tc>
        <w:tc>
          <w:tcPr>
            <w:tcW w:type="dxa" w:w="696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A Claude API mode where the LLM must call a specified tool with a defined schema, rather than generating free-form text. Eliminates parsing failures and hallucinated field names.</w:t>
            </w:r>
          </w:p>
        </w:tc>
      </w:tr>
      <w:tr>
        <w:tc>
          <w:tcPr>
            <w:tcW w:type="dxa" w:w="240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RFC 7807</w:t>
            </w:r>
          </w:p>
        </w:tc>
        <w:tc>
          <w:tcPr>
            <w:tcW w:type="dxa" w:w="6960"/>
            <w:tcBorders>
              <w:top w:val="single" w:color="E5E7EB" w:sz="1"/>
              <w:left w:val="single" w:color="E5E7EB" w:sz="1"/>
              <w:bottom w:val="single" w:color="E5E7EB" w:sz="1"/>
              <w:right w:val="single" w:color="E5E7EB" w:sz="1"/>
            </w:tcBorders>
            <w:shd w:fill="FFFFFF" w:val="clear"/>
            <w:tcMar>
              <w:top w:type="dxa" w:w="90"/>
              <w:left w:type="dxa" w:w="130"/>
              <w:bottom w:type="dxa" w:w="90"/>
              <w:right w:type="dxa" w:w="130"/>
            </w:tcMar>
            <w:vAlign w:val="top"/>
          </w:tcPr>
          <w:p>
            <w:pPr>
              <w:spacing w:after="20" w:before="20"/>
              <w:jc w:val="left"/>
            </w:pPr>
            <w:r>
              <w:rPr>
                <w:rFonts w:ascii="Arial" w:cs="Arial" w:eastAsia="Arial" w:hAnsi="Arial"/>
                <w:b w:val="false"/>
                <w:bCs w:val="false"/>
                <w:i w:val="false"/>
                <w:iCs w:val="false"/>
                <w:color w:val="111827"/>
                <w:sz w:val="19"/>
                <w:szCs w:val="19"/>
              </w:rPr>
              <w:t xml:space="preserve">Problem Details for HTTP APIs. A standard format for HTTP error responses that provides machine-readable error classification alongside human-readable descriptions.</w:t>
            </w:r>
          </w:p>
        </w:tc>
      </w:tr>
    </w:tbl>
    <w:p>
      <w:pPr>
        <w:spacing w:after="0" w:before="200"/>
      </w:pPr>
      <w:r>
        <w:t xml:space="preserve"/>
      </w:r>
    </w:p>
    <w:p>
      <w:pPr>
        <w:spacing w:after="40" w:before="200"/>
        <w:jc w:val="center"/>
      </w:pPr>
      <w:r>
        <w:rPr>
          <w:rFonts w:ascii="Arial" w:cs="Arial" w:eastAsia="Arial" w:hAnsi="Arial"/>
          <w:i/>
          <w:iCs/>
          <w:color w:val="6B7280"/>
          <w:sz w:val="17"/>
          <w:szCs w:val="17"/>
        </w:rPr>
        <w:t xml:space="preserve">End of Document — SolAgent Production Architecture v3.0</w:t>
      </w:r>
    </w:p>
    <w:p>
      <w:pPr>
        <w:spacing w:after="0" w:before="0"/>
        <w:jc w:val="center"/>
      </w:pPr>
      <w:r>
        <w:rPr>
          <w:rFonts w:ascii="Arial" w:cs="Arial" w:eastAsia="Arial" w:hAnsi="Arial"/>
          <w:b/>
          <w:bCs/>
          <w:color w:val="6D28D9"/>
          <w:sz w:val="20"/>
          <w:szCs w:val="20"/>
        </w:rPr>
        <w:t xml:space="preserve">Trust Infrastructure for Autonomous Finance on Solana</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space="4"/>
      </w:pBdr>
      <w:tabs>
        <w:tab w:val="right" w:pos="9026"/>
      </w:tabs>
      <w:spacing w:after="0" w:before="80"/>
    </w:pPr>
    <w:r>
      <w:rPr>
        <w:rFonts w:ascii="Arial" w:cs="Arial" w:eastAsia="Arial" w:hAnsi="Arial"/>
        <w:color w:val="6B7280"/>
        <w:sz w:val="16"/>
        <w:szCs w:val="16"/>
      </w:rPr>
      <w:t xml:space="preserve">SolAgent — Trust Infrastructure for Autonomous Finance</w:t>
    </w:r>
    <w:r>
      <w:rPr>
        <w:rFonts w:ascii="Arial" w:cs="Arial" w:eastAsia="Arial" w:hAnsi="Arial"/>
        <w:color w:val="6D28D9"/>
        <w:sz w:val="16"/>
        <w:szCs w:val="16"/>
      </w:rPr>
      <w:t xml:space="preserve">	solanaagent.xyz</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D28D9" w:sz="4" w:space="4"/>
      </w:pBdr>
      <w:tabs>
        <w:tab w:val="right" w:pos="9026"/>
      </w:tabs>
      <w:spacing w:after="80" w:before="0"/>
    </w:pPr>
    <w:r>
      <w:rPr>
        <w:rFonts w:ascii="Arial" w:cs="Arial" w:eastAsia="Arial" w:hAnsi="Arial"/>
        <w:b/>
        <w:bCs/>
        <w:color w:val="6D28D9"/>
        <w:sz w:val="17"/>
        <w:szCs w:val="17"/>
      </w:rPr>
      <w:t xml:space="preserve">SolAgent — Production Architecture Document</w:t>
    </w:r>
    <w:r>
      <w:rPr>
        <w:rFonts w:ascii="Arial" w:cs="Arial" w:eastAsia="Arial" w:hAnsi="Arial"/>
        <w:color w:val="6B7280"/>
        <w:sz w:val="16"/>
        <w:szCs w:val="16"/>
      </w:rPr>
      <w:t xml:space="preserve">	CONFIDENTIAL  |  Version 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880" w:hanging="280"/>
      </w:pPr>
    </w:lvl>
    <w:lvl w:ilvl="2" w15:tentative="1">
      <w:start w:val="1"/>
      <w:numFmt w:val="bullet"/>
      <w:lvlText w:val="▪"/>
      <w:lvlJc w:val="left"/>
      <w:pPr>
        <w:ind w:left="1200" w:hanging="280"/>
      </w:pPr>
    </w:lvl>
  </w:abstractNum>
  <w:abstractNum w:abstractNumId="3" w15:restartNumberingAfterBreak="0">
    <w:multiLevelType w:val="hybridMultilevel"/>
    <w:lvl w:ilvl="0" w15:tentative="1">
      <w:start w:val="1"/>
      <w:numFmt w:val="decimal"/>
      <w:lvlText w:val="%1."/>
      <w:lvlJc w:val="left"/>
      <w:pPr>
        <w:ind w:left="560" w:hanging="280"/>
      </w:pPr>
    </w:lvl>
    <w:lvl w:ilvl="1" w15:tentative="1">
      <w:start w:val="1"/>
      <w:numFmt w:val="lowerLetter"/>
      <w:lvlText w:val="%2."/>
      <w:lvlJc w:val="left"/>
      <w:pPr>
        <w:ind w:left="88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80"/>
      <w:outlineLvl w:val="0"/>
    </w:pPr>
    <w:rPr>
      <w:rFonts w:ascii="Arial" w:cs="Arial" w:eastAsia="Arial" w:hAnsi="Arial"/>
      <w:b/>
      <w:bCs/>
      <w:color w:val="4C1D95"/>
      <w:sz w:val="40"/>
      <w:szCs w:val="40"/>
    </w:rPr>
  </w:style>
  <w:style w:type="paragraph" w:styleId="Heading2">
    <w:name w:val="Heading 2"/>
    <w:basedOn w:val="Normal"/>
    <w:next w:val="Normal"/>
    <w:qFormat/>
    <w:pPr>
      <w:spacing w:after="120" w:before="300"/>
      <w:outlineLvl w:val="1"/>
    </w:pPr>
    <w:rPr>
      <w:rFonts w:ascii="Arial" w:cs="Arial" w:eastAsia="Arial" w:hAnsi="Arial"/>
      <w:b/>
      <w:bCs/>
      <w:color w:val="6D28D9"/>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1182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2026-05-01T13:02:47.956Z</dcterms:created>
  <dcterms:modified xsi:type="dcterms:W3CDTF">2026-05-01T13:02:47.989Z</dcterms:modified>
</cp:coreProperties>
</file>

<file path=docProps/custom.xml><?xml version="1.0" encoding="utf-8"?>
<Properties xmlns="http://schemas.openxmlformats.org/officeDocument/2006/custom-properties" xmlns:vt="http://schemas.openxmlformats.org/officeDocument/2006/docPropsVTypes"/>
</file>