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E1C" w:rsidRPr="00F05E1C" w:rsidRDefault="00F05E1C" w:rsidP="00F05E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05E1C">
        <w:rPr>
          <w:rFonts w:ascii="Times New Roman" w:eastAsia="Times New Roman" w:hAnsi="Times New Roman" w:cs="Times New Roman"/>
          <w:b/>
          <w:bCs/>
          <w:kern w:val="36"/>
          <w:sz w:val="48"/>
          <w:szCs w:val="48"/>
        </w:rPr>
        <w:t>Comprehensive Explanations of Key Financial Terms</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Luis Seco</w:t>
      </w:r>
      <w:r w:rsidRPr="00F05E1C">
        <w:rPr>
          <w:rFonts w:ascii="Times New Roman" w:eastAsia="Times New Roman" w:hAnsi="Times New Roman" w:cs="Times New Roman"/>
          <w:sz w:val="24"/>
          <w:szCs w:val="24"/>
        </w:rPr>
        <w:br/>
      </w:r>
      <w:r w:rsidRPr="00F05E1C">
        <w:rPr>
          <w:rFonts w:ascii="Times New Roman" w:eastAsia="Times New Roman" w:hAnsi="Times New Roman" w:cs="Times New Roman"/>
          <w:i/>
          <w:iCs/>
          <w:sz w:val="24"/>
          <w:szCs w:val="24"/>
        </w:rPr>
        <w:t>University of Toronto</w:t>
      </w:r>
    </w:p>
    <w:p w:rsidR="00F05E1C" w:rsidRPr="00F05E1C" w:rsidRDefault="00F05E1C" w:rsidP="00F05E1C">
      <w:pPr>
        <w:spacing w:after="0"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sz w:val="24"/>
          <w:szCs w:val="24"/>
        </w:rPr>
        <w:pict>
          <v:rect id="_x0000_i1025" style="width:0;height:1.5pt" o:hralign="center" o:hrstd="t" o:hr="t" fillcolor="#a0a0a0" stroked="f"/>
        </w:pict>
      </w:r>
    </w:p>
    <w:p w:rsidR="00F05E1C" w:rsidRPr="00F05E1C" w:rsidRDefault="00F05E1C" w:rsidP="00F05E1C">
      <w:pPr>
        <w:spacing w:before="100" w:beforeAutospacing="1" w:after="100" w:afterAutospacing="1" w:line="240" w:lineRule="auto"/>
        <w:outlineLvl w:val="1"/>
        <w:rPr>
          <w:rFonts w:ascii="Times New Roman" w:eastAsia="Times New Roman" w:hAnsi="Times New Roman" w:cs="Times New Roman"/>
          <w:b/>
          <w:bCs/>
          <w:sz w:val="36"/>
          <w:szCs w:val="36"/>
        </w:rPr>
      </w:pPr>
      <w:r w:rsidRPr="00F05E1C">
        <w:rPr>
          <w:rFonts w:ascii="Times New Roman" w:eastAsia="Times New Roman" w:hAnsi="Times New Roman" w:cs="Times New Roman"/>
          <w:b/>
          <w:bCs/>
          <w:sz w:val="36"/>
          <w:szCs w:val="36"/>
        </w:rPr>
        <w:t>Table of Contents</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Present Value (PV) and Future Value (FV)</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Yield to Maturity (YTM)</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Duration and Convexity</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Term Structure of Interest Rates</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Options, Futures, and Swaps</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Binomial Model</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Black-Scholes Model</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The Greeks (Delta, Gamma, Theta, Vega, Rho)</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Capital Asset Pricing Model (CAPM)</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Arbitrage Pricing Theory (APT)</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Market Efficiency</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Behavioral Finance</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Exotic Options</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Random Walk</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Stochastic Processes</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Brownian Motion and Geometric Brownian Motion (GBM)</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Sigma Algebra</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Stochastic Calculus</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Ito's Lemma</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Risk-Neutral Valuation</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Value at Risk (VaR)</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Stress Testing</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Credit Ratings</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Credit Default Swaps (CDS)</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Collateralized Debt Obligations (CDOs)</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Merton Model</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Reduced-Form Models</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Credit Valuation Adjustment (CVA)</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Portfolio Theory</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Efficient Frontier</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Sharpe Ratio</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Master-Feeder Structure</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Fee Structures (2 and 20 Model)</w:t>
      </w:r>
    </w:p>
    <w:p w:rsidR="00F05E1C" w:rsidRPr="00F05E1C" w:rsidRDefault="00F05E1C" w:rsidP="00F05E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Leverage and Arbitrage</w:t>
      </w:r>
    </w:p>
    <w:p w:rsidR="00F05E1C" w:rsidRPr="00F05E1C" w:rsidRDefault="00F05E1C" w:rsidP="00F05E1C">
      <w:pPr>
        <w:spacing w:after="0"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sz w:val="24"/>
          <w:szCs w:val="24"/>
        </w:rPr>
        <w:lastRenderedPageBreak/>
        <w:pict>
          <v:rect id="_x0000_i1026" style="width:0;height:1.5pt" o:hralign="center" o:hrstd="t" o:hr="t" fillcolor="#a0a0a0" stroked="f"/>
        </w:pict>
      </w:r>
    </w:p>
    <w:p w:rsidR="00F05E1C" w:rsidRPr="00F05E1C" w:rsidRDefault="00F05E1C" w:rsidP="00F05E1C">
      <w:pPr>
        <w:spacing w:before="100" w:beforeAutospacing="1" w:after="100" w:afterAutospacing="1" w:line="240" w:lineRule="auto"/>
        <w:outlineLvl w:val="1"/>
        <w:rPr>
          <w:rFonts w:ascii="Times New Roman" w:eastAsia="Times New Roman" w:hAnsi="Times New Roman" w:cs="Times New Roman"/>
          <w:b/>
          <w:bCs/>
          <w:sz w:val="36"/>
          <w:szCs w:val="36"/>
        </w:rPr>
      </w:pPr>
      <w:r w:rsidRPr="00F05E1C">
        <w:rPr>
          <w:rFonts w:ascii="Times New Roman" w:eastAsia="Times New Roman" w:hAnsi="Times New Roman" w:cs="Times New Roman"/>
          <w:b/>
          <w:bCs/>
          <w:sz w:val="36"/>
          <w:szCs w:val="36"/>
        </w:rPr>
        <w:t>1. Present Value (PV) and Future Value (FV)</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Present Value (PV):</w:t>
      </w:r>
      <w:r w:rsidRPr="00F05E1C">
        <w:rPr>
          <w:rFonts w:ascii="Times New Roman" w:eastAsia="Times New Roman" w:hAnsi="Times New Roman" w:cs="Times New Roman"/>
          <w:sz w:val="24"/>
          <w:szCs w:val="24"/>
        </w:rPr>
        <w:t xml:space="preserve"> Present value refers to the current worth of a future sum of money or stream of cash flows, discounted at a specific rate of return. It accounts for the time value of money, recognizing that money available today is worth more than the same amount in the future due to its earning potential. The formula for present value is: PV = FV / (1 + r)^n, where FV is the future value, r is the discount rate, and n is the number of periods.</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Future Value (FV):</w:t>
      </w:r>
      <w:r w:rsidRPr="00F05E1C">
        <w:rPr>
          <w:rFonts w:ascii="Times New Roman" w:eastAsia="Times New Roman" w:hAnsi="Times New Roman" w:cs="Times New Roman"/>
          <w:sz w:val="24"/>
          <w:szCs w:val="24"/>
        </w:rPr>
        <w:t xml:space="preserve"> Future value is the value of a current asset at a specified date in the future, based on an assumed rate of growth or interest. It reflects how much an investment made today will grow over time. The formula for future value is: FV = PV × (1 + r)^n.</w:t>
      </w:r>
    </w:p>
    <w:p w:rsidR="00F05E1C" w:rsidRPr="00F05E1C" w:rsidRDefault="00F05E1C" w:rsidP="00F05E1C">
      <w:pPr>
        <w:spacing w:before="100" w:beforeAutospacing="1" w:after="100" w:afterAutospacing="1" w:line="240" w:lineRule="auto"/>
        <w:outlineLvl w:val="1"/>
        <w:rPr>
          <w:rFonts w:ascii="Times New Roman" w:eastAsia="Times New Roman" w:hAnsi="Times New Roman" w:cs="Times New Roman"/>
          <w:b/>
          <w:bCs/>
          <w:sz w:val="36"/>
          <w:szCs w:val="36"/>
        </w:rPr>
      </w:pPr>
      <w:r w:rsidRPr="00F05E1C">
        <w:rPr>
          <w:rFonts w:ascii="Times New Roman" w:eastAsia="Times New Roman" w:hAnsi="Times New Roman" w:cs="Times New Roman"/>
          <w:b/>
          <w:bCs/>
          <w:sz w:val="36"/>
          <w:szCs w:val="36"/>
        </w:rPr>
        <w:t>2. Yield to Maturity (YTM)</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sz w:val="24"/>
          <w:szCs w:val="24"/>
        </w:rPr>
        <w:t>Yield to Maturity (YTM) is the total return expected on a bond if it is held until it matures. It considers all coupon payments, the purchase price, the face value, and the time remaining until maturity. YTM is a crucial metric for investors as it allows them to compare bonds with different prices and coupons on a consistent basis.</w:t>
      </w:r>
    </w:p>
    <w:p w:rsidR="00F05E1C" w:rsidRPr="00F05E1C" w:rsidRDefault="00F05E1C" w:rsidP="00F05E1C">
      <w:pPr>
        <w:spacing w:before="100" w:beforeAutospacing="1" w:after="100" w:afterAutospacing="1" w:line="240" w:lineRule="auto"/>
        <w:outlineLvl w:val="1"/>
        <w:rPr>
          <w:rFonts w:ascii="Times New Roman" w:eastAsia="Times New Roman" w:hAnsi="Times New Roman" w:cs="Times New Roman"/>
          <w:b/>
          <w:bCs/>
          <w:sz w:val="36"/>
          <w:szCs w:val="36"/>
        </w:rPr>
      </w:pPr>
      <w:r w:rsidRPr="00F05E1C">
        <w:rPr>
          <w:rFonts w:ascii="Times New Roman" w:eastAsia="Times New Roman" w:hAnsi="Times New Roman" w:cs="Times New Roman"/>
          <w:b/>
          <w:bCs/>
          <w:sz w:val="36"/>
          <w:szCs w:val="36"/>
        </w:rPr>
        <w:t>3. Duration and Convexity</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Duration:</w:t>
      </w:r>
      <w:r w:rsidRPr="00F05E1C">
        <w:rPr>
          <w:rFonts w:ascii="Times New Roman" w:eastAsia="Times New Roman" w:hAnsi="Times New Roman" w:cs="Times New Roman"/>
          <w:sz w:val="24"/>
          <w:szCs w:val="24"/>
        </w:rPr>
        <w:t xml:space="preserve"> Duration measures a bond's sensitivity to changes in interest rates, indicating how much a bond's price will change for a 1% change in interest rates. It helps investors assess interest rate risk in their fixed-income portfolios.</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Convexity:</w:t>
      </w:r>
      <w:r w:rsidRPr="00F05E1C">
        <w:rPr>
          <w:rFonts w:ascii="Times New Roman" w:eastAsia="Times New Roman" w:hAnsi="Times New Roman" w:cs="Times New Roman"/>
          <w:sz w:val="24"/>
          <w:szCs w:val="24"/>
        </w:rPr>
        <w:t xml:space="preserve"> Convexity measures how the duration of a bond changes as interest rates change. Positive convexity indicates that bond prices increase at an increasing rate as yields fall, offering protection against large rate changes.</w:t>
      </w:r>
    </w:p>
    <w:p w:rsidR="00F05E1C" w:rsidRPr="00F05E1C" w:rsidRDefault="00F05E1C" w:rsidP="00F05E1C">
      <w:pPr>
        <w:spacing w:before="100" w:beforeAutospacing="1" w:after="100" w:afterAutospacing="1" w:line="240" w:lineRule="auto"/>
        <w:outlineLvl w:val="1"/>
        <w:rPr>
          <w:rFonts w:ascii="Times New Roman" w:eastAsia="Times New Roman" w:hAnsi="Times New Roman" w:cs="Times New Roman"/>
          <w:b/>
          <w:bCs/>
          <w:sz w:val="36"/>
          <w:szCs w:val="36"/>
        </w:rPr>
      </w:pPr>
      <w:r w:rsidRPr="00F05E1C">
        <w:rPr>
          <w:rFonts w:ascii="Times New Roman" w:eastAsia="Times New Roman" w:hAnsi="Times New Roman" w:cs="Times New Roman"/>
          <w:b/>
          <w:bCs/>
          <w:sz w:val="36"/>
          <w:szCs w:val="36"/>
        </w:rPr>
        <w:t>4. Term Structure of Interest Rates</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sz w:val="24"/>
          <w:szCs w:val="24"/>
        </w:rPr>
        <w:t>The term structure of interest rates, often depicted by the yield curve, shows the relationship between interest rates (or yields) and different maturities. A normal upward-sloping yield curve suggests that longer-term securities have higher yields due to increased risks. In contrast, an inverted curve may indicate economic recession expectations.</w:t>
      </w:r>
    </w:p>
    <w:p w:rsidR="00F05E1C" w:rsidRPr="00F05E1C" w:rsidRDefault="00F05E1C" w:rsidP="00F05E1C">
      <w:pPr>
        <w:spacing w:before="100" w:beforeAutospacing="1" w:after="100" w:afterAutospacing="1" w:line="240" w:lineRule="auto"/>
        <w:outlineLvl w:val="1"/>
        <w:rPr>
          <w:rFonts w:ascii="Times New Roman" w:eastAsia="Times New Roman" w:hAnsi="Times New Roman" w:cs="Times New Roman"/>
          <w:b/>
          <w:bCs/>
          <w:sz w:val="36"/>
          <w:szCs w:val="36"/>
        </w:rPr>
      </w:pPr>
      <w:r w:rsidRPr="00F05E1C">
        <w:rPr>
          <w:rFonts w:ascii="Times New Roman" w:eastAsia="Times New Roman" w:hAnsi="Times New Roman" w:cs="Times New Roman"/>
          <w:b/>
          <w:bCs/>
          <w:sz w:val="36"/>
          <w:szCs w:val="36"/>
        </w:rPr>
        <w:t>5. Options, Futures, and Swaps</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Options:</w:t>
      </w:r>
      <w:r w:rsidRPr="00F05E1C">
        <w:rPr>
          <w:rFonts w:ascii="Times New Roman" w:eastAsia="Times New Roman" w:hAnsi="Times New Roman" w:cs="Times New Roman"/>
          <w:sz w:val="24"/>
          <w:szCs w:val="24"/>
        </w:rPr>
        <w:t xml:space="preserve"> Financial contracts that give the holder the right, but not the obligation, to buy or sell an asset at a predetermined price before a certain date.</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lastRenderedPageBreak/>
        <w:t>Futures:</w:t>
      </w:r>
      <w:r w:rsidRPr="00F05E1C">
        <w:rPr>
          <w:rFonts w:ascii="Times New Roman" w:eastAsia="Times New Roman" w:hAnsi="Times New Roman" w:cs="Times New Roman"/>
          <w:sz w:val="24"/>
          <w:szCs w:val="24"/>
        </w:rPr>
        <w:t xml:space="preserve"> Standardized contracts obligating the buyer to purchase, or the seller to sell, a specific asset at a predetermined price on a future date.</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Swaps:</w:t>
      </w:r>
      <w:r w:rsidRPr="00F05E1C">
        <w:rPr>
          <w:rFonts w:ascii="Times New Roman" w:eastAsia="Times New Roman" w:hAnsi="Times New Roman" w:cs="Times New Roman"/>
          <w:sz w:val="24"/>
          <w:szCs w:val="24"/>
        </w:rPr>
        <w:t xml:space="preserve"> Financial derivatives in which two parties exchange cash flows or liabilities from two different financial instruments, often used for managing interest rate or currency risks.</w:t>
      </w:r>
    </w:p>
    <w:p w:rsidR="00F05E1C" w:rsidRPr="00F05E1C" w:rsidRDefault="00F05E1C" w:rsidP="00F05E1C">
      <w:pPr>
        <w:spacing w:before="100" w:beforeAutospacing="1" w:after="100" w:afterAutospacing="1" w:line="240" w:lineRule="auto"/>
        <w:outlineLvl w:val="1"/>
        <w:rPr>
          <w:rFonts w:ascii="Times New Roman" w:eastAsia="Times New Roman" w:hAnsi="Times New Roman" w:cs="Times New Roman"/>
          <w:b/>
          <w:bCs/>
          <w:sz w:val="36"/>
          <w:szCs w:val="36"/>
        </w:rPr>
      </w:pPr>
      <w:r w:rsidRPr="00F05E1C">
        <w:rPr>
          <w:rFonts w:ascii="Times New Roman" w:eastAsia="Times New Roman" w:hAnsi="Times New Roman" w:cs="Times New Roman"/>
          <w:b/>
          <w:bCs/>
          <w:sz w:val="36"/>
          <w:szCs w:val="36"/>
        </w:rPr>
        <w:t>6. Binomial Model</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sz w:val="24"/>
          <w:szCs w:val="24"/>
        </w:rPr>
        <w:t>The Binomial Model is a discrete-time model used to price options by simulating possible price movements of the underlying asset over time. It models the asset's price as moving up or down by a specific factor in each period. This model is flexible and can handle various conditions, including American-style options that can be exercised before expiration.</w:t>
      </w:r>
    </w:p>
    <w:p w:rsidR="00F05E1C" w:rsidRPr="00F05E1C" w:rsidRDefault="00F05E1C" w:rsidP="00F05E1C">
      <w:pPr>
        <w:spacing w:before="100" w:beforeAutospacing="1" w:after="100" w:afterAutospacing="1" w:line="240" w:lineRule="auto"/>
        <w:outlineLvl w:val="1"/>
        <w:rPr>
          <w:rFonts w:ascii="Times New Roman" w:eastAsia="Times New Roman" w:hAnsi="Times New Roman" w:cs="Times New Roman"/>
          <w:b/>
          <w:bCs/>
          <w:sz w:val="36"/>
          <w:szCs w:val="36"/>
        </w:rPr>
      </w:pPr>
      <w:r w:rsidRPr="00F05E1C">
        <w:rPr>
          <w:rFonts w:ascii="Times New Roman" w:eastAsia="Times New Roman" w:hAnsi="Times New Roman" w:cs="Times New Roman"/>
          <w:b/>
          <w:bCs/>
          <w:sz w:val="36"/>
          <w:szCs w:val="36"/>
        </w:rPr>
        <w:t>7. Black-Scholes Model</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sz w:val="24"/>
          <w:szCs w:val="24"/>
        </w:rPr>
        <w:t>The Black-Scholes Model provides a theoretical estimate for the pricing of European options. It assumes constant volatility and interest rates, with no dividends paid during the option's life. The model's formula helps calculate the fair market value of call and put options.</w:t>
      </w:r>
    </w:p>
    <w:p w:rsidR="00F05E1C" w:rsidRPr="00F05E1C" w:rsidRDefault="00F05E1C" w:rsidP="00F05E1C">
      <w:pPr>
        <w:spacing w:before="100" w:beforeAutospacing="1" w:after="100" w:afterAutospacing="1" w:line="240" w:lineRule="auto"/>
        <w:outlineLvl w:val="1"/>
        <w:rPr>
          <w:rFonts w:ascii="Times New Roman" w:eastAsia="Times New Roman" w:hAnsi="Times New Roman" w:cs="Times New Roman"/>
          <w:b/>
          <w:bCs/>
          <w:sz w:val="36"/>
          <w:szCs w:val="36"/>
        </w:rPr>
      </w:pPr>
      <w:r w:rsidRPr="00F05E1C">
        <w:rPr>
          <w:rFonts w:ascii="Times New Roman" w:eastAsia="Times New Roman" w:hAnsi="Times New Roman" w:cs="Times New Roman"/>
          <w:b/>
          <w:bCs/>
          <w:sz w:val="36"/>
          <w:szCs w:val="36"/>
        </w:rPr>
        <w:t>8. The Greeks (Delta, Gamma, Theta, Vega, Rho)</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Delta:</w:t>
      </w:r>
      <w:r w:rsidRPr="00F05E1C">
        <w:rPr>
          <w:rFonts w:ascii="Times New Roman" w:eastAsia="Times New Roman" w:hAnsi="Times New Roman" w:cs="Times New Roman"/>
          <w:sz w:val="24"/>
          <w:szCs w:val="24"/>
        </w:rPr>
        <w:t xml:space="preserve"> Measures the sensitivity of an option's price to changes in the underlying asset's price.</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Gamma:</w:t>
      </w:r>
      <w:r w:rsidRPr="00F05E1C">
        <w:rPr>
          <w:rFonts w:ascii="Times New Roman" w:eastAsia="Times New Roman" w:hAnsi="Times New Roman" w:cs="Times New Roman"/>
          <w:sz w:val="24"/>
          <w:szCs w:val="24"/>
        </w:rPr>
        <w:t xml:space="preserve"> Reflects the rate of change of Delta, indicating how Delta will change as the underlying asset's price changes.</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Theta:</w:t>
      </w:r>
      <w:r w:rsidRPr="00F05E1C">
        <w:rPr>
          <w:rFonts w:ascii="Times New Roman" w:eastAsia="Times New Roman" w:hAnsi="Times New Roman" w:cs="Times New Roman"/>
          <w:sz w:val="24"/>
          <w:szCs w:val="24"/>
        </w:rPr>
        <w:t xml:space="preserve"> Measures the impact of time decay on the option's price, highlighting how the option loses value as it nears expiration.</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Vega:</w:t>
      </w:r>
      <w:r w:rsidRPr="00F05E1C">
        <w:rPr>
          <w:rFonts w:ascii="Times New Roman" w:eastAsia="Times New Roman" w:hAnsi="Times New Roman" w:cs="Times New Roman"/>
          <w:sz w:val="24"/>
          <w:szCs w:val="24"/>
        </w:rPr>
        <w:t xml:space="preserve"> Gauges the sensitivity of an option's price to changes in volatility.</w:t>
      </w:r>
    </w:p>
    <w:p w:rsidR="00F05E1C" w:rsidRPr="00F05E1C" w:rsidRDefault="00F05E1C" w:rsidP="00F05E1C">
      <w:pPr>
        <w:spacing w:before="100" w:beforeAutospacing="1" w:after="100" w:afterAutospacing="1" w:line="240" w:lineRule="auto"/>
        <w:rPr>
          <w:rFonts w:ascii="Times New Roman" w:eastAsia="Times New Roman" w:hAnsi="Times New Roman" w:cs="Times New Roman"/>
          <w:sz w:val="24"/>
          <w:szCs w:val="24"/>
        </w:rPr>
      </w:pPr>
      <w:r w:rsidRPr="00F05E1C">
        <w:rPr>
          <w:rFonts w:ascii="Times New Roman" w:eastAsia="Times New Roman" w:hAnsi="Times New Roman" w:cs="Times New Roman"/>
          <w:b/>
          <w:bCs/>
          <w:sz w:val="24"/>
          <w:szCs w:val="24"/>
        </w:rPr>
        <w:t>Rho:</w:t>
      </w:r>
      <w:r w:rsidRPr="00F05E1C">
        <w:rPr>
          <w:rFonts w:ascii="Times New Roman" w:eastAsia="Times New Roman" w:hAnsi="Times New Roman" w:cs="Times New Roman"/>
          <w:sz w:val="24"/>
          <w:szCs w:val="24"/>
        </w:rPr>
        <w:t xml:space="preserve"> Assesses how the option's price responds to changes in interest rates.</w:t>
      </w:r>
    </w:p>
    <w:p w:rsidR="00F05E1C" w:rsidRDefault="00F05E1C" w:rsidP="00F05E1C">
      <w:pPr>
        <w:pStyle w:val="Heading2"/>
      </w:pPr>
      <w:r>
        <w:t>9. Capital Asset Pricing Model (CAPM)</w:t>
      </w:r>
    </w:p>
    <w:p w:rsidR="00F05E1C" w:rsidRDefault="00F05E1C" w:rsidP="00F05E1C">
      <w:pPr>
        <w:pStyle w:val="NormalWeb"/>
      </w:pPr>
      <w:r>
        <w:t xml:space="preserve">The CAPM is a model that describes the relationship between systematic risk and expected return for assets, particularly stocks. It is used to determine a theoretically appropriate required rate of return of an asset, factoring in its risk relative to the market. The formula is: </w:t>
      </w:r>
      <w:r>
        <w:rPr>
          <w:rStyle w:val="Strong"/>
        </w:rPr>
        <w:t>Expected Return = Risk-Free Rate + Beta × (Market Return - Risk-Free Rate)</w:t>
      </w:r>
      <w:r>
        <w:t>, where Beta measures an asset's volatility relative to the market.</w:t>
      </w:r>
    </w:p>
    <w:p w:rsidR="00F05E1C" w:rsidRDefault="00F05E1C" w:rsidP="00F05E1C">
      <w:pPr>
        <w:pStyle w:val="Heading2"/>
      </w:pPr>
      <w:r>
        <w:t>10. Arbitrage Pricing Theory (APT)</w:t>
      </w:r>
    </w:p>
    <w:p w:rsidR="00F05E1C" w:rsidRDefault="00F05E1C" w:rsidP="00F05E1C">
      <w:pPr>
        <w:pStyle w:val="NormalWeb"/>
      </w:pPr>
      <w:r>
        <w:lastRenderedPageBreak/>
        <w:t>APT is a multi-factor asset pricing model that considers various macroeconomic factors to explain asset returns. Unlike CAPM, which uses a single market risk factor, APT allows for multiple factors, such as inflation or interest rates, to influence asset pricing. It is more flexible than CAPM and can better capture asset price movements in diverse market conditions.</w:t>
      </w:r>
    </w:p>
    <w:p w:rsidR="00F05E1C" w:rsidRDefault="00F05E1C" w:rsidP="00F05E1C">
      <w:pPr>
        <w:pStyle w:val="Heading2"/>
      </w:pPr>
      <w:r>
        <w:t>11. Market Efficiency</w:t>
      </w:r>
    </w:p>
    <w:p w:rsidR="00F05E1C" w:rsidRDefault="00F05E1C" w:rsidP="00F05E1C">
      <w:pPr>
        <w:pStyle w:val="NormalWeb"/>
      </w:pPr>
      <w:r>
        <w:t xml:space="preserve">Market efficiency refers to how well market prices reflect all available, relevant information. The </w:t>
      </w:r>
      <w:r>
        <w:rPr>
          <w:rStyle w:val="Strong"/>
        </w:rPr>
        <w:t>Efficient Market Hypothesis (EMH)</w:t>
      </w:r>
      <w:r>
        <w:t xml:space="preserve"> posits that it's impossible to consistently achieve higher-than-average returns because asset prices already incorporate all known information. There are three forms of market efficiency: </w:t>
      </w:r>
      <w:r>
        <w:rPr>
          <w:rStyle w:val="Strong"/>
        </w:rPr>
        <w:t>weak</w:t>
      </w:r>
      <w:r>
        <w:t xml:space="preserve">, </w:t>
      </w:r>
      <w:r>
        <w:rPr>
          <w:rStyle w:val="Strong"/>
        </w:rPr>
        <w:t>semi-strong</w:t>
      </w:r>
      <w:r>
        <w:t xml:space="preserve">, and </w:t>
      </w:r>
      <w:r>
        <w:rPr>
          <w:rStyle w:val="Strong"/>
        </w:rPr>
        <w:t>strong</w:t>
      </w:r>
      <w:r>
        <w:t>, each reflecting the level of information incorporated into prices.</w:t>
      </w:r>
    </w:p>
    <w:p w:rsidR="00F05E1C" w:rsidRDefault="00F05E1C" w:rsidP="00F05E1C">
      <w:pPr>
        <w:pStyle w:val="Heading2"/>
      </w:pPr>
      <w:r>
        <w:t>12. Behavioral Finance</w:t>
      </w:r>
    </w:p>
    <w:p w:rsidR="00F05E1C" w:rsidRDefault="00F05E1C" w:rsidP="00F05E1C">
      <w:pPr>
        <w:pStyle w:val="NormalWeb"/>
      </w:pPr>
      <w:r>
        <w:t>Behavioral finance combines psychology and economics to explain market anomalies and investor behavior. It challenges the assumption of rational decision-making by highlighting cognitive biases, such as overconfidence and loss aversion, that can lead to irrational market outcomes. Behavioral finance helps explain phenomena like market bubbles and crashes.</w:t>
      </w:r>
    </w:p>
    <w:p w:rsidR="00F05E1C" w:rsidRDefault="00F05E1C" w:rsidP="00F05E1C">
      <w:pPr>
        <w:pStyle w:val="Heading2"/>
      </w:pPr>
      <w:r>
        <w:t>13. Exotic Options</w:t>
      </w:r>
    </w:p>
    <w:p w:rsidR="00F05E1C" w:rsidRDefault="00F05E1C" w:rsidP="00F05E1C">
      <w:pPr>
        <w:pStyle w:val="NormalWeb"/>
      </w:pPr>
      <w:r>
        <w:t xml:space="preserve">Exotic options are more complex than standard options and often feature unique conditions for payoff. Examples include </w:t>
      </w:r>
      <w:r>
        <w:rPr>
          <w:rStyle w:val="Strong"/>
        </w:rPr>
        <w:t>barrier options</w:t>
      </w:r>
      <w:r>
        <w:t xml:space="preserve"> (activated or deactivated when the underlying asset reaches a certain price) and </w:t>
      </w:r>
      <w:r>
        <w:rPr>
          <w:rStyle w:val="Strong"/>
        </w:rPr>
        <w:t>Asian options</w:t>
      </w:r>
      <w:r>
        <w:t xml:space="preserve"> (payoffs based on the average price of the underlying asset over a period). These options are used for more specialized hedging and speculative strategies.</w:t>
      </w:r>
    </w:p>
    <w:p w:rsidR="00F05E1C" w:rsidRDefault="00F05E1C" w:rsidP="00F05E1C">
      <w:pPr>
        <w:pStyle w:val="Heading2"/>
      </w:pPr>
      <w:r>
        <w:t>14. Random Walk</w:t>
      </w:r>
    </w:p>
    <w:p w:rsidR="00F05E1C" w:rsidRDefault="00F05E1C" w:rsidP="00F05E1C">
      <w:pPr>
        <w:pStyle w:val="NormalWeb"/>
      </w:pPr>
      <w:r>
        <w:t>The Random Walk Theory suggests that stock price movements are random and unpredictable, implying that past price movements cannot predict future trends. This theory supports the idea of market efficiency, as all known information is already reflected in current prices. It challenges technical analysis strategies based on historical price patterns.</w:t>
      </w:r>
    </w:p>
    <w:p w:rsidR="00F05E1C" w:rsidRDefault="00F05E1C" w:rsidP="00F05E1C">
      <w:pPr>
        <w:pStyle w:val="Heading2"/>
      </w:pPr>
      <w:r>
        <w:t>15. Stochastic Processes</w:t>
      </w:r>
    </w:p>
    <w:p w:rsidR="00F05E1C" w:rsidRDefault="00F05E1C" w:rsidP="00F05E1C">
      <w:pPr>
        <w:pStyle w:val="NormalWeb"/>
      </w:pPr>
      <w:r>
        <w:t xml:space="preserve">Stochastic processes are mathematical models used to describe systems that evolve over time with inherent randomness. They are widely used in finance to model asset prices, interest rates, and risk factors. Examples include the </w:t>
      </w:r>
      <w:r>
        <w:rPr>
          <w:rStyle w:val="Strong"/>
        </w:rPr>
        <w:t>Poisson process</w:t>
      </w:r>
      <w:r>
        <w:t xml:space="preserve"> for modeling rare events and </w:t>
      </w:r>
      <w:r>
        <w:rPr>
          <w:rStyle w:val="Strong"/>
        </w:rPr>
        <w:t>Brownian motion</w:t>
      </w:r>
      <w:r>
        <w:t xml:space="preserve"> for continuous asset price movements.</w:t>
      </w:r>
    </w:p>
    <w:p w:rsidR="00F05E1C" w:rsidRDefault="00F05E1C" w:rsidP="00F05E1C">
      <w:pPr>
        <w:pStyle w:val="Heading2"/>
      </w:pPr>
      <w:r>
        <w:lastRenderedPageBreak/>
        <w:t>16. Brownian Motion and Geometric Brownian Motion (GBM)</w:t>
      </w:r>
    </w:p>
    <w:p w:rsidR="00F05E1C" w:rsidRDefault="00F05E1C" w:rsidP="00F05E1C">
      <w:pPr>
        <w:pStyle w:val="NormalWeb"/>
      </w:pPr>
      <w:r>
        <w:rPr>
          <w:rStyle w:val="Strong"/>
        </w:rPr>
        <w:t>Brownian Motion</w:t>
      </w:r>
      <w:r>
        <w:t xml:space="preserve"> is a continuous stochastic process used to model random movements in finance, such as stock prices. </w:t>
      </w:r>
      <w:r>
        <w:rPr>
          <w:rStyle w:val="Strong"/>
        </w:rPr>
        <w:t>Geometric Brownian Motion (GBM)</w:t>
      </w:r>
      <w:r>
        <w:t xml:space="preserve"> extends this by incorporating a drift component and volatility, making it suitable for modeling asset prices that cannot become negative. GBM is the foundation of the Black-Scholes model.</w:t>
      </w:r>
    </w:p>
    <w:p w:rsidR="00F05E1C" w:rsidRDefault="00F05E1C" w:rsidP="00F05E1C">
      <w:pPr>
        <w:pStyle w:val="Heading2"/>
      </w:pPr>
      <w:r>
        <w:t>17. Sigma Algebra</w:t>
      </w:r>
    </w:p>
    <w:p w:rsidR="00F05E1C" w:rsidRDefault="00F05E1C" w:rsidP="00F05E1C">
      <w:pPr>
        <w:pStyle w:val="NormalWeb"/>
      </w:pPr>
      <w:r>
        <w:t>Sigma algebra is a mathematical structure used in probability theory to define collections of events for which probabilities can be assigned. It ensures that complex events formed by unions and intersections of simpler events are also measurable. Sigma algebra is crucial in defining probability spaces in stochastic modeling.</w:t>
      </w:r>
    </w:p>
    <w:p w:rsidR="00F05E1C" w:rsidRDefault="00F05E1C" w:rsidP="00F05E1C">
      <w:pPr>
        <w:pStyle w:val="Heading2"/>
      </w:pPr>
      <w:r>
        <w:t>18. Stochastic Calculus</w:t>
      </w:r>
    </w:p>
    <w:p w:rsidR="00F05E1C" w:rsidRDefault="00F05E1C" w:rsidP="00F05E1C">
      <w:pPr>
        <w:pStyle w:val="NormalWeb"/>
      </w:pPr>
      <w:r>
        <w:t xml:space="preserve">Stochastic calculus extends regular calculus to handle integrals and derivatives of stochastic processes. It is fundamental in quantitative finance for modeling dynamic systems with randomness, such as asset pricing. Tools like </w:t>
      </w:r>
      <w:r>
        <w:rPr>
          <w:rStyle w:val="Strong"/>
        </w:rPr>
        <w:t>Ito's Lemma</w:t>
      </w:r>
      <w:r>
        <w:t xml:space="preserve"> allow for the manipulation of functions involving Brownian motion.</w:t>
      </w:r>
    </w:p>
    <w:p w:rsidR="00F05E1C" w:rsidRDefault="00F05E1C" w:rsidP="00F05E1C">
      <w:pPr>
        <w:pStyle w:val="Heading2"/>
      </w:pPr>
      <w:r>
        <w:t>19. Ito's Lemma</w:t>
      </w:r>
    </w:p>
    <w:p w:rsidR="00F05E1C" w:rsidRDefault="00F05E1C" w:rsidP="00F05E1C">
      <w:pPr>
        <w:pStyle w:val="NormalWeb"/>
      </w:pPr>
      <w:r>
        <w:t>Ito's Lemma is a key result in stochastic calculus, providing the method for differentiating functions of stochastic processes. It is essential for deriving the Black-Scholes option pricing formula. Ito's Lemma accounts for both deterministic and stochastic components in modeling price dynamics.</w:t>
      </w:r>
    </w:p>
    <w:p w:rsidR="00F05E1C" w:rsidRDefault="00F05E1C" w:rsidP="00F05E1C">
      <w:pPr>
        <w:pStyle w:val="Heading2"/>
      </w:pPr>
      <w:r>
        <w:t>20. Risk-Neutral Valuation</w:t>
      </w:r>
    </w:p>
    <w:p w:rsidR="00F05E1C" w:rsidRDefault="00F05E1C" w:rsidP="00F05E1C">
      <w:pPr>
        <w:pStyle w:val="NormalWeb"/>
      </w:pPr>
      <w:r>
        <w:t>Risk-neutral valuation is a pricing approach assuming that all investors are indifferent to risk. Under this framework, the expected returns of all assets are equal to the risk-free rate. This simplifies pricing derivatives by discounting expected payoffs at the risk-free rate.</w:t>
      </w:r>
    </w:p>
    <w:p w:rsidR="00F05E1C" w:rsidRDefault="00F05E1C" w:rsidP="00F05E1C">
      <w:pPr>
        <w:pStyle w:val="Heading2"/>
      </w:pPr>
      <w:r>
        <w:t>21. Value at Risk (VaR)</w:t>
      </w:r>
    </w:p>
    <w:p w:rsidR="00F05E1C" w:rsidRDefault="00F05E1C" w:rsidP="00F05E1C">
      <w:pPr>
        <w:pStyle w:val="NormalWeb"/>
      </w:pPr>
      <w:r>
        <w:t>VaR is a risk measure estimating the maximum potential loss of a portfolio over a specific time period at a given confidence level. For example, a 5% one-day VaR of $1 million implies a 5% chance of losing more than $1 million in one day. It is widely used in financial risk management.</w:t>
      </w:r>
    </w:p>
    <w:p w:rsidR="00F05E1C" w:rsidRDefault="00F05E1C" w:rsidP="00F05E1C">
      <w:pPr>
        <w:pStyle w:val="Heading2"/>
      </w:pPr>
      <w:r>
        <w:t>22. Stress Testing</w:t>
      </w:r>
    </w:p>
    <w:p w:rsidR="00F05E1C" w:rsidRDefault="00F05E1C" w:rsidP="00F05E1C">
      <w:pPr>
        <w:pStyle w:val="NormalWeb"/>
      </w:pPr>
      <w:r>
        <w:lastRenderedPageBreak/>
        <w:t>Stress testing evaluates how financial institutions or portfolios perform under extreme but plausible market conditions. It helps identify vulnerabilities to market shocks, liquidity crises, or economic downturns. Regulators often require stress tests to ensure financial system stability.</w:t>
      </w:r>
    </w:p>
    <w:p w:rsidR="00F05E1C" w:rsidRDefault="00F05E1C" w:rsidP="00F05E1C">
      <w:pPr>
        <w:pStyle w:val="Heading2"/>
      </w:pPr>
      <w:r>
        <w:t>23. Credit Ratings</w:t>
      </w:r>
    </w:p>
    <w:p w:rsidR="00F05E1C" w:rsidRDefault="00F05E1C" w:rsidP="00F05E1C">
      <w:pPr>
        <w:pStyle w:val="NormalWeb"/>
      </w:pPr>
      <w:r>
        <w:t xml:space="preserve">Credit ratings assess the creditworthiness of borrowers, including corporations and governments. Agencies like </w:t>
      </w:r>
      <w:r>
        <w:rPr>
          <w:rStyle w:val="Strong"/>
        </w:rPr>
        <w:t>Moody's</w:t>
      </w:r>
      <w:r>
        <w:t xml:space="preserve">, </w:t>
      </w:r>
      <w:r>
        <w:rPr>
          <w:rStyle w:val="Strong"/>
        </w:rPr>
        <w:t>S&amp;P</w:t>
      </w:r>
      <w:r>
        <w:t xml:space="preserve">, and </w:t>
      </w:r>
      <w:r>
        <w:rPr>
          <w:rStyle w:val="Strong"/>
        </w:rPr>
        <w:t>Fitch</w:t>
      </w:r>
      <w:r>
        <w:t xml:space="preserve"> assign ratings that indicate the likelihood of default. Higher ratings imply lower risk, influencing borrowing costs and investor decisions.</w:t>
      </w:r>
    </w:p>
    <w:p w:rsidR="00F05E1C" w:rsidRDefault="00F05E1C" w:rsidP="00F05E1C">
      <w:pPr>
        <w:pStyle w:val="Heading2"/>
      </w:pPr>
      <w:r>
        <w:t>24. Credit Default Swaps (CDS)</w:t>
      </w:r>
    </w:p>
    <w:p w:rsidR="00F05E1C" w:rsidRDefault="00F05E1C" w:rsidP="00F05E1C">
      <w:pPr>
        <w:pStyle w:val="NormalWeb"/>
      </w:pPr>
      <w:r>
        <w:t>A CDS is a financial derivative that acts as insurance against the default of a borrower. The buyer of a CDS makes periodic payments to the seller and receives compensation if the borrower defaults. CDSs are widely used for hedging credit risk.</w:t>
      </w:r>
    </w:p>
    <w:p w:rsidR="00092893" w:rsidRDefault="00092893" w:rsidP="00092893">
      <w:pPr>
        <w:pStyle w:val="Heading2"/>
      </w:pPr>
      <w:r>
        <w:t>25. Collateralized Debt Obligations (CDOs)</w:t>
      </w:r>
    </w:p>
    <w:p w:rsidR="00092893" w:rsidRDefault="00092893" w:rsidP="00092893">
      <w:pPr>
        <w:pStyle w:val="NormalWeb"/>
      </w:pPr>
      <w:r>
        <w:t>Collateralized Debt Obligations (CDOs) are complex financial products backed by a pool of loans and other assets. They are divided into tranches with varying risk levels, offering different returns based on the credit quality of the underlying assets. CDOs played a significant role in the 2008 financial crisis due to the mispricing of their risk.</w:t>
      </w:r>
    </w:p>
    <w:p w:rsidR="00092893" w:rsidRDefault="00092893" w:rsidP="00092893">
      <w:pPr>
        <w:pStyle w:val="Heading2"/>
      </w:pPr>
      <w:r>
        <w:t>26. Merton Model</w:t>
      </w:r>
    </w:p>
    <w:p w:rsidR="00092893" w:rsidRDefault="00092893" w:rsidP="00092893">
      <w:pPr>
        <w:pStyle w:val="NormalWeb"/>
      </w:pPr>
      <w:r>
        <w:t>The Merton Model is a structural credit risk model that treats a company's equity as a call option on its assets. If the firm's assets fall below its liabilities, the company defaults. This model helps estimate the probability of default and is foundational in modern credit risk assessment.</w:t>
      </w:r>
    </w:p>
    <w:p w:rsidR="00092893" w:rsidRDefault="00092893" w:rsidP="00092893">
      <w:pPr>
        <w:pStyle w:val="Heading2"/>
      </w:pPr>
      <w:r>
        <w:t>27. Reduced-Form Models</w:t>
      </w:r>
    </w:p>
    <w:p w:rsidR="00092893" w:rsidRDefault="00092893" w:rsidP="00092893">
      <w:pPr>
        <w:pStyle w:val="NormalWeb"/>
      </w:pPr>
      <w:r>
        <w:t>Reduced-form models estimate credit risk by modeling default as a random event influenced by observable market variables. Unlike the Merton Model, they do not rely on the firm's asset structure, making them more flexible for pricing credit derivatives like Credit Default Swaps (CDS).</w:t>
      </w:r>
    </w:p>
    <w:p w:rsidR="00092893" w:rsidRDefault="00092893" w:rsidP="00092893">
      <w:pPr>
        <w:pStyle w:val="Heading2"/>
      </w:pPr>
      <w:r>
        <w:t>28. Credit Valuation Adjustment (CVA)</w:t>
      </w:r>
    </w:p>
    <w:p w:rsidR="00092893" w:rsidRDefault="00092893" w:rsidP="00092893">
      <w:pPr>
        <w:pStyle w:val="NormalWeb"/>
      </w:pPr>
      <w:r>
        <w:t>Credit Valuation Adjustment (CVA) quantifies the counterparty credit risk in derivative pricing. It adjusts the market value of a derivative to reflect the possibility that the counterparty might default on its obligations. CVA is critical for risk management in financial institutions.</w:t>
      </w:r>
    </w:p>
    <w:p w:rsidR="00092893" w:rsidRDefault="00092893" w:rsidP="00092893">
      <w:pPr>
        <w:pStyle w:val="Heading2"/>
      </w:pPr>
      <w:r>
        <w:t>29. Portfolio Theory</w:t>
      </w:r>
    </w:p>
    <w:p w:rsidR="00092893" w:rsidRDefault="00092893" w:rsidP="00092893">
      <w:pPr>
        <w:pStyle w:val="NormalWeb"/>
      </w:pPr>
      <w:r>
        <w:lastRenderedPageBreak/>
        <w:t>Portfolio theory focuses on how investors can construct portfolios to maximize returns for a given level of risk. Introduced by Harry Markowitz, the theory emphasizes diversification to reduce unsystematic risk. It forms the basis for modern portfolio management strategies.</w:t>
      </w:r>
    </w:p>
    <w:p w:rsidR="00092893" w:rsidRDefault="00092893" w:rsidP="00092893">
      <w:pPr>
        <w:pStyle w:val="Heading2"/>
      </w:pPr>
      <w:r>
        <w:t>30. Efficient Frontier</w:t>
      </w:r>
    </w:p>
    <w:p w:rsidR="00092893" w:rsidRDefault="00092893" w:rsidP="00092893">
      <w:pPr>
        <w:pStyle w:val="NormalWeb"/>
      </w:pPr>
      <w:r>
        <w:t>The efficient frontier represents the set of optimal portfolios offering the highest expected return for a defined level of risk. It is derived from portfolio theory and helps investors identify the best possible asset combinations to achieve their investment goals.</w:t>
      </w:r>
    </w:p>
    <w:p w:rsidR="00092893" w:rsidRDefault="00092893" w:rsidP="00092893">
      <w:pPr>
        <w:pStyle w:val="Heading2"/>
      </w:pPr>
      <w:r>
        <w:t>31. Sharpe Ratio</w:t>
      </w:r>
    </w:p>
    <w:p w:rsidR="00092893" w:rsidRDefault="00092893" w:rsidP="00092893">
      <w:pPr>
        <w:pStyle w:val="NormalWeb"/>
      </w:pPr>
      <w:r>
        <w:t>The Sharpe Ratio measures the risk-adjusted return of an investment. It is calculated by subtracting the risk-free rate from the investment's return and dividing the result by the investment's standard deviation. A higher Sharpe Ratio indicates better risk-adjusted performance.</w:t>
      </w:r>
    </w:p>
    <w:p w:rsidR="00092893" w:rsidRDefault="00092893" w:rsidP="00092893">
      <w:pPr>
        <w:pStyle w:val="Heading2"/>
      </w:pPr>
      <w:r>
        <w:t>32. Master-Feeder Structure</w:t>
      </w:r>
    </w:p>
    <w:p w:rsidR="00092893" w:rsidRDefault="00092893" w:rsidP="00092893">
      <w:pPr>
        <w:pStyle w:val="NormalWeb"/>
      </w:pPr>
      <w:r>
        <w:t>The master-feeder structure is an investment arrangement where multiple feeder funds pool assets into a single master fund. This setup allows hedge funds to efficiently manage capital across different investor groups and jurisdictions. It optimizes operational efficiency and tax strategies.</w:t>
      </w:r>
    </w:p>
    <w:p w:rsidR="00092893" w:rsidRDefault="00092893" w:rsidP="00092893">
      <w:pPr>
        <w:pStyle w:val="Heading2"/>
      </w:pPr>
      <w:r>
        <w:t>33. Fee Structures (2 and 20 Model)</w:t>
      </w:r>
    </w:p>
    <w:p w:rsidR="00092893" w:rsidRDefault="00092893" w:rsidP="00092893">
      <w:pPr>
        <w:pStyle w:val="NormalWeb"/>
      </w:pPr>
      <w:r>
        <w:t>The "2 and 20" fee structure is standard in hedge funds, where fund managers charge a 2% management fee on assets under management and a 20% performance fee on profits. This incentivizes managers to achieve high returns but can lead to risk-taking behaviors.</w:t>
      </w:r>
    </w:p>
    <w:p w:rsidR="00092893" w:rsidRDefault="00092893" w:rsidP="00092893">
      <w:pPr>
        <w:pStyle w:val="Heading2"/>
      </w:pPr>
      <w:r>
        <w:t>34. Leverage and Arbitrage</w:t>
      </w:r>
    </w:p>
    <w:p w:rsidR="00092893" w:rsidRDefault="00092893" w:rsidP="00092893">
      <w:pPr>
        <w:pStyle w:val="NormalWeb"/>
      </w:pPr>
      <w:r>
        <w:rPr>
          <w:rStyle w:val="Strong"/>
        </w:rPr>
        <w:t>Leverage</w:t>
      </w:r>
      <w:r>
        <w:t xml:space="preserve"> involves using borrowed funds to increase the potential return on investment. While it can amplify gains, it also magnifies losses, increasing financial risk.</w:t>
      </w:r>
    </w:p>
    <w:p w:rsidR="00092893" w:rsidRDefault="00092893" w:rsidP="00092893">
      <w:pPr>
        <w:pStyle w:val="NormalWeb"/>
      </w:pPr>
      <w:r>
        <w:rPr>
          <w:rStyle w:val="Strong"/>
        </w:rPr>
        <w:t>Arbitrage</w:t>
      </w:r>
      <w:r>
        <w:t xml:space="preserve"> is a strategy that exploits price differences of identical or similar financial instruments in different markets. By simultaneously buying low and selling high, arbitrageurs lock in risk-free profits, contributing to market efficiency.</w:t>
      </w:r>
    </w:p>
    <w:p w:rsidR="00092893" w:rsidRDefault="00092893" w:rsidP="00092893">
      <w:r>
        <w:pict>
          <v:rect id="_x0000_i1029" style="width:0;height:1.5pt" o:hralign="center" o:hrstd="t" o:hr="t" fillcolor="#a0a0a0" stroked="f"/>
        </w:pict>
      </w:r>
    </w:p>
    <w:p w:rsidR="0018287C" w:rsidRDefault="0018287C">
      <w:bookmarkStart w:id="0" w:name="_GoBack"/>
      <w:bookmarkEnd w:id="0"/>
    </w:p>
    <w:sectPr w:rsidR="001828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B6F04"/>
    <w:multiLevelType w:val="multilevel"/>
    <w:tmpl w:val="9B2E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1C"/>
    <w:rsid w:val="00092893"/>
    <w:rsid w:val="0018287C"/>
    <w:rsid w:val="00F0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51F74-414F-4031-8767-E3868ECA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5E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5E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E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5E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5E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E1C"/>
    <w:rPr>
      <w:b/>
      <w:bCs/>
    </w:rPr>
  </w:style>
  <w:style w:type="character" w:styleId="Emphasis">
    <w:name w:val="Emphasis"/>
    <w:basedOn w:val="DefaultParagraphFont"/>
    <w:uiPriority w:val="20"/>
    <w:qFormat/>
    <w:rsid w:val="00F05E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9847632">
          <w:marLeft w:val="0"/>
          <w:marRight w:val="0"/>
          <w:marTop w:val="0"/>
          <w:marBottom w:val="0"/>
          <w:divBdr>
            <w:top w:val="none" w:sz="0" w:space="0" w:color="auto"/>
            <w:left w:val="none" w:sz="0" w:space="0" w:color="auto"/>
            <w:bottom w:val="none" w:sz="0" w:space="0" w:color="auto"/>
            <w:right w:val="none" w:sz="0" w:space="0" w:color="auto"/>
          </w:divBdr>
        </w:div>
        <w:div w:id="1742363294">
          <w:marLeft w:val="0"/>
          <w:marRight w:val="0"/>
          <w:marTop w:val="0"/>
          <w:marBottom w:val="0"/>
          <w:divBdr>
            <w:top w:val="none" w:sz="0" w:space="0" w:color="auto"/>
            <w:left w:val="none" w:sz="0" w:space="0" w:color="auto"/>
            <w:bottom w:val="none" w:sz="0" w:space="0" w:color="auto"/>
            <w:right w:val="none" w:sz="0" w:space="0" w:color="auto"/>
          </w:divBdr>
        </w:div>
      </w:divsChild>
    </w:div>
    <w:div w:id="520703000">
      <w:bodyDiv w:val="1"/>
      <w:marLeft w:val="0"/>
      <w:marRight w:val="0"/>
      <w:marTop w:val="0"/>
      <w:marBottom w:val="0"/>
      <w:divBdr>
        <w:top w:val="none" w:sz="0" w:space="0" w:color="auto"/>
        <w:left w:val="none" w:sz="0" w:space="0" w:color="auto"/>
        <w:bottom w:val="none" w:sz="0" w:space="0" w:color="auto"/>
        <w:right w:val="none" w:sz="0" w:space="0" w:color="auto"/>
      </w:divBdr>
    </w:div>
    <w:div w:id="1702897510">
      <w:bodyDiv w:val="1"/>
      <w:marLeft w:val="0"/>
      <w:marRight w:val="0"/>
      <w:marTop w:val="0"/>
      <w:marBottom w:val="0"/>
      <w:divBdr>
        <w:top w:val="none" w:sz="0" w:space="0" w:color="auto"/>
        <w:left w:val="none" w:sz="0" w:space="0" w:color="auto"/>
        <w:bottom w:val="none" w:sz="0" w:space="0" w:color="auto"/>
        <w:right w:val="none" w:sz="0" w:space="0" w:color="auto"/>
      </w:divBdr>
      <w:divsChild>
        <w:div w:id="1262639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T460S</dc:creator>
  <cp:keywords/>
  <dc:description/>
  <cp:lastModifiedBy>T460S</cp:lastModifiedBy>
  <cp:revision>1</cp:revision>
  <dcterms:created xsi:type="dcterms:W3CDTF">2025-01-15T21:02:00Z</dcterms:created>
  <dcterms:modified xsi:type="dcterms:W3CDTF">2025-01-15T21:06:00Z</dcterms:modified>
</cp:coreProperties>
</file>