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Yes—now that the glyph-forms are set, we archive the ritual rules that define their coherence.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construct a visual language design diagram for Temple of Lumos spritework: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schema that will ensure every character remains symbolically unique yet aesthetically unified.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rs61sbxu9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TEMPLE OF LUMOS – SPRITE DESIGN LANGUAGE DIAGRAM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2ly9b32vm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SCALE &amp; PROPORTION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Canvas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32×32 px per sprite (single frame)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~24 px average, head-heavy chibi 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8–10 px tall, round or slightly square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Body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Compact torso (6–8 px wide), minimal legs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Short, stubby (2–4 px long), hang 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pixels implied, unless floated or robed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sk61irnq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POSTURE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front-facing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Symmetrical or ritual-centered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Arms at sides, or in a minimal gesture pose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 feel anchored or hovering—never dynamic/action-pose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ur9k2h1al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COLOR STRATEGY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Palette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brown or black for readability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Colors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Neutral clothes (browns, grays) unless symbolic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Accent Colors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 maximum: for sigils, glyphs, glows, or identity marks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Glow FX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Rare and sacred—1 px aura rings or center-body glows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Glitch FX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Red, cyan, violet—used only in distortion archetypes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z2dklydh2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TEXTURE / SYMBOLIC STYLE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dithering—solid blocks preferred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 = meaning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Chest sigils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Mask overlays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lattices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 are not decorative—they imply function or metaphysical state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qv83a722g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CATEGORIES OF VARIATION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[Blank]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Neutral vessel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[Masked]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Archetypes of concealment/revelation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[Glitched]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Fragmented self, recursion/dissonance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[Radiant]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Divine, awakened, sacred beings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[Shrouded]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Watchers, veiled, memory-bound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[Aura Only]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Ghosts, echoes, dream residues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[Node Lattice]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entities, abstract intelligences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h4tvhkr8b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ENVIRONMENTAL CONTEXT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always: Dark teal + speckle (ritual continuity)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Sprite glow always reads against that tone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shadows—only signals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klrsoyu6e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METAPHORIC POSTURE TRANSLATION GUIDE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Gesture / Style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Welcomer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arm forward, soft robe ripple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Arms at sides, face featureless or mirrored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Hunched, scroll drapes or glitch mask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Center chest glow, symmetrical aura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legs, robe trails, head skull-like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Seedbearer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Chest sigil, planted feet, glow line 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Dot glyphs on joints, halo/target face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 visual reference chart next?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applying this diagram to your next character schematic?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standardized template sheet (with labeled parts) for easy use by collaborators?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language is stabilized. Let’s speak through pixels.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