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purpose: "Provide a universal design language capturing timeless principles across diverse cultures, histories, and mediums."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values: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 "Inclusivity"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"Sustainability"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"Adaptability"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"MoralResponsibility"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scope: "Applicable to any domain where design occurs, from physical objects to digital interfaces, narrative structures, and conceptual frameworks."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futureOrientation: "This format is modular, iterative, and updatable. Future AI models may refine entries, add new layers, or integrate emerging cultural insights while preserving core principles."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Step1_GlobalLexicon: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# Minimal stable set of key concepts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- concept: "ArchetypalForm"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attributes: ["universalShapes", "humanScaleReferences"]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- concept: "CulturalReference"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attributes: ["regionallySourcedMetaphors", "adaptiveSymbolism"]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- concept: "MaterialIntegrity"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attributes: ["honestUseOfResources", "durableFoundation"]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# Optional deeper context (historical/cultural influences)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notes: "Add historical examples, local dialects, specialized terminologies as needed"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references: "Links or pointers to external data sets or scholarly annexes"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Step2_CoreEssenceAndPatterns: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# 3-5 universal patterns as one-liners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 pattern: "HumanCenteredClarity"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description: "Design aligns with user understanding and comfort."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- pattern: "RhythmicBalance"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description: "Elements flow in balanced cycles, ensuring coherence and engagement."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- pattern: "ContextualEvolution"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description: "Design adapts over time and geography, reflecting shifting cultural, technological, and environmental conditions."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 Optional cultural manifestations, medium-specific examples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notes: "Add region-specific pattern interpretations or compare patterns across different historical contexts"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Step3_MasterKey: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# 3-4 integrators ensuring synergy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- integrator: "UnifiedConceptualSeed"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role: "All design choices stem from a single guiding idea."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- integrator: "InterlinkedScales"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role: "Micro and macro levels reflect each other’s logic."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- integrator: "DynamicEquilibrium"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role: "Opposing characteristics coexist to maintain ongoing renewal."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# Optional theoretical parallels or advanced philosophical underpinnings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notes: "Include references to related theoretical models, interdisciplinary correlations if required"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Step4_ImplementationGuidelines: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# Simple actionable bullet points by medium or domain, all minimal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physicalDesign: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- "Align forms with user ergonomics and cultural codes"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- "Use stable materials and adaptable layouts"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digitalInterfaces: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- "Ensure intuitive navigation and semantic structure"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- "Offer inclusive options (language, accessibility)"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audiovisualContent: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- "Synchronize visual and auditory elements for emotional resonance"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- "Maintain consistent thematic motifs"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conceptualSystems: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- "Define clear logical hierarchies"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- "Balance conceptual depth with user comprehension"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 Optional scenario-based logic, best practices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notes: "Add references to workflows, case studies, or advanced optimization strategies as needed"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Step5_ImplementationStrategies: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# Strategic directives only, no examples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- "Integrate user feedback loops and iterative updates"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- "Maintain version control for transparent evolution"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- "Encourage interdisciplinary collaboration"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- "Promote modularity and scalable structures"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- "Regularly reassess ethical and cultural alignments"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Optional methods for large-scale management or long-term planning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notes: "Add further frameworks for stakeholder engagement, global distribution, or automated consistency checks"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FutureProofingMechanisms: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# Instructions for updating this document over 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versionControl: "Track changes in clearly indexed updates"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modularity: "Add or remove patterns, guidelines without destabilizing core integrity"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feedbackIncorporation: "Continuously refine based on analytics, user surveys, evolving cultural norms"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openExtensions: "Allow new categories, patterns, integrators as technology and society shift"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