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Corning-Inspired Design Language with Standardized Color Palette</w:t>
      </w:r>
    </w:p>
    <w:p w:rsidR="00000000" w:rsidDel="00000000" w:rsidP="00000000" w:rsidRDefault="00000000" w:rsidRPr="00000000" w14:paraId="00000002">
      <w:pPr>
        <w:spacing w:after="240" w:before="240" w:lineRule="auto"/>
        <w:rPr/>
      </w:pPr>
      <w:r w:rsidDel="00000000" w:rsidR="00000000" w:rsidRPr="00000000">
        <w:rPr>
          <w:rtl w:val="0"/>
        </w:rPr>
        <w:tab/>
        <w:t xml:space="preserve">•</w:t>
        <w:tab/>
        <w:t xml:space="preserve">Color:</w:t>
      </w:r>
    </w:p>
    <w:p w:rsidR="00000000" w:rsidDel="00000000" w:rsidP="00000000" w:rsidRDefault="00000000" w:rsidRPr="00000000" w14:paraId="00000003">
      <w:pPr>
        <w:spacing w:after="240" w:before="240" w:lineRule="auto"/>
        <w:rPr/>
      </w:pPr>
      <w:r w:rsidDel="00000000" w:rsidR="00000000" w:rsidRPr="00000000">
        <w:rPr>
          <w:rtl w:val="0"/>
        </w:rPr>
        <w:tab/>
        <w:t xml:space="preserve">•</w:t>
        <w:tab/>
        <w:t xml:space="preserve">Fiber Jacket Colors:</w:t>
      </w:r>
    </w:p>
    <w:p w:rsidR="00000000" w:rsidDel="00000000" w:rsidP="00000000" w:rsidRDefault="00000000" w:rsidRPr="00000000" w14:paraId="00000004">
      <w:pPr>
        <w:spacing w:after="240" w:before="240" w:lineRule="auto"/>
        <w:rPr/>
      </w:pPr>
      <w:r w:rsidDel="00000000" w:rsidR="00000000" w:rsidRPr="00000000">
        <w:rPr>
          <w:rtl w:val="0"/>
        </w:rPr>
        <w:tab/>
        <w:t xml:space="preserve">•</w:t>
        <w:tab/>
        <w:t xml:space="preserve">Single-mode (OS1/OS2): Yellow</w:t>
      </w:r>
    </w:p>
    <w:p w:rsidR="00000000" w:rsidDel="00000000" w:rsidP="00000000" w:rsidRDefault="00000000" w:rsidRPr="00000000" w14:paraId="00000005">
      <w:pPr>
        <w:spacing w:after="240" w:before="240" w:lineRule="auto"/>
        <w:rPr/>
      </w:pPr>
      <w:r w:rsidDel="00000000" w:rsidR="00000000" w:rsidRPr="00000000">
        <w:rPr>
          <w:rtl w:val="0"/>
        </w:rPr>
        <w:tab/>
        <w:t xml:space="preserve">•</w:t>
        <w:tab/>
        <w:t xml:space="preserve">OM1/OM2 Multimode: Orange</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OM3/OM4 Multimode: Aqua (blue-green)</w:t>
      </w:r>
    </w:p>
    <w:p w:rsidR="00000000" w:rsidDel="00000000" w:rsidP="00000000" w:rsidRDefault="00000000" w:rsidRPr="00000000" w14:paraId="00000007">
      <w:pPr>
        <w:spacing w:after="240" w:before="240" w:lineRule="auto"/>
        <w:rPr/>
      </w:pPr>
      <w:r w:rsidDel="00000000" w:rsidR="00000000" w:rsidRPr="00000000">
        <w:rPr>
          <w:rtl w:val="0"/>
        </w:rPr>
        <w:tab/>
        <w:t xml:space="preserve">•</w:t>
        <w:tab/>
        <w:t xml:space="preserve">OM5 (Wideband Multimode): Lime green</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Buffer Tube Sequence: Blue, Orange, Green, Brown, Slate (Gray), White, Red, Black, Yellow, Violet, Rose (Pink), Aqua</w:t>
      </w:r>
    </w:p>
    <w:p w:rsidR="00000000" w:rsidDel="00000000" w:rsidP="00000000" w:rsidRDefault="00000000" w:rsidRPr="00000000" w14:paraId="00000009">
      <w:pPr>
        <w:spacing w:after="240" w:before="240" w:lineRule="auto"/>
        <w:rPr/>
      </w:pPr>
      <w:r w:rsidDel="00000000" w:rsidR="00000000" w:rsidRPr="00000000">
        <w:rPr>
          <w:rtl w:val="0"/>
        </w:rPr>
        <w:t xml:space="preserve">These colors, selected for clarity and universal recognition, should be employed as core functional elements. Use them as the foundation for your visual framework, ensuring that hues serve to communicate structure, order, and purpose rather than mere decoration.</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Finish &amp; Texture: Opt for smooth, matte surfaces that create uniformity and reduce glare. This subtle texture highlights color coding without competing against it, reinforcing the sense of technical precision.</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Typography &amp; Markings: Use clean, legible typefaces and minimal labeling. Let the standard color scheme do the heavy lifting of identification, while the text provides quiet reinforcement.</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Form &amp; Composition: Embrace ordered repetition, alignment, and spacing. Arrangements should suggest systematic clarity, allowing the standardized colors to articulate hierarchy, flow, and function.</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Imagery &amp; Context: When showing detailed views (like cross-sections or component arrangements), highlight the interplay of these coded colors in a balanced, harmonious layout. Encourage appreciation for the careful thought underlying the palette, reinforcing a narrative of technical craftsmanship and reliability.</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