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designLanguageDocument: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version: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name: "Cosmic &amp; Mythic Structures"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stepNumber: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intentions: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purpose: "Define the universe’s fundamental rules and metaphysical frameworks—mythologies, cosmic forces, and pantheons—that translate the core theme into tangible guiding principles."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values: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- "CulturalRespect"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 "ConceptualContinuity"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 "SustainabilityOfLore"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 "ThematicCoherence"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 "MoralAlignment"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scope: "Applies to all scales, defining the foundational laws and energies from which the universe springs, setting the stage for all stories and interactions."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futureOrientation: "Cosmic and mythic elements can be refined as new story arcs emerge, allowing for the integration of fresh entities, revised creation myths, or altered metaphysical principles while preserving central integrity."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coreComponents: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lexicon: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 concept: "CosmicForce"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attributes: ["fundamental_energy", "defining_universal_principles", "influential_power"]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 concept: "MythicChronicle"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attributes: ["creation_narrative", "epic_legend_anchor", "symbolic_events"]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concept: "DimensionalThreshold"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attributes: ["boundary_between_realms", "access_points_for_mystical_interactions", "rules_of_passage"]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patterns: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 pattern: "MythicUnity"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description: "All cosmic stories form a cohesive mythic tapestry, resonating with the central theme."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 pattern: "SymbolicForces"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description: "Deities, energies, or abstract principles represent archetypal concepts like creation, destruction, or wisdom."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 pattern: "EternalCycles"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description: "Recurring patterns (e.g., birth/death, seasons) give structure to myth and reinforce the universe’s intrinsic flow of time."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masterKey: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integrators: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- integrator: "CentralMyth"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role: "A core creation narrative or cosmic event influences all fundamental laws and interpretations of origin."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- integrator: "InterwovenRealms"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role: "Different dimensions, planes, or afterlives connect logically, ensuring a cohesive metaphysical system."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- integrator: "HarmonicBalance"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role: "Opposing forces (chaos/order, light/dark) maintain a dynamic equilibrium, driving narrative conflict and development."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guidelines: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textNarratives: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- "Refer to the CentralMyth in all origin stories, aligning local legends with cosmic fundamentals."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- "Maintain consistent terminology for cosmic entities and dimensional boundaries, avoiding contradictory naming across various media."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visualConcepts: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- "Represent cosmic forces symbolically through recurring colors, geometric patterns, or light/shadow motifs."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 "Use stable iconography (e.g., stylized sun discs, star patterns) for each divine entity."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interactiveDesign: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- "In interactive mediums, let user experiences with dimensional thresholds or cosmic cycles reveal a sense of universe-scale stakes and purpose."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 "Ensure that feedback loops reflect the universe’s rules and allow users to comprehend the subtle impacts of their actions."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implementationStrategies: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"Maintain a master cosmology document that acts as the foundation for all mythic references."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"Update cosmic and mythic references as stories expand into new regions or eras."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"Use user feedback or analytical insights to refine metaphysical rules over time, ensuring narrative consistency and ethical considerations remain aligned."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