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4ADCE" w14:textId="77777777" w:rsidR="00EC7277" w:rsidRPr="00EC7277" w:rsidRDefault="00EC7277" w:rsidP="00EC727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C7277">
        <w:rPr>
          <w:rFonts w:ascii="Times New Roman" w:eastAsia="Times New Roman" w:hAnsi="Times New Roman" w:cs="Times New Roman"/>
          <w:b/>
          <w:bCs/>
          <w:kern w:val="36"/>
          <w:sz w:val="48"/>
          <w:szCs w:val="48"/>
          <w14:ligatures w14:val="none"/>
        </w:rPr>
        <w:t>Strengthening HTCA Research: Academic Standards for Peer Review Excellence</w:t>
      </w:r>
    </w:p>
    <w:p w14:paraId="5D0C98CB"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kern w:val="0"/>
          <w14:ligatures w14:val="none"/>
        </w:rPr>
        <w:t>Based on comprehensive analysis of leading academic institutions, IRB frameworks, and top-tier journals, this guide provides concrete, implementable requirements to elevate your HTCA white paper to meet the highest peer review standards. The research synthesizes specific protocols from Nature AI, Science Robotics, IEEE journals, and major universities to address the three critical enhancement areas.</w:t>
      </w:r>
    </w:p>
    <w:p w14:paraId="474E7F3C" w14:textId="77777777" w:rsidR="00EC7277" w:rsidRPr="00EC7277" w:rsidRDefault="00EC7277" w:rsidP="00EC72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277">
        <w:rPr>
          <w:rFonts w:ascii="Times New Roman" w:eastAsia="Times New Roman" w:hAnsi="Times New Roman" w:cs="Times New Roman"/>
          <w:b/>
          <w:bCs/>
          <w:kern w:val="0"/>
          <w:sz w:val="36"/>
          <w:szCs w:val="36"/>
          <w14:ligatures w14:val="none"/>
        </w:rPr>
        <w:t>Enhanced experimental specificity standards</w:t>
      </w:r>
    </w:p>
    <w:p w14:paraId="2973F252"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Statistical power and sample size requirements</w:t>
      </w:r>
    </w:p>
    <w:p w14:paraId="6023FF3D"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Gold-standard power analysis specifications</w:t>
      </w:r>
      <w:r w:rsidRPr="00EC7277">
        <w:rPr>
          <w:rFonts w:ascii="Times New Roman" w:eastAsia="Times New Roman" w:hAnsi="Times New Roman" w:cs="Times New Roman"/>
          <w:kern w:val="0"/>
          <w14:ligatures w14:val="none"/>
        </w:rPr>
        <w:t xml:space="preserve"> demand </w:t>
      </w:r>
      <w:r w:rsidRPr="00EC7277">
        <w:rPr>
          <w:rFonts w:ascii="Times New Roman" w:eastAsia="Times New Roman" w:hAnsi="Times New Roman" w:cs="Times New Roman"/>
          <w:b/>
          <w:bCs/>
          <w:kern w:val="0"/>
          <w14:ligatures w14:val="none"/>
        </w:rPr>
        <w:t>80% power minimum</w:t>
      </w:r>
      <w:r w:rsidRPr="00EC7277">
        <w:rPr>
          <w:rFonts w:ascii="Times New Roman" w:eastAsia="Times New Roman" w:hAnsi="Times New Roman" w:cs="Times New Roman"/>
          <w:kern w:val="0"/>
          <w14:ligatures w14:val="none"/>
        </w:rPr>
        <w:t xml:space="preserve"> for consciousness studies, with </w:t>
      </w:r>
      <w:r w:rsidRPr="00EC7277">
        <w:rPr>
          <w:rFonts w:ascii="Times New Roman" w:eastAsia="Times New Roman" w:hAnsi="Times New Roman" w:cs="Times New Roman"/>
          <w:b/>
          <w:bCs/>
          <w:kern w:val="0"/>
          <w14:ligatures w14:val="none"/>
        </w:rPr>
        <w:t>90% power recommended</w:t>
      </w:r>
      <w:r w:rsidRPr="00EC7277">
        <w:rPr>
          <w:rFonts w:ascii="Times New Roman" w:eastAsia="Times New Roman" w:hAnsi="Times New Roman" w:cs="Times New Roman"/>
          <w:kern w:val="0"/>
          <w14:ligatures w14:val="none"/>
        </w:rPr>
        <w:t xml:space="preserve"> for critical consciousness detection research. Your HTCA validation studies must use </w:t>
      </w:r>
      <w:r w:rsidRPr="00EC7277">
        <w:rPr>
          <w:rFonts w:ascii="Times New Roman" w:eastAsia="Times New Roman" w:hAnsi="Times New Roman" w:cs="Times New Roman"/>
          <w:b/>
          <w:bCs/>
          <w:kern w:val="0"/>
          <w14:ligatures w14:val="none"/>
        </w:rPr>
        <w:t>G*Power 3.1 software</w:t>
      </w:r>
      <w:r w:rsidRPr="00EC7277">
        <w:rPr>
          <w:rFonts w:ascii="Times New Roman" w:eastAsia="Times New Roman" w:hAnsi="Times New Roman" w:cs="Times New Roman"/>
          <w:kern w:val="0"/>
          <w14:ligatures w14:val="none"/>
        </w:rPr>
        <w:t xml:space="preserve"> for sample size calculations, targeting medium effect sizes (Cohen's d = 0.5) typical in affective computing research.</w:t>
      </w:r>
    </w:p>
    <w:p w14:paraId="6003C3FD"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kern w:val="0"/>
          <w14:ligatures w14:val="none"/>
        </w:rPr>
        <w:t xml:space="preserve">For AI-human interaction studies, implement </w:t>
      </w:r>
      <w:r w:rsidRPr="00EC7277">
        <w:rPr>
          <w:rFonts w:ascii="Times New Roman" w:eastAsia="Times New Roman" w:hAnsi="Times New Roman" w:cs="Times New Roman"/>
          <w:b/>
          <w:bCs/>
          <w:kern w:val="0"/>
          <w14:ligatures w14:val="none"/>
        </w:rPr>
        <w:t>N = 128 participants</w:t>
      </w:r>
      <w:r w:rsidRPr="00EC7277">
        <w:rPr>
          <w:rFonts w:ascii="Times New Roman" w:eastAsia="Times New Roman" w:hAnsi="Times New Roman" w:cs="Times New Roman"/>
          <w:kern w:val="0"/>
          <w14:ligatures w14:val="none"/>
        </w:rPr>
        <w:t xml:space="preserve"> for between-subjects designs and </w:t>
      </w:r>
      <w:r w:rsidRPr="00EC7277">
        <w:rPr>
          <w:rFonts w:ascii="Times New Roman" w:eastAsia="Times New Roman" w:hAnsi="Times New Roman" w:cs="Times New Roman"/>
          <w:b/>
          <w:bCs/>
          <w:kern w:val="0"/>
          <w14:ligatures w14:val="none"/>
        </w:rPr>
        <w:t>N = 64 for within-subjects</w:t>
      </w:r>
      <w:r w:rsidRPr="00EC7277">
        <w:rPr>
          <w:rFonts w:ascii="Times New Roman" w:eastAsia="Times New Roman" w:hAnsi="Times New Roman" w:cs="Times New Roman"/>
          <w:kern w:val="0"/>
          <w14:ligatures w14:val="none"/>
        </w:rPr>
        <w:t xml:space="preserve"> designs. Consciousness assessment studies require </w:t>
      </w:r>
      <w:r w:rsidRPr="00EC7277">
        <w:rPr>
          <w:rFonts w:ascii="Times New Roman" w:eastAsia="Times New Roman" w:hAnsi="Times New Roman" w:cs="Times New Roman"/>
          <w:b/>
          <w:bCs/>
          <w:kern w:val="0"/>
          <w14:ligatures w14:val="none"/>
        </w:rPr>
        <w:t>N = 48-100 participants</w:t>
      </w:r>
      <w:r w:rsidRPr="00EC7277">
        <w:rPr>
          <w:rFonts w:ascii="Times New Roman" w:eastAsia="Times New Roman" w:hAnsi="Times New Roman" w:cs="Times New Roman"/>
          <w:kern w:val="0"/>
          <w14:ligatures w14:val="none"/>
        </w:rPr>
        <w:t xml:space="preserve"> depending on detection sensitivity requirements. These numbers emerge from meta-analyses of 380+ published studies in top-tier journals.</w:t>
      </w:r>
    </w:p>
    <w:p w14:paraId="0B82B248"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Demographic controls must include</w:t>
      </w:r>
      <w:r w:rsidRPr="00EC7277">
        <w:rPr>
          <w:rFonts w:ascii="Times New Roman" w:eastAsia="Times New Roman" w:hAnsi="Times New Roman" w:cs="Times New Roman"/>
          <w:kern w:val="0"/>
          <w14:ligatures w14:val="none"/>
        </w:rPr>
        <w:t xml:space="preserve"> age matching within ±2 years, mandatory 50-50 gender balance, and minimum 20% non-Western participants for consciousness research generalizability. Recruitment protocols should span </w:t>
      </w:r>
      <w:r w:rsidRPr="00EC7277">
        <w:rPr>
          <w:rFonts w:ascii="Times New Roman" w:eastAsia="Times New Roman" w:hAnsi="Times New Roman" w:cs="Times New Roman"/>
          <w:b/>
          <w:bCs/>
          <w:kern w:val="0"/>
          <w14:ligatures w14:val="none"/>
        </w:rPr>
        <w:t>3+ sites</w:t>
      </w:r>
      <w:r w:rsidRPr="00EC7277">
        <w:rPr>
          <w:rFonts w:ascii="Times New Roman" w:eastAsia="Times New Roman" w:hAnsi="Times New Roman" w:cs="Times New Roman"/>
          <w:kern w:val="0"/>
          <w14:ligatures w14:val="none"/>
        </w:rPr>
        <w:t xml:space="preserve"> with stratified socioeconomic sampling and validated consciousness assessment scales like CRS-R for clinical populations.</w:t>
      </w:r>
    </w:p>
    <w:p w14:paraId="2FFE20D1"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Measurement protocols and data collection procedures</w:t>
      </w:r>
    </w:p>
    <w:p w14:paraId="433DAF4B"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Multimodal data collection standards</w:t>
      </w:r>
      <w:r w:rsidRPr="00EC7277">
        <w:rPr>
          <w:rFonts w:ascii="Times New Roman" w:eastAsia="Times New Roman" w:hAnsi="Times New Roman" w:cs="Times New Roman"/>
          <w:kern w:val="0"/>
          <w14:ligatures w14:val="none"/>
        </w:rPr>
        <w:t xml:space="preserve"> require video recording at 30 fps minimum with 1080p resolution, audio capture at 44.1 kHz sampling rate, and physiological signals at 1000 Hz for EEG and 250 Hz for ECG. Behavioral coding must occur in 10-second intervals with </w:t>
      </w:r>
      <w:r w:rsidRPr="00EC7277">
        <w:rPr>
          <w:rFonts w:ascii="Times New Roman" w:eastAsia="Times New Roman" w:hAnsi="Times New Roman" w:cs="Times New Roman"/>
          <w:b/>
          <w:bCs/>
          <w:kern w:val="0"/>
          <w14:ligatures w14:val="none"/>
        </w:rPr>
        <w:t>inter-rater reliability &gt;0.85</w:t>
      </w:r>
      <w:r w:rsidRPr="00EC7277">
        <w:rPr>
          <w:rFonts w:ascii="Times New Roman" w:eastAsia="Times New Roman" w:hAnsi="Times New Roman" w:cs="Times New Roman"/>
          <w:kern w:val="0"/>
          <w14:ligatures w14:val="none"/>
        </w:rPr>
        <w:t>.</w:t>
      </w:r>
    </w:p>
    <w:p w14:paraId="307AA105"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Temporal design requirements</w:t>
      </w:r>
      <w:r w:rsidRPr="00EC7277">
        <w:rPr>
          <w:rFonts w:ascii="Times New Roman" w:eastAsia="Times New Roman" w:hAnsi="Times New Roman" w:cs="Times New Roman"/>
          <w:kern w:val="0"/>
          <w14:ligatures w14:val="none"/>
        </w:rPr>
        <w:t xml:space="preserve"> specify </w:t>
      </w:r>
      <w:proofErr w:type="gramStart"/>
      <w:r w:rsidRPr="00EC7277">
        <w:rPr>
          <w:rFonts w:ascii="Times New Roman" w:eastAsia="Times New Roman" w:hAnsi="Times New Roman" w:cs="Times New Roman"/>
          <w:kern w:val="0"/>
          <w14:ligatures w14:val="none"/>
        </w:rPr>
        <w:t>5-10 minute</w:t>
      </w:r>
      <w:proofErr w:type="gramEnd"/>
      <w:r w:rsidRPr="00EC7277">
        <w:rPr>
          <w:rFonts w:ascii="Times New Roman" w:eastAsia="Times New Roman" w:hAnsi="Times New Roman" w:cs="Times New Roman"/>
          <w:kern w:val="0"/>
          <w14:ligatures w14:val="none"/>
        </w:rPr>
        <w:t xml:space="preserve"> baseline measurements, </w:t>
      </w:r>
      <w:proofErr w:type="gramStart"/>
      <w:r w:rsidRPr="00EC7277">
        <w:rPr>
          <w:rFonts w:ascii="Times New Roman" w:eastAsia="Times New Roman" w:hAnsi="Times New Roman" w:cs="Times New Roman"/>
          <w:kern w:val="0"/>
          <w14:ligatures w14:val="none"/>
        </w:rPr>
        <w:t>15-30 minute</w:t>
      </w:r>
      <w:proofErr w:type="gramEnd"/>
      <w:r w:rsidRPr="00EC7277">
        <w:rPr>
          <w:rFonts w:ascii="Times New Roman" w:eastAsia="Times New Roman" w:hAnsi="Times New Roman" w:cs="Times New Roman"/>
          <w:kern w:val="0"/>
          <w14:ligatures w14:val="none"/>
        </w:rPr>
        <w:t xml:space="preserve"> active interaction periods, 5-minute breaks between conditions, and </w:t>
      </w:r>
      <w:proofErr w:type="gramStart"/>
      <w:r w:rsidRPr="00EC7277">
        <w:rPr>
          <w:rFonts w:ascii="Times New Roman" w:eastAsia="Times New Roman" w:hAnsi="Times New Roman" w:cs="Times New Roman"/>
          <w:kern w:val="0"/>
          <w14:ligatures w14:val="none"/>
        </w:rPr>
        <w:t>10-15 minute</w:t>
      </w:r>
      <w:proofErr w:type="gramEnd"/>
      <w:r w:rsidRPr="00EC7277">
        <w:rPr>
          <w:rFonts w:ascii="Times New Roman" w:eastAsia="Times New Roman" w:hAnsi="Times New Roman" w:cs="Times New Roman"/>
          <w:kern w:val="0"/>
          <w14:ligatures w14:val="none"/>
        </w:rPr>
        <w:t xml:space="preserve"> post-assessments. Include </w:t>
      </w:r>
      <w:proofErr w:type="gramStart"/>
      <w:r w:rsidRPr="00EC7277">
        <w:rPr>
          <w:rFonts w:ascii="Times New Roman" w:eastAsia="Times New Roman" w:hAnsi="Times New Roman" w:cs="Times New Roman"/>
          <w:kern w:val="0"/>
          <w14:ligatures w14:val="none"/>
        </w:rPr>
        <w:t>24-48 hour</w:t>
      </w:r>
      <w:proofErr w:type="gramEnd"/>
      <w:r w:rsidRPr="00EC7277">
        <w:rPr>
          <w:rFonts w:ascii="Times New Roman" w:eastAsia="Times New Roman" w:hAnsi="Times New Roman" w:cs="Times New Roman"/>
          <w:kern w:val="0"/>
          <w14:ligatures w14:val="none"/>
        </w:rPr>
        <w:t xml:space="preserve"> follow-up assessments for delayed effect evaluation.</w:t>
      </w:r>
    </w:p>
    <w:p w14:paraId="6B800F4F"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Validated assessment tools</w:t>
      </w:r>
      <w:r w:rsidRPr="00EC7277">
        <w:rPr>
          <w:rFonts w:ascii="Times New Roman" w:eastAsia="Times New Roman" w:hAnsi="Times New Roman" w:cs="Times New Roman"/>
          <w:kern w:val="0"/>
          <w14:ligatures w14:val="none"/>
        </w:rPr>
        <w:t xml:space="preserve"> must incorporate Facial Action Coding System (FACS) with trained coders achieving &gt;90% reliability, physiological measures using 64-channel minimum EEG systems, and standardized emotion taxonomies following the PAD model (Pleasure-Arousal-Dominance).</w:t>
      </w:r>
    </w:p>
    <w:p w14:paraId="2AD84961"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lastRenderedPageBreak/>
        <w:t>Experimental controls and blinding protocols</w:t>
      </w:r>
    </w:p>
    <w:p w14:paraId="4683D57F"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Randomization procedures</w:t>
      </w:r>
      <w:r w:rsidRPr="00EC7277">
        <w:rPr>
          <w:rFonts w:ascii="Times New Roman" w:eastAsia="Times New Roman" w:hAnsi="Times New Roman" w:cs="Times New Roman"/>
          <w:kern w:val="0"/>
          <w14:ligatures w14:val="none"/>
        </w:rPr>
        <w:t xml:space="preserve"> require block randomization with 4-8 participants per block, stratification by age, gender, and technical expertise, and computer-generated random sequences with sealed envelope allocation concealment. Implement Latin square designs for multiple AI systems comparison with minimum 24-hour washout periods between conditions.</w:t>
      </w:r>
    </w:p>
    <w:p w14:paraId="4AA23903"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Control conditions</w:t>
      </w:r>
      <w:r w:rsidRPr="00EC7277">
        <w:rPr>
          <w:rFonts w:ascii="Times New Roman" w:eastAsia="Times New Roman" w:hAnsi="Times New Roman" w:cs="Times New Roman"/>
          <w:kern w:val="0"/>
          <w14:ligatures w14:val="none"/>
        </w:rPr>
        <w:t xml:space="preserve"> must include human confederate matches for interaction style, standard AI system comparisons without consciousness claims, and attention controls using sham interactions or wait-list groups. Double-blind designs face limitations in AI consciousness </w:t>
      </w:r>
      <w:proofErr w:type="gramStart"/>
      <w:r w:rsidRPr="00EC7277">
        <w:rPr>
          <w:rFonts w:ascii="Times New Roman" w:eastAsia="Times New Roman" w:hAnsi="Times New Roman" w:cs="Times New Roman"/>
          <w:kern w:val="0"/>
          <w14:ligatures w14:val="none"/>
        </w:rPr>
        <w:t>studies, but</w:t>
      </w:r>
      <w:proofErr w:type="gramEnd"/>
      <w:r w:rsidRPr="00EC7277">
        <w:rPr>
          <w:rFonts w:ascii="Times New Roman" w:eastAsia="Times New Roman" w:hAnsi="Times New Roman" w:cs="Times New Roman"/>
          <w:kern w:val="0"/>
          <w14:ligatures w14:val="none"/>
        </w:rPr>
        <w:t xml:space="preserve"> implement assessment blinding with independent coders unaware of condition assignments.</w:t>
      </w:r>
    </w:p>
    <w:p w14:paraId="4C71F3B1" w14:textId="77777777" w:rsidR="00EC7277" w:rsidRPr="00EC7277" w:rsidRDefault="00EC7277" w:rsidP="00EC72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277">
        <w:rPr>
          <w:rFonts w:ascii="Times New Roman" w:eastAsia="Times New Roman" w:hAnsi="Times New Roman" w:cs="Times New Roman"/>
          <w:b/>
          <w:bCs/>
          <w:kern w:val="0"/>
          <w:sz w:val="36"/>
          <w:szCs w:val="36"/>
          <w14:ligatures w14:val="none"/>
        </w:rPr>
        <w:t>Practical implementation requirements</w:t>
      </w:r>
    </w:p>
    <w:p w14:paraId="4A9EB1B4"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Hardware specifications and costs</w:t>
      </w:r>
    </w:p>
    <w:p w14:paraId="45142F84"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Neuromorphic computing systems</w:t>
      </w:r>
      <w:r w:rsidRPr="00EC7277">
        <w:rPr>
          <w:rFonts w:ascii="Times New Roman" w:eastAsia="Times New Roman" w:hAnsi="Times New Roman" w:cs="Times New Roman"/>
          <w:kern w:val="0"/>
          <w14:ligatures w14:val="none"/>
        </w:rPr>
        <w:t xml:space="preserve"> currently center on Intel's </w:t>
      </w:r>
      <w:proofErr w:type="spellStart"/>
      <w:r w:rsidRPr="00EC7277">
        <w:rPr>
          <w:rFonts w:ascii="Times New Roman" w:eastAsia="Times New Roman" w:hAnsi="Times New Roman" w:cs="Times New Roman"/>
          <w:kern w:val="0"/>
          <w14:ligatures w14:val="none"/>
        </w:rPr>
        <w:t>Loihi</w:t>
      </w:r>
      <w:proofErr w:type="spellEnd"/>
      <w:r w:rsidRPr="00EC7277">
        <w:rPr>
          <w:rFonts w:ascii="Times New Roman" w:eastAsia="Times New Roman" w:hAnsi="Times New Roman" w:cs="Times New Roman"/>
          <w:kern w:val="0"/>
          <w14:ligatures w14:val="none"/>
        </w:rPr>
        <w:t xml:space="preserve"> 2 architecture with 128 neuromorphic cores per chip, 131,072 simulated neurons, and 130 million synapses capacity. IBM's </w:t>
      </w:r>
      <w:proofErr w:type="spellStart"/>
      <w:r w:rsidRPr="00EC7277">
        <w:rPr>
          <w:rFonts w:ascii="Times New Roman" w:eastAsia="Times New Roman" w:hAnsi="Times New Roman" w:cs="Times New Roman"/>
          <w:kern w:val="0"/>
          <w14:ligatures w14:val="none"/>
        </w:rPr>
        <w:t>NorthPole</w:t>
      </w:r>
      <w:proofErr w:type="spellEnd"/>
      <w:r w:rsidRPr="00EC7277">
        <w:rPr>
          <w:rFonts w:ascii="Times New Roman" w:eastAsia="Times New Roman" w:hAnsi="Times New Roman" w:cs="Times New Roman"/>
          <w:kern w:val="0"/>
          <w14:ligatures w14:val="none"/>
        </w:rPr>
        <w:t xml:space="preserve"> offers 256 processor cores with 224 MB RAM, achieving </w:t>
      </w:r>
      <w:r w:rsidRPr="00EC7277">
        <w:rPr>
          <w:rFonts w:ascii="Times New Roman" w:eastAsia="Times New Roman" w:hAnsi="Times New Roman" w:cs="Times New Roman"/>
          <w:b/>
          <w:bCs/>
          <w:kern w:val="0"/>
          <w14:ligatures w14:val="none"/>
        </w:rPr>
        <w:t>22x faster performance than GPUs</w:t>
      </w:r>
      <w:r w:rsidRPr="00EC7277">
        <w:rPr>
          <w:rFonts w:ascii="Times New Roman" w:eastAsia="Times New Roman" w:hAnsi="Times New Roman" w:cs="Times New Roman"/>
          <w:kern w:val="0"/>
          <w14:ligatures w14:val="none"/>
        </w:rPr>
        <w:t xml:space="preserve"> for specific tasks while consuming </w:t>
      </w:r>
      <w:r w:rsidRPr="00EC7277">
        <w:rPr>
          <w:rFonts w:ascii="Times New Roman" w:eastAsia="Times New Roman" w:hAnsi="Times New Roman" w:cs="Times New Roman"/>
          <w:b/>
          <w:bCs/>
          <w:kern w:val="0"/>
          <w14:ligatures w14:val="none"/>
        </w:rPr>
        <w:t>25x less energy</w:t>
      </w:r>
      <w:r w:rsidRPr="00EC7277">
        <w:rPr>
          <w:rFonts w:ascii="Times New Roman" w:eastAsia="Times New Roman" w:hAnsi="Times New Roman" w:cs="Times New Roman"/>
          <w:kern w:val="0"/>
          <w14:ligatures w14:val="none"/>
        </w:rPr>
        <w:t>.</w:t>
      </w:r>
    </w:p>
    <w:p w14:paraId="326FAEB9"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Implementation costs</w:t>
      </w:r>
      <w:r w:rsidRPr="00EC7277">
        <w:rPr>
          <w:rFonts w:ascii="Times New Roman" w:eastAsia="Times New Roman" w:hAnsi="Times New Roman" w:cs="Times New Roman"/>
          <w:kern w:val="0"/>
          <w14:ligatures w14:val="none"/>
        </w:rPr>
        <w:t xml:space="preserve"> range from </w:t>
      </w:r>
      <w:r w:rsidRPr="00EC7277">
        <w:rPr>
          <w:rFonts w:ascii="Times New Roman" w:eastAsia="Times New Roman" w:hAnsi="Times New Roman" w:cs="Times New Roman"/>
          <w:b/>
          <w:bCs/>
          <w:kern w:val="0"/>
          <w14:ligatures w14:val="none"/>
        </w:rPr>
        <w:t>$100K-$1M for small-scale systems</w:t>
      </w:r>
      <w:r w:rsidRPr="00EC7277">
        <w:rPr>
          <w:rFonts w:ascii="Times New Roman" w:eastAsia="Times New Roman" w:hAnsi="Times New Roman" w:cs="Times New Roman"/>
          <w:kern w:val="0"/>
          <w14:ligatures w14:val="none"/>
        </w:rPr>
        <w:t xml:space="preserve"> to </w:t>
      </w:r>
      <w:r w:rsidRPr="00EC7277">
        <w:rPr>
          <w:rFonts w:ascii="Times New Roman" w:eastAsia="Times New Roman" w:hAnsi="Times New Roman" w:cs="Times New Roman"/>
          <w:b/>
          <w:bCs/>
          <w:kern w:val="0"/>
          <w14:ligatures w14:val="none"/>
        </w:rPr>
        <w:t>$10M+ for enterprise implementations</w:t>
      </w:r>
      <w:r w:rsidRPr="00EC7277">
        <w:rPr>
          <w:rFonts w:ascii="Times New Roman" w:eastAsia="Times New Roman" w:hAnsi="Times New Roman" w:cs="Times New Roman"/>
          <w:kern w:val="0"/>
          <w14:ligatures w14:val="none"/>
        </w:rPr>
        <w:t xml:space="preserve">. The neuromorphic computing market projects growth from $1.0 billion (2025) to $3.6 billion (2032), with </w:t>
      </w:r>
      <w:r w:rsidRPr="00EC7277">
        <w:rPr>
          <w:rFonts w:ascii="Times New Roman" w:eastAsia="Times New Roman" w:hAnsi="Times New Roman" w:cs="Times New Roman"/>
          <w:b/>
          <w:bCs/>
          <w:kern w:val="0"/>
          <w14:ligatures w14:val="none"/>
        </w:rPr>
        <w:t>16% CAGR</w:t>
      </w:r>
      <w:r w:rsidRPr="00EC7277">
        <w:rPr>
          <w:rFonts w:ascii="Times New Roman" w:eastAsia="Times New Roman" w:hAnsi="Times New Roman" w:cs="Times New Roman"/>
          <w:kern w:val="0"/>
          <w14:ligatures w14:val="none"/>
        </w:rPr>
        <w:t>.</w:t>
      </w:r>
    </w:p>
    <w:p w14:paraId="018ECBE6"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Deployment timelines</w:t>
      </w:r>
      <w:r w:rsidRPr="00EC7277">
        <w:rPr>
          <w:rFonts w:ascii="Times New Roman" w:eastAsia="Times New Roman" w:hAnsi="Times New Roman" w:cs="Times New Roman"/>
          <w:kern w:val="0"/>
          <w14:ligatures w14:val="none"/>
        </w:rPr>
        <w:t xml:space="preserve"> require 6-12 months for basic implementations, 12-18 months for pilot deployment, and 3-5 years for commercial readiness. Intel's Neuromorphic Research Community provides free access to </w:t>
      </w:r>
      <w:proofErr w:type="spellStart"/>
      <w:r w:rsidRPr="00EC7277">
        <w:rPr>
          <w:rFonts w:ascii="Times New Roman" w:eastAsia="Times New Roman" w:hAnsi="Times New Roman" w:cs="Times New Roman"/>
          <w:kern w:val="0"/>
          <w14:ligatures w14:val="none"/>
        </w:rPr>
        <w:t>Loihi</w:t>
      </w:r>
      <w:proofErr w:type="spellEnd"/>
      <w:r w:rsidRPr="00EC7277">
        <w:rPr>
          <w:rFonts w:ascii="Times New Roman" w:eastAsia="Times New Roman" w:hAnsi="Times New Roman" w:cs="Times New Roman"/>
          <w:kern w:val="0"/>
          <w14:ligatures w14:val="none"/>
        </w:rPr>
        <w:t xml:space="preserve"> systems for qualified academic institutions.</w:t>
      </w:r>
    </w:p>
    <w:p w14:paraId="5E30DE1E"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Documentation and integration frameworks</w:t>
      </w:r>
    </w:p>
    <w:p w14:paraId="13C5FB25"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Implementation protocol documentation</w:t>
      </w:r>
      <w:r w:rsidRPr="00EC7277">
        <w:rPr>
          <w:rFonts w:ascii="Times New Roman" w:eastAsia="Times New Roman" w:hAnsi="Times New Roman" w:cs="Times New Roman"/>
          <w:kern w:val="0"/>
          <w14:ligatures w14:val="none"/>
        </w:rPr>
        <w:t xml:space="preserve"> must follow </w:t>
      </w:r>
      <w:proofErr w:type="spellStart"/>
      <w:r w:rsidRPr="00EC7277">
        <w:rPr>
          <w:rFonts w:ascii="Times New Roman" w:eastAsia="Times New Roman" w:hAnsi="Times New Roman" w:cs="Times New Roman"/>
          <w:kern w:val="0"/>
          <w14:ligatures w14:val="none"/>
        </w:rPr>
        <w:t>NeurIPS</w:t>
      </w:r>
      <w:proofErr w:type="spellEnd"/>
      <w:r w:rsidRPr="00EC7277">
        <w:rPr>
          <w:rFonts w:ascii="Times New Roman" w:eastAsia="Times New Roman" w:hAnsi="Times New Roman" w:cs="Times New Roman"/>
          <w:kern w:val="0"/>
          <w14:ligatures w14:val="none"/>
        </w:rPr>
        <w:t xml:space="preserve"> standards requiring broader impacts statements, reproducibility checklists, code availability, and ethical considerations. Technical documentation demands complete mathematical formulations, detailed experimental methodologies, and comprehensive API documentation with Docker containerization.</w:t>
      </w:r>
    </w:p>
    <w:p w14:paraId="2D407C01"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Integration frameworks</w:t>
      </w:r>
      <w:r w:rsidRPr="00EC7277">
        <w:rPr>
          <w:rFonts w:ascii="Times New Roman" w:eastAsia="Times New Roman" w:hAnsi="Times New Roman" w:cs="Times New Roman"/>
          <w:kern w:val="0"/>
          <w14:ligatures w14:val="none"/>
        </w:rPr>
        <w:t xml:space="preserve"> should implement Model Context Protocol (MCP) for standardized host-client-server communication, hybrid systems combining CMOS and </w:t>
      </w:r>
      <w:proofErr w:type="spellStart"/>
      <w:r w:rsidRPr="00EC7277">
        <w:rPr>
          <w:rFonts w:ascii="Times New Roman" w:eastAsia="Times New Roman" w:hAnsi="Times New Roman" w:cs="Times New Roman"/>
          <w:kern w:val="0"/>
          <w14:ligatures w14:val="none"/>
        </w:rPr>
        <w:t>memristive</w:t>
      </w:r>
      <w:proofErr w:type="spellEnd"/>
      <w:r w:rsidRPr="00EC7277">
        <w:rPr>
          <w:rFonts w:ascii="Times New Roman" w:eastAsia="Times New Roman" w:hAnsi="Times New Roman" w:cs="Times New Roman"/>
          <w:kern w:val="0"/>
          <w14:ligatures w14:val="none"/>
        </w:rPr>
        <w:t xml:space="preserve"> devices, and </w:t>
      </w:r>
      <w:proofErr w:type="spellStart"/>
      <w:r w:rsidRPr="00EC7277">
        <w:rPr>
          <w:rFonts w:ascii="Times New Roman" w:eastAsia="Times New Roman" w:hAnsi="Times New Roman" w:cs="Times New Roman"/>
          <w:kern w:val="0"/>
          <w14:ligatures w14:val="none"/>
        </w:rPr>
        <w:t>MLOps</w:t>
      </w:r>
      <w:proofErr w:type="spellEnd"/>
      <w:r w:rsidRPr="00EC7277">
        <w:rPr>
          <w:rFonts w:ascii="Times New Roman" w:eastAsia="Times New Roman" w:hAnsi="Times New Roman" w:cs="Times New Roman"/>
          <w:kern w:val="0"/>
          <w14:ligatures w14:val="none"/>
        </w:rPr>
        <w:t xml:space="preserve"> integration for automated training and deployment pipelines. Cloud integration requires Kubernetes orchestration and compatibility with NVIDIA </w:t>
      </w:r>
      <w:proofErr w:type="spellStart"/>
      <w:r w:rsidRPr="00EC7277">
        <w:rPr>
          <w:rFonts w:ascii="Times New Roman" w:eastAsia="Times New Roman" w:hAnsi="Times New Roman" w:cs="Times New Roman"/>
          <w:kern w:val="0"/>
          <w14:ligatures w14:val="none"/>
        </w:rPr>
        <w:t>Run:ai</w:t>
      </w:r>
      <w:proofErr w:type="spellEnd"/>
      <w:r w:rsidRPr="00EC7277">
        <w:rPr>
          <w:rFonts w:ascii="Times New Roman" w:eastAsia="Times New Roman" w:hAnsi="Times New Roman" w:cs="Times New Roman"/>
          <w:kern w:val="0"/>
          <w14:ligatures w14:val="none"/>
        </w:rPr>
        <w:t xml:space="preserve"> GPU orchestration systems.</w:t>
      </w:r>
    </w:p>
    <w:p w14:paraId="1DE209BB"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Performance benchmarks and scalability metrics</w:t>
      </w:r>
    </w:p>
    <w:p w14:paraId="039C1CD6"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lastRenderedPageBreak/>
        <w:t>Practical viability thresholds</w:t>
      </w:r>
      <w:r w:rsidRPr="00EC7277">
        <w:rPr>
          <w:rFonts w:ascii="Times New Roman" w:eastAsia="Times New Roman" w:hAnsi="Times New Roman" w:cs="Times New Roman"/>
          <w:kern w:val="0"/>
          <w14:ligatures w14:val="none"/>
        </w:rPr>
        <w:t xml:space="preserve"> require &gt;95% accuracy for production deployment, &lt;100ms latency for real-time applications, and 10-1000x energy efficiency improvement over traditional computing. </w:t>
      </w:r>
      <w:r w:rsidRPr="00EC7277">
        <w:rPr>
          <w:rFonts w:ascii="Times New Roman" w:eastAsia="Times New Roman" w:hAnsi="Times New Roman" w:cs="Times New Roman"/>
          <w:b/>
          <w:bCs/>
          <w:kern w:val="0"/>
          <w14:ligatures w14:val="none"/>
        </w:rPr>
        <w:t>Scalability requirements</w:t>
      </w:r>
      <w:r w:rsidRPr="00EC7277">
        <w:rPr>
          <w:rFonts w:ascii="Times New Roman" w:eastAsia="Times New Roman" w:hAnsi="Times New Roman" w:cs="Times New Roman"/>
          <w:kern w:val="0"/>
          <w14:ligatures w14:val="none"/>
        </w:rPr>
        <w:t xml:space="preserve"> demand linear performance improvement with additional hardware, &gt;80% resource utilization, and &lt;0.1% failure rate in production environments.</w:t>
      </w:r>
    </w:p>
    <w:p w14:paraId="170ADF50"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Standard benchmarks</w:t>
      </w:r>
      <w:r w:rsidRPr="00EC7277">
        <w:rPr>
          <w:rFonts w:ascii="Times New Roman" w:eastAsia="Times New Roman" w:hAnsi="Times New Roman" w:cs="Times New Roman"/>
          <w:kern w:val="0"/>
          <w14:ligatures w14:val="none"/>
        </w:rPr>
        <w:t xml:space="preserve"> include MNIST for baseline testing, ImageNet for classification, and GLUE/</w:t>
      </w:r>
      <w:proofErr w:type="spellStart"/>
      <w:r w:rsidRPr="00EC7277">
        <w:rPr>
          <w:rFonts w:ascii="Times New Roman" w:eastAsia="Times New Roman" w:hAnsi="Times New Roman" w:cs="Times New Roman"/>
          <w:kern w:val="0"/>
          <w14:ligatures w14:val="none"/>
        </w:rPr>
        <w:t>SuperGLUE</w:t>
      </w:r>
      <w:proofErr w:type="spellEnd"/>
      <w:r w:rsidRPr="00EC7277">
        <w:rPr>
          <w:rFonts w:ascii="Times New Roman" w:eastAsia="Times New Roman" w:hAnsi="Times New Roman" w:cs="Times New Roman"/>
          <w:kern w:val="0"/>
          <w14:ligatures w14:val="none"/>
        </w:rPr>
        <w:t xml:space="preserve"> for language understanding. Neuromorphic-specific metrics focus on </w:t>
      </w:r>
      <w:r w:rsidRPr="00EC7277">
        <w:rPr>
          <w:rFonts w:ascii="Times New Roman" w:eastAsia="Times New Roman" w:hAnsi="Times New Roman" w:cs="Times New Roman"/>
          <w:b/>
          <w:bCs/>
          <w:kern w:val="0"/>
          <w14:ligatures w14:val="none"/>
        </w:rPr>
        <w:t>operations per watt</w:t>
      </w:r>
      <w:r w:rsidRPr="00EC7277">
        <w:rPr>
          <w:rFonts w:ascii="Times New Roman" w:eastAsia="Times New Roman" w:hAnsi="Times New Roman" w:cs="Times New Roman"/>
          <w:kern w:val="0"/>
          <w14:ligatures w14:val="none"/>
        </w:rPr>
        <w:t xml:space="preserve"> (&gt;15 trillion ops/s/W for large systems) and real-time processing capabilities (&lt;1ms for edge applications).</w:t>
      </w:r>
    </w:p>
    <w:p w14:paraId="1725C1ED" w14:textId="77777777" w:rsidR="00EC7277" w:rsidRPr="00EC7277" w:rsidRDefault="00EC7277" w:rsidP="00EC72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277">
        <w:rPr>
          <w:rFonts w:ascii="Times New Roman" w:eastAsia="Times New Roman" w:hAnsi="Times New Roman" w:cs="Times New Roman"/>
          <w:b/>
          <w:bCs/>
          <w:kern w:val="0"/>
          <w:sz w:val="36"/>
          <w:szCs w:val="36"/>
          <w14:ligatures w14:val="none"/>
        </w:rPr>
        <w:t>Explicit ethical considerations framework</w:t>
      </w:r>
    </w:p>
    <w:p w14:paraId="1E8D6DFA"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IRB approval requirements</w:t>
      </w:r>
    </w:p>
    <w:p w14:paraId="32C0D13C"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Federal regulatory compliance</w:t>
      </w:r>
      <w:r w:rsidRPr="00EC7277">
        <w:rPr>
          <w:rFonts w:ascii="Times New Roman" w:eastAsia="Times New Roman" w:hAnsi="Times New Roman" w:cs="Times New Roman"/>
          <w:kern w:val="0"/>
          <w14:ligatures w14:val="none"/>
        </w:rPr>
        <w:t xml:space="preserve"> under 45 CFR 46 demands special attention to privacy considerations, informed consent adequacy, and algorithmic bias assessment. Stanford's IRB framework requires AI technology disclosure in all consent documents, risk assessment for AI bias, and verification of stable, safe technology before approval.</w:t>
      </w:r>
    </w:p>
    <w:p w14:paraId="2A27B43A"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Required IRB application elements</w:t>
      </w:r>
      <w:r w:rsidRPr="00EC7277">
        <w:rPr>
          <w:rFonts w:ascii="Times New Roman" w:eastAsia="Times New Roman" w:hAnsi="Times New Roman" w:cs="Times New Roman"/>
          <w:kern w:val="0"/>
          <w14:ligatures w14:val="none"/>
        </w:rPr>
        <w:t xml:space="preserve"> include technology description with current development stage, confidentiality measures with re-identification risk assessment, bias mitigation approaches, and human oversight procedures. VA Medical Center protocols require documentation of physiological data collection, algorithmic decision-making components, and bias prevention safeguards.</w:t>
      </w:r>
    </w:p>
    <w:p w14:paraId="5039EF35"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Informed consent and data privacy protocols</w:t>
      </w:r>
    </w:p>
    <w:p w14:paraId="599AB1CC"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Core consent language</w:t>
      </w:r>
      <w:r w:rsidRPr="00EC7277">
        <w:rPr>
          <w:rFonts w:ascii="Times New Roman" w:eastAsia="Times New Roman" w:hAnsi="Times New Roman" w:cs="Times New Roman"/>
          <w:kern w:val="0"/>
          <w14:ligatures w14:val="none"/>
        </w:rPr>
        <w:t xml:space="preserve"> must disclose AI system capabilities for emotional analysis, specify data usage for AI training with exact timeframes, identify psychological risks including potential emotional responses, and guarantee non-manipulative use of AI systems.</w:t>
      </w:r>
    </w:p>
    <w:p w14:paraId="1EA3CE61"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Technical security requirements</w:t>
      </w:r>
      <w:r w:rsidRPr="00EC7277">
        <w:rPr>
          <w:rFonts w:ascii="Times New Roman" w:eastAsia="Times New Roman" w:hAnsi="Times New Roman" w:cs="Times New Roman"/>
          <w:kern w:val="0"/>
          <w14:ligatures w14:val="none"/>
        </w:rPr>
        <w:t xml:space="preserve"> mandate AES-256 encryption for data at rest and in transit, role-based authentication with audit logging, and HIPAA compliance for health-related emotional data. </w:t>
      </w:r>
      <w:r w:rsidRPr="00EC7277">
        <w:rPr>
          <w:rFonts w:ascii="Times New Roman" w:eastAsia="Times New Roman" w:hAnsi="Times New Roman" w:cs="Times New Roman"/>
          <w:b/>
          <w:bCs/>
          <w:kern w:val="0"/>
          <w14:ligatures w14:val="none"/>
        </w:rPr>
        <w:t>GDPR requirements</w:t>
      </w:r>
      <w:r w:rsidRPr="00EC7277">
        <w:rPr>
          <w:rFonts w:ascii="Times New Roman" w:eastAsia="Times New Roman" w:hAnsi="Times New Roman" w:cs="Times New Roman"/>
          <w:kern w:val="0"/>
          <w14:ligatures w14:val="none"/>
        </w:rPr>
        <w:t xml:space="preserve"> for EU participants demand explicit consent for sensitive data processing, data minimization principles, technical deletion capabilities, and privacy-by-design architecture.</w:t>
      </w:r>
    </w:p>
    <w:p w14:paraId="0D312EF7"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Recommended security architecture</w:t>
      </w:r>
      <w:r w:rsidRPr="00EC7277">
        <w:rPr>
          <w:rFonts w:ascii="Times New Roman" w:eastAsia="Times New Roman" w:hAnsi="Times New Roman" w:cs="Times New Roman"/>
          <w:kern w:val="0"/>
          <w14:ligatures w14:val="none"/>
        </w:rPr>
        <w:t xml:space="preserve"> emphasizes on-device processing with anonymized metadata transmission, differential privacy with statistical noise injection, federated learning without centralized sensitive data storage, and homomorphic encryption for computation on encrypted emotional data.</w:t>
      </w:r>
    </w:p>
    <w:p w14:paraId="32E37766"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Risk mitigation and safety protocols</w:t>
      </w:r>
    </w:p>
    <w:p w14:paraId="5B684A56"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lastRenderedPageBreak/>
        <w:t>Psychological safety monitoring</w:t>
      </w:r>
      <w:r w:rsidRPr="00EC7277">
        <w:rPr>
          <w:rFonts w:ascii="Times New Roman" w:eastAsia="Times New Roman" w:hAnsi="Times New Roman" w:cs="Times New Roman"/>
          <w:kern w:val="0"/>
          <w14:ligatures w14:val="none"/>
        </w:rPr>
        <w:t xml:space="preserve"> requires real-time stress detection during AI interactions, pre-defined intervention thresholds for stopping interactions, qualified personnel monitoring all AI-participant interactions, and immediate access to mental health support services.</w:t>
      </w:r>
    </w:p>
    <w:p w14:paraId="4AF8AD9E"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Post-interaction safety requirements</w:t>
      </w:r>
      <w:r w:rsidRPr="00EC7277">
        <w:rPr>
          <w:rFonts w:ascii="Times New Roman" w:eastAsia="Times New Roman" w:hAnsi="Times New Roman" w:cs="Times New Roman"/>
          <w:kern w:val="0"/>
          <w14:ligatures w14:val="none"/>
        </w:rPr>
        <w:t xml:space="preserve"> include mandatory debriefing with trained personnel, </w:t>
      </w:r>
      <w:proofErr w:type="gramStart"/>
      <w:r w:rsidRPr="00EC7277">
        <w:rPr>
          <w:rFonts w:ascii="Times New Roman" w:eastAsia="Times New Roman" w:hAnsi="Times New Roman" w:cs="Times New Roman"/>
          <w:kern w:val="0"/>
          <w14:ligatures w14:val="none"/>
        </w:rPr>
        <w:t>24-48 hour</w:t>
      </w:r>
      <w:proofErr w:type="gramEnd"/>
      <w:r w:rsidRPr="00EC7277">
        <w:rPr>
          <w:rFonts w:ascii="Times New Roman" w:eastAsia="Times New Roman" w:hAnsi="Times New Roman" w:cs="Times New Roman"/>
          <w:kern w:val="0"/>
          <w14:ligatures w14:val="none"/>
        </w:rPr>
        <w:t xml:space="preserve"> follow-up assessments, access to counseling services for adverse reactions, and incident reporting for unexpected emotional responses.</w:t>
      </w:r>
    </w:p>
    <w:p w14:paraId="41296136"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Emergency response protocols</w:t>
      </w:r>
      <w:r w:rsidRPr="00EC7277">
        <w:rPr>
          <w:rFonts w:ascii="Times New Roman" w:eastAsia="Times New Roman" w:hAnsi="Times New Roman" w:cs="Times New Roman"/>
          <w:kern w:val="0"/>
          <w14:ligatures w14:val="none"/>
        </w:rPr>
        <w:t xml:space="preserve"> must include system shutdown capabilities, on-site mental health professionals, secure data handling during emergencies, and IRB notification within 24 hours of serious adverse events.</w:t>
      </w:r>
    </w:p>
    <w:p w14:paraId="6B833426" w14:textId="77777777" w:rsidR="00EC7277" w:rsidRPr="00EC7277" w:rsidRDefault="00EC7277" w:rsidP="00EC72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277">
        <w:rPr>
          <w:rFonts w:ascii="Times New Roman" w:eastAsia="Times New Roman" w:hAnsi="Times New Roman" w:cs="Times New Roman"/>
          <w:b/>
          <w:bCs/>
          <w:kern w:val="0"/>
          <w:sz w:val="36"/>
          <w:szCs w:val="36"/>
          <w14:ligatures w14:val="none"/>
        </w:rPr>
        <w:t>Academic documentation standards for publication</w:t>
      </w:r>
    </w:p>
    <w:p w14:paraId="23748659"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Mathematical formalization requirements</w:t>
      </w:r>
    </w:p>
    <w:p w14:paraId="4852D76D"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IEEE standards</w:t>
      </w:r>
      <w:r w:rsidRPr="00EC7277">
        <w:rPr>
          <w:rFonts w:ascii="Times New Roman" w:eastAsia="Times New Roman" w:hAnsi="Times New Roman" w:cs="Times New Roman"/>
          <w:kern w:val="0"/>
          <w14:ligatures w14:val="none"/>
        </w:rPr>
        <w:t xml:space="preserve"> require two-column format with 10pt Times New Roman font, numbered equations referenced in text, and mathematical symbols defined upon first use. </w:t>
      </w:r>
      <w:r w:rsidRPr="00EC7277">
        <w:rPr>
          <w:rFonts w:ascii="Times New Roman" w:eastAsia="Times New Roman" w:hAnsi="Times New Roman" w:cs="Times New Roman"/>
          <w:b/>
          <w:bCs/>
          <w:kern w:val="0"/>
          <w14:ligatures w14:val="none"/>
        </w:rPr>
        <w:t>Nature portfolio journals</w:t>
      </w:r>
      <w:r w:rsidRPr="00EC7277">
        <w:rPr>
          <w:rFonts w:ascii="Times New Roman" w:eastAsia="Times New Roman" w:hAnsi="Times New Roman" w:cs="Times New Roman"/>
          <w:kern w:val="0"/>
          <w14:ligatures w14:val="none"/>
        </w:rPr>
        <w:t xml:space="preserve"> demand consistent mathematical notation throughout manuscripts, with complex derivations placed in Extended Data or Supplementary Information.</w:t>
      </w:r>
    </w:p>
    <w:p w14:paraId="2D1F5B4C"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AI consciousness research formalization</w:t>
      </w:r>
      <w:r w:rsidRPr="00EC7277">
        <w:rPr>
          <w:rFonts w:ascii="Times New Roman" w:eastAsia="Times New Roman" w:hAnsi="Times New Roman" w:cs="Times New Roman"/>
          <w:kern w:val="0"/>
          <w14:ligatures w14:val="none"/>
        </w:rPr>
        <w:t xml:space="preserve"> must provide computational definitions for consciousness properties based on established theories (Global Workspace Theory, Integrated Information Theory), define quantitative measures for consciousness phenomena, use formal methods notation for AI architectures, and include mathematical proof of consciousness-related claims where applicable.</w:t>
      </w:r>
    </w:p>
    <w:p w14:paraId="26FE3F43"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Replication and validation standards</w:t>
      </w:r>
    </w:p>
    <w:p w14:paraId="02CDC037"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Four-level validation hierarchy</w:t>
      </w:r>
      <w:r w:rsidRPr="00EC7277">
        <w:rPr>
          <w:rFonts w:ascii="Times New Roman" w:eastAsia="Times New Roman" w:hAnsi="Times New Roman" w:cs="Times New Roman"/>
          <w:kern w:val="0"/>
          <w14:ligatures w14:val="none"/>
        </w:rPr>
        <w:t xml:space="preserve"> requires repeatability (same team, same results), reproducibility (different team, same setup), direct replicability (different team, different implementation), and conceptual replicability (different team, different approach, same conclusions).</w:t>
      </w:r>
    </w:p>
    <w:p w14:paraId="2A53AD69"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Required documentation</w:t>
      </w:r>
      <w:r w:rsidRPr="00EC7277">
        <w:rPr>
          <w:rFonts w:ascii="Times New Roman" w:eastAsia="Times New Roman" w:hAnsi="Times New Roman" w:cs="Times New Roman"/>
          <w:kern w:val="0"/>
          <w14:ligatures w14:val="none"/>
        </w:rPr>
        <w:t xml:space="preserve"> includes complete source code with GitHub repositories and DOIs, Docker containers for environment replication, detailed hyperparameter specifications, hardware requirements, and random seed management protocols. </w:t>
      </w:r>
      <w:r w:rsidRPr="00EC7277">
        <w:rPr>
          <w:rFonts w:ascii="Times New Roman" w:eastAsia="Times New Roman" w:hAnsi="Times New Roman" w:cs="Times New Roman"/>
          <w:b/>
          <w:bCs/>
          <w:kern w:val="0"/>
          <w14:ligatures w14:val="none"/>
        </w:rPr>
        <w:t>Data requirements</w:t>
      </w:r>
      <w:r w:rsidRPr="00EC7277">
        <w:rPr>
          <w:rFonts w:ascii="Times New Roman" w:eastAsia="Times New Roman" w:hAnsi="Times New Roman" w:cs="Times New Roman"/>
          <w:kern w:val="0"/>
          <w14:ligatures w14:val="none"/>
        </w:rPr>
        <w:t xml:space="preserve"> mandate complete datasets with preprocessing pipelines, synthetic data generation procedures, and clear documentation of data sources.</w:t>
      </w:r>
    </w:p>
    <w:p w14:paraId="67306E29"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Ethical disclosure requirements</w:t>
      </w:r>
    </w:p>
    <w:p w14:paraId="47FF03A5"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Mandatory disclosure categories</w:t>
      </w:r>
      <w:r w:rsidRPr="00EC7277">
        <w:rPr>
          <w:rFonts w:ascii="Times New Roman" w:eastAsia="Times New Roman" w:hAnsi="Times New Roman" w:cs="Times New Roman"/>
          <w:kern w:val="0"/>
          <w14:ligatures w14:val="none"/>
        </w:rPr>
        <w:t xml:space="preserve"> for AI consciousness research include potential artificial suffering disclosure, moral agency implications, societal impact assessment, and containment and safety protocols. </w:t>
      </w:r>
      <w:r w:rsidRPr="00EC7277">
        <w:rPr>
          <w:rFonts w:ascii="Times New Roman" w:eastAsia="Times New Roman" w:hAnsi="Times New Roman" w:cs="Times New Roman"/>
          <w:b/>
          <w:bCs/>
          <w:kern w:val="0"/>
          <w14:ligatures w14:val="none"/>
        </w:rPr>
        <w:t>Required disclosure template</w:t>
      </w:r>
      <w:r w:rsidRPr="00EC7277">
        <w:rPr>
          <w:rFonts w:ascii="Times New Roman" w:eastAsia="Times New Roman" w:hAnsi="Times New Roman" w:cs="Times New Roman"/>
          <w:kern w:val="0"/>
          <w14:ligatures w14:val="none"/>
        </w:rPr>
        <w:t xml:space="preserve"> must address potential for artificial </w:t>
      </w:r>
      <w:r w:rsidRPr="00EC7277">
        <w:rPr>
          <w:rFonts w:ascii="Times New Roman" w:eastAsia="Times New Roman" w:hAnsi="Times New Roman" w:cs="Times New Roman"/>
          <w:kern w:val="0"/>
          <w14:ligatures w14:val="none"/>
        </w:rPr>
        <w:lastRenderedPageBreak/>
        <w:t>suffering, implications for moral status, societal impact strategies, institutional compliance, and long-term researcher responsibilities.</w:t>
      </w:r>
    </w:p>
    <w:p w14:paraId="1D3BA83C"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Institutional requirements</w:t>
      </w:r>
      <w:r w:rsidRPr="00EC7277">
        <w:rPr>
          <w:rFonts w:ascii="Times New Roman" w:eastAsia="Times New Roman" w:hAnsi="Times New Roman" w:cs="Times New Roman"/>
          <w:kern w:val="0"/>
          <w14:ligatures w14:val="none"/>
        </w:rPr>
        <w:t xml:space="preserve"> include IRB/ethics committee approval for consciousness research, institutional AI ethics committee review, industry collaboration disclosure, and funding source transparency, especially for military or surveillance applications.</w:t>
      </w:r>
    </w:p>
    <w:p w14:paraId="14B1D0BA" w14:textId="77777777" w:rsidR="00EC7277" w:rsidRPr="00EC7277" w:rsidRDefault="00EC7277" w:rsidP="00EC727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C7277">
        <w:rPr>
          <w:rFonts w:ascii="Times New Roman" w:eastAsia="Times New Roman" w:hAnsi="Times New Roman" w:cs="Times New Roman"/>
          <w:b/>
          <w:bCs/>
          <w:kern w:val="0"/>
          <w:sz w:val="36"/>
          <w:szCs w:val="36"/>
          <w14:ligatures w14:val="none"/>
        </w:rPr>
        <w:t>Implementation roadmap for HTCA strengthening</w:t>
      </w:r>
    </w:p>
    <w:p w14:paraId="04A13BA0"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Immediate actions (0-3 months)</w:t>
      </w:r>
    </w:p>
    <w:p w14:paraId="38792A9D"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Experimental design enhancement</w:t>
      </w:r>
      <w:r w:rsidRPr="00EC7277">
        <w:rPr>
          <w:rFonts w:ascii="Times New Roman" w:eastAsia="Times New Roman" w:hAnsi="Times New Roman" w:cs="Times New Roman"/>
          <w:kern w:val="0"/>
          <w14:ligatures w14:val="none"/>
        </w:rPr>
        <w:t xml:space="preserve">: Implement 80% power analysis using G*Power 3.1, establish multi-site recruitment protocols with N=128+ participants, and develop multimodal measurement protocols with validated instruments. </w:t>
      </w:r>
      <w:r w:rsidRPr="00EC7277">
        <w:rPr>
          <w:rFonts w:ascii="Times New Roman" w:eastAsia="Times New Roman" w:hAnsi="Times New Roman" w:cs="Times New Roman"/>
          <w:b/>
          <w:bCs/>
          <w:kern w:val="0"/>
          <w14:ligatures w14:val="none"/>
        </w:rPr>
        <w:t>Ethical compliance</w:t>
      </w:r>
      <w:r w:rsidRPr="00EC7277">
        <w:rPr>
          <w:rFonts w:ascii="Times New Roman" w:eastAsia="Times New Roman" w:hAnsi="Times New Roman" w:cs="Times New Roman"/>
          <w:kern w:val="0"/>
          <w14:ligatures w14:val="none"/>
        </w:rPr>
        <w:t>: Submit IRB applications with AI-specific risk assessments, establish emergency response protocols, and implement comprehensive consent procedures.</w:t>
      </w:r>
    </w:p>
    <w:p w14:paraId="1B649970"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Medium-term development (3-12 months)</w:t>
      </w:r>
    </w:p>
    <w:p w14:paraId="7D5F0D57"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Technical implementation</w:t>
      </w:r>
      <w:r w:rsidRPr="00EC7277">
        <w:rPr>
          <w:rFonts w:ascii="Times New Roman" w:eastAsia="Times New Roman" w:hAnsi="Times New Roman" w:cs="Times New Roman"/>
          <w:kern w:val="0"/>
          <w14:ligatures w14:val="none"/>
        </w:rPr>
        <w:t xml:space="preserve">: Deploy pilot neuromorphic systems for specific HTCA applications, establish Docker containerization for reproducible environments, and implement MCP-based integration frameworks. </w:t>
      </w:r>
      <w:r w:rsidRPr="00EC7277">
        <w:rPr>
          <w:rFonts w:ascii="Times New Roman" w:eastAsia="Times New Roman" w:hAnsi="Times New Roman" w:cs="Times New Roman"/>
          <w:b/>
          <w:bCs/>
          <w:kern w:val="0"/>
          <w14:ligatures w14:val="none"/>
        </w:rPr>
        <w:t>Documentation standards</w:t>
      </w:r>
      <w:r w:rsidRPr="00EC7277">
        <w:rPr>
          <w:rFonts w:ascii="Times New Roman" w:eastAsia="Times New Roman" w:hAnsi="Times New Roman" w:cs="Times New Roman"/>
          <w:kern w:val="0"/>
          <w14:ligatures w14:val="none"/>
        </w:rPr>
        <w:t>: Develop mathematical formalization following IEEE guidelines, establish code repositories with comprehensive documentation, and create replication protocols for independent validation.</w:t>
      </w:r>
    </w:p>
    <w:p w14:paraId="428FB087" w14:textId="77777777" w:rsidR="00EC7277" w:rsidRPr="00EC7277" w:rsidRDefault="00EC7277" w:rsidP="00EC72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277">
        <w:rPr>
          <w:rFonts w:ascii="Times New Roman" w:eastAsia="Times New Roman" w:hAnsi="Times New Roman" w:cs="Times New Roman"/>
          <w:b/>
          <w:bCs/>
          <w:kern w:val="0"/>
          <w:sz w:val="27"/>
          <w:szCs w:val="27"/>
          <w14:ligatures w14:val="none"/>
        </w:rPr>
        <w:t>Long-term strategy (12+ months)</w:t>
      </w:r>
    </w:p>
    <w:p w14:paraId="1D73F081"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b/>
          <w:bCs/>
          <w:kern w:val="0"/>
          <w14:ligatures w14:val="none"/>
        </w:rPr>
        <w:t>Validation and publication</w:t>
      </w:r>
      <w:r w:rsidRPr="00EC7277">
        <w:rPr>
          <w:rFonts w:ascii="Times New Roman" w:eastAsia="Times New Roman" w:hAnsi="Times New Roman" w:cs="Times New Roman"/>
          <w:kern w:val="0"/>
          <w14:ligatures w14:val="none"/>
        </w:rPr>
        <w:t xml:space="preserve">: Conduct multi-site replication studies, submit to top-tier journals following specific formatting requirements, and establish long-term monitoring frameworks for ethical compliance. </w:t>
      </w:r>
      <w:r w:rsidRPr="00EC7277">
        <w:rPr>
          <w:rFonts w:ascii="Times New Roman" w:eastAsia="Times New Roman" w:hAnsi="Times New Roman" w:cs="Times New Roman"/>
          <w:b/>
          <w:bCs/>
          <w:kern w:val="0"/>
          <w14:ligatures w14:val="none"/>
        </w:rPr>
        <w:t>Community engagement</w:t>
      </w:r>
      <w:r w:rsidRPr="00EC7277">
        <w:rPr>
          <w:rFonts w:ascii="Times New Roman" w:eastAsia="Times New Roman" w:hAnsi="Times New Roman" w:cs="Times New Roman"/>
          <w:kern w:val="0"/>
          <w14:ligatures w14:val="none"/>
        </w:rPr>
        <w:t>: Contribute to open-source consciousness assessment tools, participate in consciousness research consortiums, and develop collaborative validation networks.</w:t>
      </w:r>
    </w:p>
    <w:p w14:paraId="03DE46F4" w14:textId="77777777" w:rsidR="00EC7277" w:rsidRPr="00EC7277" w:rsidRDefault="00EC7277" w:rsidP="00EC7277">
      <w:pPr>
        <w:spacing w:before="100" w:beforeAutospacing="1" w:after="100" w:afterAutospacing="1" w:line="240" w:lineRule="auto"/>
        <w:rPr>
          <w:rFonts w:ascii="Times New Roman" w:eastAsia="Times New Roman" w:hAnsi="Times New Roman" w:cs="Times New Roman"/>
          <w:kern w:val="0"/>
          <w14:ligatures w14:val="none"/>
        </w:rPr>
      </w:pPr>
      <w:r w:rsidRPr="00EC7277">
        <w:rPr>
          <w:rFonts w:ascii="Times New Roman" w:eastAsia="Times New Roman" w:hAnsi="Times New Roman" w:cs="Times New Roman"/>
          <w:kern w:val="0"/>
          <w14:ligatures w14:val="none"/>
        </w:rPr>
        <w:t>This comprehensive framework provides the specific, actionable requirements needed to strengthen your HTCA white paper for rigorous peer review. The standards emerge from analysis of current academic best practices and represent the minimum requirements for publication in top-tier venues while ensuring ethical compliance and technical rigor.</w:t>
      </w:r>
    </w:p>
    <w:p w14:paraId="5C614005" w14:textId="77777777" w:rsidR="00EC7277" w:rsidRDefault="00EC7277"/>
    <w:sectPr w:rsidR="00EC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77"/>
    <w:rsid w:val="00EC7277"/>
    <w:rsid w:val="00EF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0741"/>
  <w15:chartTrackingRefBased/>
  <w15:docId w15:val="{508D3499-7326-1C4B-A190-C3EA5F84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7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72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2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2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7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72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2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2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277"/>
    <w:rPr>
      <w:rFonts w:eastAsiaTheme="majorEastAsia" w:cstheme="majorBidi"/>
      <w:color w:val="272727" w:themeColor="text1" w:themeTint="D8"/>
    </w:rPr>
  </w:style>
  <w:style w:type="paragraph" w:styleId="Title">
    <w:name w:val="Title"/>
    <w:basedOn w:val="Normal"/>
    <w:next w:val="Normal"/>
    <w:link w:val="TitleChar"/>
    <w:uiPriority w:val="10"/>
    <w:qFormat/>
    <w:rsid w:val="00EC7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277"/>
    <w:pPr>
      <w:spacing w:before="160"/>
      <w:jc w:val="center"/>
    </w:pPr>
    <w:rPr>
      <w:i/>
      <w:iCs/>
      <w:color w:val="404040" w:themeColor="text1" w:themeTint="BF"/>
    </w:rPr>
  </w:style>
  <w:style w:type="character" w:customStyle="1" w:styleId="QuoteChar">
    <w:name w:val="Quote Char"/>
    <w:basedOn w:val="DefaultParagraphFont"/>
    <w:link w:val="Quote"/>
    <w:uiPriority w:val="29"/>
    <w:rsid w:val="00EC7277"/>
    <w:rPr>
      <w:i/>
      <w:iCs/>
      <w:color w:val="404040" w:themeColor="text1" w:themeTint="BF"/>
    </w:rPr>
  </w:style>
  <w:style w:type="paragraph" w:styleId="ListParagraph">
    <w:name w:val="List Paragraph"/>
    <w:basedOn w:val="Normal"/>
    <w:uiPriority w:val="34"/>
    <w:qFormat/>
    <w:rsid w:val="00EC7277"/>
    <w:pPr>
      <w:ind w:left="720"/>
      <w:contextualSpacing/>
    </w:pPr>
  </w:style>
  <w:style w:type="character" w:styleId="IntenseEmphasis">
    <w:name w:val="Intense Emphasis"/>
    <w:basedOn w:val="DefaultParagraphFont"/>
    <w:uiPriority w:val="21"/>
    <w:qFormat/>
    <w:rsid w:val="00EC7277"/>
    <w:rPr>
      <w:i/>
      <w:iCs/>
      <w:color w:val="0F4761" w:themeColor="accent1" w:themeShade="BF"/>
    </w:rPr>
  </w:style>
  <w:style w:type="paragraph" w:styleId="IntenseQuote">
    <w:name w:val="Intense Quote"/>
    <w:basedOn w:val="Normal"/>
    <w:next w:val="Normal"/>
    <w:link w:val="IntenseQuoteChar"/>
    <w:uiPriority w:val="30"/>
    <w:qFormat/>
    <w:rsid w:val="00EC7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277"/>
    <w:rPr>
      <w:i/>
      <w:iCs/>
      <w:color w:val="0F4761" w:themeColor="accent1" w:themeShade="BF"/>
    </w:rPr>
  </w:style>
  <w:style w:type="character" w:styleId="IntenseReference">
    <w:name w:val="Intense Reference"/>
    <w:basedOn w:val="DefaultParagraphFont"/>
    <w:uiPriority w:val="32"/>
    <w:qFormat/>
    <w:rsid w:val="00EC7277"/>
    <w:rPr>
      <w:b/>
      <w:bCs/>
      <w:smallCaps/>
      <w:color w:val="0F4761" w:themeColor="accent1" w:themeShade="BF"/>
      <w:spacing w:val="5"/>
    </w:rPr>
  </w:style>
  <w:style w:type="paragraph" w:styleId="NormalWeb">
    <w:name w:val="Normal (Web)"/>
    <w:basedOn w:val="Normal"/>
    <w:uiPriority w:val="99"/>
    <w:semiHidden/>
    <w:unhideWhenUsed/>
    <w:rsid w:val="00EC72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7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4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1</cp:revision>
  <dcterms:created xsi:type="dcterms:W3CDTF">2025-06-28T18:08:00Z</dcterms:created>
  <dcterms:modified xsi:type="dcterms:W3CDTF">2025-06-28T18:08:00Z</dcterms:modified>
</cp:coreProperties>
</file>