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160" w:line="320"/>
        <w:jc w:val="center"/>
      </w:pPr>
      <w:r>
        <w:rPr>
          <w:rFonts w:ascii="Calibri" w:cs="Calibri" w:eastAsia="Calibri" w:hAnsi="Calibri"/>
          <w:b/>
          <w:bCs/>
          <w:color w:val="2C3E6B"/>
          <w:sz w:val="36"/>
          <w:szCs w:val="36"/>
        </w:rPr>
        <w:t xml:space="preserve">Strategic Architecture Document</w:t>
      </w:r>
    </w:p>
    <w:p>
      <w:pPr>
        <w:spacing w:after="80" w:line="300"/>
        <w:jc w:val="center"/>
      </w:pPr>
      <w:r>
        <w:rPr>
          <w:rFonts w:ascii="Calibri" w:cs="Calibri" w:eastAsia="Calibri" w:hAnsi="Calibri"/>
          <w:i/>
          <w:iCs/>
          <w:color w:val="546E7A"/>
          <w:sz w:val="24"/>
          <w:szCs w:val="24"/>
        </w:rPr>
        <w:t xml:space="preserve">VDAC1 Gate-Opening Therapeutic Stack for MSS Colorectal Cancer</w:t>
      </w:r>
    </w:p>
    <w:p>
      <w:pPr>
        <w:spacing w:after="40"/>
        <w:jc w:val="center"/>
      </w:pPr>
      <w:r>
        <w:rPr>
          <w:rFonts w:ascii="Calibri" w:cs="Calibri" w:eastAsia="Calibri" w:hAnsi="Calibri"/>
          <w:color w:val="78909C"/>
          <w:sz w:val="20"/>
          <w:szCs w:val="20"/>
        </w:rPr>
        <w:t xml:space="preserve">From Gate-Jamming Score to Gate-Opening Sequence</w:t>
      </w:r>
    </w:p>
    <w:p>
      <w:pPr>
        <w:spacing w:before="80"/>
      </w:pPr>
    </w:p>
    <w:p>
      <w:pPr>
        <w:spacing w:after="40"/>
        <w:jc w:val="center"/>
      </w:pPr>
      <w:r>
        <w:rPr>
          <w:rFonts w:ascii="Calibri" w:cs="Calibri" w:eastAsia="Calibri" w:hAnsi="Calibri"/>
          <w:b/>
          <w:bCs/>
          <w:color w:val="1A1A2E"/>
          <w:sz w:val="24"/>
          <w:szCs w:val="24"/>
        </w:rPr>
        <w:t xml:space="preserve">Anthony J. Vasquez Sr.</w:t>
      </w:r>
    </w:p>
    <w:p>
      <w:pPr>
        <w:spacing w:after="40"/>
        <w:jc w:val="center"/>
      </w:pPr>
      <w:r>
        <w:rPr>
          <w:rFonts w:ascii="Calibri" w:cs="Calibri" w:eastAsia="Calibri" w:hAnsi="Calibri"/>
          <w:i/>
          <w:iCs/>
          <w:color w:val="546E7A"/>
          <w:sz w:val="20"/>
          <w:szCs w:val="20"/>
        </w:rPr>
        <w:t xml:space="preserve">Delaware Valley University, Doylestown, PA</w:t>
      </w:r>
    </w:p>
    <w:p>
      <w:pPr>
        <w:spacing w:after="40"/>
        <w:jc w:val="center"/>
      </w:pPr>
      <w:r>
        <w:rPr>
          <w:rFonts w:ascii="Calibri" w:cs="Calibri" w:eastAsia="Calibri" w:hAnsi="Calibri"/>
          <w:color w:val="546E7A"/>
          <w:sz w:val="20"/>
          <w:szCs w:val="20"/>
        </w:rPr>
        <w:t xml:space="preserve">February 2026  •  Version 3.0</w:t>
      </w:r>
    </w:p>
    <w:p>
      <w:pPr>
        <w:spacing w:after="60"/>
        <w:jc w:val="center"/>
      </w:pPr>
      <w:r>
        <w:rPr>
          <w:rFonts w:ascii="Calibri" w:cs="Calibri" w:eastAsia="Calibri" w:hAnsi="Calibri"/>
          <w:color w:val="78909C"/>
          <w:sz w:val="18"/>
          <w:szCs w:val="18"/>
        </w:rPr>
        <w:t xml:space="preserve">Classification: </w:t>
      </w:r>
      <w:r>
        <w:rPr>
          <w:rFonts w:ascii="Calibri" w:cs="Calibri" w:eastAsia="Calibri" w:hAnsi="Calibri"/>
          <w:b/>
          <w:bCs/>
          <w:color w:val="C62828"/>
          <w:sz w:val="18"/>
          <w:szCs w:val="18"/>
        </w:rPr>
        <w:t xml:space="preserve">PRIVATE WORKING DOCUMENT — NOT FOR PUBLICATION</w:t>
      </w:r>
    </w:p>
    <w:p>
      <w:pPr>
        <w:spacing w:after="120"/>
        <w:jc w:val="center"/>
      </w:pPr>
      <w:r>
        <w:rPr>
          <w:rFonts w:ascii="Calibri" w:cs="Calibri" w:eastAsia="Calibri" w:hAnsi="Calibri"/>
          <w:color w:val="90A4AE"/>
          <w:sz w:val="16"/>
          <w:szCs w:val="16"/>
        </w:rPr>
        <w:t xml:space="preserve">Multi-model synthesis: Claude Opus 4.6 • Gemini 2.5 Pro • Grok • Claude Sonnet 4.5</w:t>
      </w:r>
    </w:p>
    <w:p>
      <w:pPr>
        <w:pBdr>
          <w:bottom w:val="single" w:color="CFD8DC" w:sz="2" w:space="4"/>
        </w:pBdr>
        <w:spacing w:before="120" w:after="120"/>
      </w:pPr>
    </w:p>
    <w:p>
      <w:pPr>
        <w:pStyle w:val="Heading1"/>
        <w:spacing w:before="300" w:after="160"/>
      </w:pPr>
      <w:r>
        <w:rPr>
          <w:rFonts w:ascii="Calibri" w:cs="Calibri" w:eastAsia="Calibri" w:hAnsi="Calibri"/>
          <w:color w:val="2C3E6B"/>
        </w:rPr>
        <w:t xml:space="preserve">Executive Summary</w:t>
      </w:r>
    </w:p>
    <w:p>
      <w:pPr>
        <w:spacing w:after="140" w:line="300"/>
        <w:jc w:val="both"/>
      </w:pPr>
      <w:r>
        <w:rPr>
          <w:rFonts w:ascii="Palatino Linotype" w:cs="Palatino Linotype" w:eastAsia="Palatino Linotype" w:hAnsi="Palatino Linotype"/>
          <w:color w:val="1A1A2E"/>
          <w:sz w:val="22"/>
          <w:szCs w:val="22"/>
        </w:rPr>
        <w:t xml:space="preserve">The three-phase therapeutic hypothesis (TSPO inhibition → immune activation → CBD apoptosis) was subjected to critical literature review across 2013–2026 publications. </w:t>
      </w:r>
      <w:r>
        <w:rPr>
          <w:rFonts w:ascii="Palatino Linotype" w:cs="Palatino Linotype" w:eastAsia="Palatino Linotype" w:hAnsi="Palatino Linotype"/>
          <w:b/>
          <w:bCs/>
          <w:color w:val="1A1A2E"/>
          <w:sz w:val="22"/>
          <w:szCs w:val="22"/>
        </w:rPr>
        <w:t xml:space="preserve">Three fatal contradictions</w:t>
      </w:r>
      <w:r>
        <w:rPr>
          <w:rFonts w:ascii="Palatino Linotype" w:cs="Palatino Linotype" w:eastAsia="Palatino Linotype" w:hAnsi="Palatino Linotype"/>
          <w:color w:val="1A1A2E"/>
          <w:sz w:val="22"/>
          <w:szCs w:val="22"/>
        </w:rPr>
        <w:t xml:space="preserve"> were identified: (1) restoring mitophagy suppresses rather than promotes cytosolic mtDNA release (Jiménez-Loygorri et al., </w:t>
      </w:r>
      <w:r>
        <w:rPr>
          <w:rFonts w:ascii="Palatino Linotype" w:cs="Palatino Linotype" w:eastAsia="Palatino Linotype" w:hAnsi="Palatino Linotype"/>
          <w:i/>
          <w:iCs/>
          <w:color w:val="1A1A2E"/>
          <w:sz w:val="22"/>
          <w:szCs w:val="22"/>
        </w:rPr>
        <w:t xml:space="preserve">Nature Communications</w:t>
      </w:r>
      <w:r>
        <w:rPr>
          <w:rFonts w:ascii="Palatino Linotype" w:cs="Palatino Linotype" w:eastAsia="Palatino Linotype" w:hAnsi="Palatino Linotype"/>
          <w:color w:val="1A1A2E"/>
          <w:sz w:val="22"/>
          <w:szCs w:val="22"/>
        </w:rPr>
        <w:t xml:space="preserve">, 2024); (2) CBD suppresses T-cell function at VDAC1-active doses (Bar-Sela: 6.4 vs 28.5 months OS); (3) chronic cGAS-STING activation is immunosuppressive in CRC (Bakhoum et al., </w:t>
      </w:r>
      <w:r>
        <w:rPr>
          <w:rFonts w:ascii="Palatino Linotype" w:cs="Palatino Linotype" w:eastAsia="Palatino Linotype" w:hAnsi="Palatino Linotype"/>
          <w:i/>
          <w:iCs/>
          <w:color w:val="1A1A2E"/>
          <w:sz w:val="22"/>
          <w:szCs w:val="22"/>
        </w:rPr>
        <w:t xml:space="preserve">Cancer Discovery</w:t>
      </w:r>
      <w:r>
        <w:rPr>
          <w:rFonts w:ascii="Palatino Linotype" w:cs="Palatino Linotype" w:eastAsia="Palatino Linotype" w:hAnsi="Palatino Linotype"/>
          <w:color w:val="1A1A2E"/>
          <w:sz w:val="22"/>
          <w:szCs w:val="22"/>
        </w:rPr>
        <w:t xml:space="preserve">, 2020). The original architecture is dead.</w:t>
      </w:r>
    </w:p>
    <w:p>
      <w:pPr>
        <w:spacing w:after="140" w:line="300"/>
        <w:ind w:firstLine="360"/>
        <w:jc w:val="both"/>
      </w:pPr>
      <w:r>
        <w:rPr>
          <w:rFonts w:ascii="Palatino Linotype" w:cs="Palatino Linotype" w:eastAsia="Palatino Linotype" w:hAnsi="Palatino Linotype"/>
          <w:color w:val="1A1A2E"/>
          <w:sz w:val="22"/>
          <w:szCs w:val="22"/>
        </w:rPr>
        <w:t xml:space="preserve">What survived is stronger. Huang et al. (</w:t>
      </w:r>
      <w:r>
        <w:rPr>
          <w:rFonts w:ascii="Palatino Linotype" w:cs="Palatino Linotype" w:eastAsia="Palatino Linotype" w:hAnsi="Palatino Linotype"/>
          <w:i/>
          <w:iCs/>
          <w:color w:val="1A1A2E"/>
          <w:sz w:val="22"/>
          <w:szCs w:val="22"/>
        </w:rPr>
        <w:t xml:space="preserve">Antioxidants (Basel)</w:t>
      </w:r>
      <w:r>
        <w:rPr>
          <w:rFonts w:ascii="Palatino Linotype" w:cs="Palatino Linotype" w:eastAsia="Palatino Linotype" w:hAnsi="Palatino Linotype"/>
          <w:color w:val="1A1A2E"/>
          <w:sz w:val="22"/>
          <w:szCs w:val="22"/>
        </w:rPr>
        <w:t xml:space="preserve"> 13(6):679, 2024) demonstrated lovastatin induces mtDNA release and cGAS-STING activation in HCT116 CRC cells and xenografts. This collapses Phase 1 and Phase 2 into a single mechanistically coherent step targeting the </w:t>
      </w:r>
      <w:r>
        <w:rPr>
          <w:rFonts w:ascii="Consolas" w:cs="Consolas" w:eastAsia="Consolas" w:hAnsi="Consolas"/>
          <w:color w:val="1A1A2E"/>
          <w:sz w:val="22"/>
          <w:szCs w:val="22"/>
        </w:rPr>
        <w:t xml:space="preserve">[Chol]/[CL]</w:t>
      </w:r>
      <w:r>
        <w:rPr>
          <w:rFonts w:ascii="Palatino Linotype" w:cs="Palatino Linotype" w:eastAsia="Palatino Linotype" w:hAnsi="Palatino Linotype"/>
          <w:color w:val="1A1A2E"/>
          <w:sz w:val="22"/>
          <w:szCs w:val="22"/>
        </w:rPr>
        <w:t xml:space="preserve"> term in the GJS equation. Combined with Shen et al. (</w:t>
      </w:r>
      <w:r>
        <w:rPr>
          <w:rFonts w:ascii="Palatino Linotype" w:cs="Palatino Linotype" w:eastAsia="Palatino Linotype" w:hAnsi="Palatino Linotype"/>
          <w:i/>
          <w:iCs/>
          <w:color w:val="1A1A2E"/>
          <w:sz w:val="22"/>
          <w:szCs w:val="22"/>
        </w:rPr>
        <w:t xml:space="preserve">eLife</w:t>
      </w:r>
      <w:r>
        <w:rPr>
          <w:rFonts w:ascii="Palatino Linotype" w:cs="Palatino Linotype" w:eastAsia="Palatino Linotype" w:hAnsi="Palatino Linotype"/>
          <w:color w:val="1A1A2E"/>
          <w:sz w:val="22"/>
          <w:szCs w:val="22"/>
        </w:rPr>
        <w:t xml:space="preserve">, 2024) showing statins specifically reduce mitochondrial membrane cholesterol, the lipid-annulus mechanism is defensible.</w:t>
      </w:r>
    </w:p>
    <w:p>
      <w:pPr>
        <w:spacing w:after="140" w:line="300"/>
        <w:ind w:firstLine="360"/>
        <w:jc w:val="both"/>
      </w:pPr>
      <w:r>
        <w:rPr>
          <w:rFonts w:ascii="Palatino Linotype" w:cs="Palatino Linotype" w:eastAsia="Palatino Linotype" w:hAnsi="Palatino Linotype"/>
          <w:color w:val="1A1A2E"/>
          <w:sz w:val="22"/>
          <w:szCs w:val="22"/>
        </w:rPr>
        <w:t xml:space="preserve">This document maps the reformulated stack: </w:t>
      </w:r>
      <w:r>
        <w:rPr>
          <w:rFonts w:ascii="Palatino Linotype" w:cs="Palatino Linotype" w:eastAsia="Palatino Linotype" w:hAnsi="Palatino Linotype"/>
          <w:b/>
          <w:bCs/>
          <w:color w:val="1A1A2E"/>
          <w:sz w:val="22"/>
          <w:szCs w:val="22"/>
        </w:rPr>
        <w:t xml:space="preserve">statin-mediated gate opening → botensilimab cavalry → TSPO as explorable fourth lock → CBD quarantine.</w:t>
      </w:r>
      <w:r>
        <w:rPr>
          <w:rFonts w:ascii="Palatino Linotype" w:cs="Palatino Linotype" w:eastAsia="Palatino Linotype" w:hAnsi="Palatino Linotype"/>
          <w:color w:val="1A1A2E"/>
          <w:sz w:val="22"/>
          <w:szCs w:val="22"/>
        </w:rPr>
        <w:t xml:space="preserve"> It identifies explicit falsification triggers for each component, specifies six critical experiments with kill conditions, and defines the support mechanisms validated by the literature.</w:t>
      </w:r>
    </w:p>
    <w:p>
      <w:pPr>
        <w:pStyle w:val="Heading1"/>
        <w:pageBreakBefore/>
        <w:spacing w:before="300" w:after="160"/>
      </w:pPr>
      <w:r>
        <w:rPr>
          <w:rFonts w:ascii="Calibri" w:cs="Calibri" w:eastAsia="Calibri" w:hAnsi="Calibri"/>
          <w:color w:val="2C3E6B"/>
        </w:rPr>
        <w:t xml:space="preserve">1. The Collapsed Gate: Statin-Mediated VDAC1 Opening</w:t>
      </w:r>
    </w:p>
    <w:p>
      <w:pPr>
        <w:pStyle w:val="Heading2"/>
        <w:spacing w:before="220" w:after="120"/>
      </w:pPr>
      <w:r>
        <w:rPr>
          <w:rFonts w:ascii="Calibri" w:cs="Calibri" w:eastAsia="Calibri" w:hAnsi="Calibri"/>
          <w:color w:val="2C3E6B"/>
        </w:rPr>
        <w:t xml:space="preserve">1.1 The Cofactor Equation and Its Locks</w:t>
      </w:r>
    </w:p>
    <w:p>
      <w:pPr>
        <w:spacing w:after="140" w:line="300"/>
        <w:jc w:val="both"/>
      </w:pPr>
      <w:r>
        <w:rPr>
          <w:rFonts w:ascii="Palatino Linotype" w:cs="Palatino Linotype" w:eastAsia="Palatino Linotype" w:hAnsi="Palatino Linotype"/>
          <w:color w:val="1A1A2E"/>
          <w:sz w:val="22"/>
          <w:szCs w:val="22"/>
        </w:rPr>
        <w:t xml:space="preserve">The GJS cofactor equation describes the apoptotic threshold of a cancer cell as a function of three physical parameters on the VDAC1 channel:</w:t>
      </w:r>
    </w:p>
    <w:p>
      <w:pPr>
        <w:shd w:fill="F8F9FA" w:val="clear"/>
        <w:spacing w:before="120" w:after="120" w:line="300"/>
        <w:ind w:left="720" w:right="720"/>
        <w:jc w:val="center"/>
      </w:pPr>
      <w:r>
        <w:rPr>
          <w:rFonts w:ascii="Consolas" w:cs="Consolas" w:eastAsia="Consolas" w:hAnsi="Consolas"/>
          <w:b/>
          <w:bCs/>
          <w:color w:val="2C3E6B"/>
          <w:sz w:val="21"/>
          <w:szCs w:val="21"/>
        </w:rPr>
        <w:t xml:space="preserve">Apoptotic Threshold = K / [(1 - f_HKII)(1 - f_BclxL)] × [Chol]/[CL]</w:t>
      </w:r>
    </w:p>
    <w:p>
      <w:pPr>
        <w:spacing w:after="140" w:line="300"/>
        <w:jc w:val="both"/>
      </w:pPr>
      <w:r>
        <w:rPr>
          <w:rFonts w:ascii="Palatino Linotype" w:cs="Palatino Linotype" w:eastAsia="Palatino Linotype" w:hAnsi="Palatino Linotype"/>
          <w:color w:val="1A1A2E"/>
          <w:sz w:val="22"/>
          <w:szCs w:val="22"/>
        </w:rPr>
        <w:t xml:space="preserve">Each variable has a physical address. </w:t>
      </w:r>
      <w:r>
        <w:rPr>
          <w:rFonts w:ascii="Consolas" w:cs="Consolas" w:eastAsia="Consolas" w:hAnsi="Consolas"/>
          <w:b/>
          <w:bCs/>
          <w:color w:val="1A1A2E"/>
          <w:sz w:val="22"/>
          <w:szCs w:val="22"/>
        </w:rPr>
        <w:t xml:space="preserve">f_HKII</w:t>
      </w:r>
      <w:r>
        <w:rPr>
          <w:rFonts w:ascii="Palatino Linotype" w:cs="Palatino Linotype" w:eastAsia="Palatino Linotype" w:hAnsi="Palatino Linotype"/>
          <w:color w:val="1A1A2E"/>
          <w:sz w:val="22"/>
          <w:szCs w:val="22"/>
        </w:rPr>
        <w:t xml:space="preserve"> = hexokinase-II occupancy on the E73 docking site. </w:t>
      </w:r>
      <w:r>
        <w:rPr>
          <w:rFonts w:ascii="Consolas" w:cs="Consolas" w:eastAsia="Consolas" w:hAnsi="Consolas"/>
          <w:b/>
          <w:bCs/>
          <w:color w:val="1A1A2E"/>
          <w:sz w:val="22"/>
          <w:szCs w:val="22"/>
        </w:rPr>
        <w:t xml:space="preserve">f_BclxL</w:t>
      </w:r>
      <w:r>
        <w:rPr>
          <w:rFonts w:ascii="Palatino Linotype" w:cs="Palatino Linotype" w:eastAsia="Palatino Linotype" w:hAnsi="Palatino Linotype"/>
          <w:color w:val="1A1A2E"/>
          <w:sz w:val="22"/>
          <w:szCs w:val="22"/>
        </w:rPr>
        <w:t xml:space="preserve"> = Bcl-xL binding via BH4 domain to VDAC1 N-terminal helices. </w:t>
      </w:r>
      <w:r>
        <w:rPr>
          <w:rFonts w:ascii="Consolas" w:cs="Consolas" w:eastAsia="Consolas" w:hAnsi="Consolas"/>
          <w:b/>
          <w:bCs/>
          <w:color w:val="1A1A2E"/>
          <w:sz w:val="22"/>
          <w:szCs w:val="22"/>
        </w:rPr>
        <w:t xml:space="preserve">[Chol]/[CL]</w:t>
      </w:r>
      <w:r>
        <w:rPr>
          <w:rFonts w:ascii="Palatino Linotype" w:cs="Palatino Linotype" w:eastAsia="Palatino Linotype" w:hAnsi="Palatino Linotype"/>
          <w:color w:val="1A1A2E"/>
          <w:sz w:val="22"/>
          <w:szCs w:val="22"/>
        </w:rPr>
        <w:t xml:space="preserve"> = cholesterol-to-cardiolipin ratio in the OMM lipid annulus. </w:t>
      </w:r>
      <w:r>
        <w:rPr>
          <w:rFonts w:ascii="Consolas" w:cs="Consolas" w:eastAsia="Consolas" w:hAnsi="Consolas"/>
          <w:b/>
          <w:bCs/>
          <w:color w:val="1A1A2E"/>
          <w:sz w:val="22"/>
          <w:szCs w:val="22"/>
        </w:rPr>
        <w:t xml:space="preserve">K</w:t>
      </w:r>
      <w:r>
        <w:rPr>
          <w:rFonts w:ascii="Palatino Linotype" w:cs="Palatino Linotype" w:eastAsia="Palatino Linotype" w:hAnsi="Palatino Linotype"/>
          <w:color w:val="1A1A2E"/>
          <w:sz w:val="22"/>
          <w:szCs w:val="22"/>
        </w:rPr>
        <w:t xml:space="preserve"> = honeycomb lattice exit energy. Cancer simultaneously rewrites all three terms: HK-II jammed ON (Warburg), Bcl-xL overexpressed, cholesterol loaded into the OMM. The multiplicative structure means the gate is triply locked. </w:t>
      </w:r>
      <w:r>
        <w:rPr>
          <w:rFonts w:ascii="Palatino Linotype" w:cs="Palatino Linotype" w:eastAsia="Palatino Linotype" w:hAnsi="Palatino Linotype"/>
          <w:b/>
          <w:bCs/>
          <w:color w:val="1A1A2E"/>
          <w:sz w:val="22"/>
          <w:szCs w:val="22"/>
        </w:rPr>
        <w:t xml:space="preserve">Each lock requires a specific key.</w:t>
      </w:r>
    </w:p>
    <w:p>
      <w:pPr>
        <w:spacing w:before="200" w:after="80"/>
      </w:pPr>
      <w:r>
        <w:rPr>
          <w:rFonts w:ascii="Calibri" w:cs="Calibri" w:eastAsia="Calibri" w:hAnsi="Calibri"/>
          <w:b/>
          <w:bCs/>
          <w:color w:val="2C3E6B"/>
          <w:sz w:val="20"/>
          <w:szCs w:val="20"/>
        </w:rPr>
        <w:t xml:space="preserve">Table 1. </w:t>
      </w:r>
      <w:r>
        <w:rPr>
          <w:rFonts w:ascii="Palatino Linotype" w:cs="Palatino Linotype" w:eastAsia="Palatino Linotype" w:hAnsi="Palatino Linotype"/>
          <w:i/>
          <w:iCs/>
          <w:color w:val="546E7A"/>
          <w:sz w:val="20"/>
          <w:szCs w:val="20"/>
        </w:rPr>
        <w:t xml:space="preserve">Cancer type–specific rate-limiting locks and their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00"/>
        <w:gridCol w:w="2860"/>
      </w:tblGrid>
      <w:tr>
        <w:trPr>
          <w:cantSplit/>
        </w:trPr>
        <w:tc>
          <w:tcPr>
            <w:tcW w:type="dxa" w:w="19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Cancer Type</w:t>
            </w:r>
          </w:p>
        </w:tc>
        <w:tc>
          <w:tcPr>
            <w:tcW w:type="dxa" w:w="21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Rate-Limiting Lock</w:t>
            </w:r>
          </w:p>
        </w:tc>
        <w:tc>
          <w:tcPr>
            <w:tcW w:type="dxa" w:w="25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Key (Drug)</w:t>
            </w:r>
          </w:p>
        </w:tc>
        <w:tc>
          <w:tcPr>
            <w:tcW w:type="dxa" w:w="286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Mechanism</w:t>
            </w:r>
          </w:p>
        </w:tc>
      </w:tr>
      <w:tr>
        <w:trPr>
          <w:cantSplit/>
        </w:trPr>
        <w:tc>
          <w:tcPr>
            <w:tcW w:type="dxa" w:w="1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MSS Colorectal</w:t>
            </w:r>
          </w:p>
        </w:tc>
        <w:tc>
          <w:tcPr>
            <w:tcW w:type="dxa" w:w="21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Consolas" w:cs="Consolas" w:eastAsia="Consolas" w:hAnsi="Consolas"/>
                <w:b/>
                <w:bCs/>
                <w:color w:val="1A1A2E"/>
                <w:sz w:val="20"/>
                <w:szCs w:val="20"/>
              </w:rPr>
              <w:t xml:space="preserve">[Chol]/[CL]</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Lovastatin</w:t>
            </w:r>
          </w:p>
        </w:tc>
        <w:tc>
          <w:tcPr>
            <w:tcW w:type="dxa" w:w="28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Depletes OMM cholesterol → permits VDAC1 oligomerization → mtDNA release → cGAS-STING</w:t>
            </w:r>
          </w:p>
        </w:tc>
      </w:tr>
      <w:tr>
        <w:trPr>
          <w:cantSplit/>
        </w:trPr>
        <w:tc>
          <w:tcPr>
            <w:tcW w:type="dxa" w:w="19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AML</w:t>
            </w:r>
          </w:p>
        </w:tc>
        <w:tc>
          <w:tcPr>
            <w:tcW w:type="dxa" w:w="2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Consolas" w:cs="Consolas" w:eastAsia="Consolas" w:hAnsi="Consolas"/>
                <w:b/>
                <w:bCs/>
                <w:color w:val="1A1A2E"/>
                <w:sz w:val="20"/>
                <w:szCs w:val="20"/>
              </w:rPr>
              <w:t xml:space="preserve">f_BclxL</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Venetoclax</w:t>
            </w:r>
          </w:p>
        </w:tc>
        <w:tc>
          <w:tcPr>
            <w:tcW w:type="dxa" w:w="28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Displaces Bcl-xL from VDAC1 → N-terminal helix exposure → BH3-only sensitization</w:t>
            </w:r>
          </w:p>
        </w:tc>
      </w:tr>
      <w:tr>
        <w:trPr>
          <w:cantSplit/>
        </w:trPr>
        <w:tc>
          <w:tcPr>
            <w:tcW w:type="dxa" w:w="19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GBM / HCC</w:t>
            </w:r>
          </w:p>
        </w:tc>
        <w:tc>
          <w:tcPr>
            <w:tcW w:type="dxa" w:w="21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Consolas" w:cs="Consolas" w:eastAsia="Consolas" w:hAnsi="Consolas"/>
                <w:b/>
                <w:bCs/>
                <w:color w:val="1A1A2E"/>
                <w:sz w:val="20"/>
                <w:szCs w:val="20"/>
              </w:rPr>
              <w:t xml:space="preserve">f_HKII</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2-DG / Lonidamine</w:t>
            </w:r>
          </w:p>
        </w:tc>
        <w:tc>
          <w:tcPr>
            <w:tcW w:type="dxa" w:w="28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Displaces HK-II from E73 docking site → Warburg collapse + gate access</w:t>
            </w:r>
          </w:p>
        </w:tc>
      </w:tr>
    </w:tbl>
    <w:p>
      <w:pPr>
        <w:spacing w:after="140" w:line="300"/>
        <w:ind w:firstLine="360"/>
        <w:jc w:val="both"/>
      </w:pPr>
      <w:r>
        <w:rPr>
          <w:rFonts w:ascii="Palatino Linotype" w:cs="Palatino Linotype" w:eastAsia="Palatino Linotype" w:hAnsi="Palatino Linotype"/>
          <w:b/>
          <w:bCs/>
          <w:color w:val="1A1A2E"/>
          <w:sz w:val="22"/>
          <w:szCs w:val="22"/>
        </w:rPr>
        <w:t xml:space="preserve">Critical insight: </w:t>
      </w:r>
      <w:r>
        <w:rPr>
          <w:rFonts w:ascii="Palatino Linotype" w:cs="Palatino Linotype" w:eastAsia="Palatino Linotype" w:hAnsi="Palatino Linotype"/>
          <w:color w:val="1A1A2E"/>
          <w:sz w:val="22"/>
          <w:szCs w:val="22"/>
        </w:rPr>
        <w:t xml:space="preserve">The AML venetoclax experiment and the CRC lovastatin stack test the </w:t>
      </w:r>
      <w:r>
        <w:rPr>
          <w:rFonts w:ascii="Palatino Linotype" w:cs="Palatino Linotype" w:eastAsia="Palatino Linotype" w:hAnsi="Palatino Linotype"/>
          <w:i/>
          <w:iCs/>
          <w:color w:val="1A1A2E"/>
          <w:sz w:val="22"/>
          <w:szCs w:val="22"/>
        </w:rPr>
        <w:t xml:space="preserve">same physical event</w:t>
      </w:r>
      <w:r>
        <w:rPr>
          <w:rFonts w:ascii="Palatino Linotype" w:cs="Palatino Linotype" w:eastAsia="Palatino Linotype" w:hAnsi="Palatino Linotype"/>
          <w:color w:val="1A1A2E"/>
          <w:sz w:val="22"/>
          <w:szCs w:val="22"/>
        </w:rPr>
        <w:t xml:space="preserve"> — VDAC1 gate opening — through different locks. The AML experiment proves the physics. The CRC stack solves the clinical nightmare. A positive venetoclax temporal-decoupling result validates the entire gate-opener drug class.</w:t>
      </w:r>
    </w:p>
    <w:p>
      <w:pPr>
        <w:pStyle w:val="Heading2"/>
        <w:spacing w:before="220" w:after="120"/>
      </w:pPr>
      <w:r>
        <w:rPr>
          <w:rFonts w:ascii="Calibri" w:cs="Calibri" w:eastAsia="Calibri" w:hAnsi="Calibri"/>
          <w:color w:val="2C3E6B"/>
        </w:rPr>
        <w:t xml:space="preserve">1.2 The Primary Key: Lovastatin as the Gate Opener</w:t>
      </w:r>
    </w:p>
    <w:p>
      <w:pPr>
        <w:spacing w:after="140" w:line="300"/>
        <w:jc w:val="both"/>
      </w:pPr>
      <w:r>
        <w:rPr>
          <w:rFonts w:ascii="Palatino Linotype" w:cs="Palatino Linotype" w:eastAsia="Palatino Linotype" w:hAnsi="Palatino Linotype"/>
          <w:color w:val="1A1A2E"/>
          <w:sz w:val="22"/>
          <w:szCs w:val="22"/>
        </w:rPr>
        <w:t xml:space="preserve">Huang et al. (</w:t>
      </w:r>
      <w:r>
        <w:rPr>
          <w:rFonts w:ascii="Palatino Linotype" w:cs="Palatino Linotype" w:eastAsia="Palatino Linotype" w:hAnsi="Palatino Linotype"/>
          <w:i/>
          <w:iCs/>
          <w:color w:val="1A1A2E"/>
          <w:sz w:val="22"/>
          <w:szCs w:val="22"/>
        </w:rPr>
        <w:t xml:space="preserve">Antioxidants (Basel)</w:t>
      </w:r>
      <w:r>
        <w:rPr>
          <w:rFonts w:ascii="Palatino Linotype" w:cs="Palatino Linotype" w:eastAsia="Palatino Linotype" w:hAnsi="Palatino Linotype"/>
          <w:color w:val="1A1A2E"/>
          <w:sz w:val="22"/>
          <w:szCs w:val="22"/>
        </w:rPr>
        <w:t xml:space="preserve"> 13(6):679, 2024) demonstrated lovastatin (1–10 μM) induces mitochondrial oxidative stress, forces mtDNA release into the cytosol, and activates the cGAS-STING-IFN-β axis in HCT116 CRC cells and xenografts. The primary driver in that paper is oxidative stress / CoQ10 / mevalonate disruption. Our integration extends this: statin-mediated cholesterol depletion from the OMM (Shen et al., </w:t>
      </w:r>
      <w:r>
        <w:rPr>
          <w:rFonts w:ascii="Palatino Linotype" w:cs="Palatino Linotype" w:eastAsia="Palatino Linotype" w:hAnsi="Palatino Linotype"/>
          <w:i/>
          <w:iCs/>
          <w:color w:val="1A1A2E"/>
          <w:sz w:val="22"/>
          <w:szCs w:val="22"/>
        </w:rPr>
        <w:t xml:space="preserve">eLife</w:t>
      </w:r>
      <w:r>
        <w:rPr>
          <w:rFonts w:ascii="Palatino Linotype" w:cs="Palatino Linotype" w:eastAsia="Palatino Linotype" w:hAnsi="Palatino Linotype"/>
          <w:color w:val="1A1A2E"/>
          <w:sz w:val="22"/>
          <w:szCs w:val="22"/>
        </w:rPr>
        <w:t xml:space="preserve">, 2024) reduces the [Chol]/[CL] ratio, destabilizing the lipid annulus that prevents VDAC1 oligomerization. Once the lattice barrier falls, VDAC1 oligomers form the ~4 nm pore through which 500–650 bp mtDNA fragments escape.</w:t>
      </w:r>
    </w:p>
    <w:p>
      <w:pPr>
        <w:spacing w:after="140" w:line="300"/>
        <w:ind w:firstLine="360"/>
        <w:jc w:val="both"/>
      </w:pPr>
      <w:r>
        <w:rPr>
          <w:rFonts w:ascii="Palatino Linotype" w:cs="Palatino Linotype" w:eastAsia="Palatino Linotype" w:hAnsi="Palatino Linotype"/>
          <w:b/>
          <w:bCs/>
          <w:color w:val="1A1A2E"/>
          <w:sz w:val="22"/>
          <w:szCs w:val="22"/>
        </w:rPr>
        <w:t xml:space="preserve">Mechanistic chain: </w:t>
      </w:r>
      <w:r>
        <w:rPr>
          <w:rFonts w:ascii="Palatino Linotype" w:cs="Palatino Linotype" w:eastAsia="Palatino Linotype" w:hAnsi="Palatino Linotype"/>
          <w:color w:val="1A1A2E"/>
          <w:sz w:val="22"/>
          <w:szCs w:val="22"/>
        </w:rPr>
        <w:t xml:space="preserve">Lovastatin → HMG-CoA reductase inhibition → mevalonate depletion → (a) CoQ10 reduction → mitochondrial ROS + (b) cholesterol depletion from OMM → [Chol]/[CL] drops → VDAC1 oligomerization permitted → mtDNA leak → cGAS-STING → Type I IFN → tumor microenvironment primed.</w:t>
      </w:r>
    </w:p>
    <w:p>
      <w:pPr>
        <w:spacing w:after="140" w:line="300"/>
        <w:ind w:firstLine="360"/>
        <w:jc w:val="both"/>
      </w:pPr>
      <w:r>
        <w:rPr>
          <w:rFonts w:ascii="Palatino Linotype" w:cs="Palatino Linotype" w:eastAsia="Palatino Linotype" w:hAnsi="Palatino Linotype"/>
          <w:color w:val="1A1A2E"/>
          <w:sz w:val="22"/>
          <w:szCs w:val="22"/>
        </w:rPr>
        <w:t xml:space="preserve">Supporting literature: Montero et al. (</w:t>
      </w:r>
      <w:r>
        <w:rPr>
          <w:rFonts w:ascii="Palatino Linotype" w:cs="Palatino Linotype" w:eastAsia="Palatino Linotype" w:hAnsi="Palatino Linotype"/>
          <w:i/>
          <w:iCs/>
          <w:color w:val="1A1A2E"/>
          <w:sz w:val="22"/>
          <w:szCs w:val="22"/>
        </w:rPr>
        <w:t xml:space="preserve">Cancer Research</w:t>
      </w:r>
      <w:r>
        <w:rPr>
          <w:rFonts w:ascii="Palatino Linotype" w:cs="Palatino Linotype" w:eastAsia="Palatino Linotype" w:hAnsi="Palatino Linotype"/>
          <w:color w:val="1A1A2E"/>
          <w:sz w:val="22"/>
          <w:szCs w:val="22"/>
        </w:rPr>
        <w:t xml:space="preserve">, 2008) — elevated mitochondrial cholesterol confers chemotherapy resistance. Betaneli et al. (</w:t>
      </w:r>
      <w:r>
        <w:rPr>
          <w:rFonts w:ascii="Palatino Linotype" w:cs="Palatino Linotype" w:eastAsia="Palatino Linotype" w:hAnsi="Palatino Linotype"/>
          <w:i/>
          <w:iCs/>
          <w:color w:val="1A1A2E"/>
          <w:sz w:val="22"/>
          <w:szCs w:val="22"/>
        </w:rPr>
        <w:t xml:space="preserve">Biophysical Journal</w:t>
      </w:r>
      <w:r>
        <w:rPr>
          <w:rFonts w:ascii="Palatino Linotype" w:cs="Palatino Linotype" w:eastAsia="Palatino Linotype" w:hAnsi="Palatino Linotype"/>
          <w:color w:val="1A1A2E"/>
          <w:sz w:val="22"/>
          <w:szCs w:val="22"/>
        </w:rPr>
        <w:t xml:space="preserve">, 2012) — cholesterol rigidifies the OMM and disfavors VDAC1 oligomeric transitions. Catherall et al. (</w:t>
      </w:r>
      <w:r>
        <w:rPr>
          <w:rFonts w:ascii="Palatino Linotype" w:cs="Palatino Linotype" w:eastAsia="Palatino Linotype" w:hAnsi="Palatino Linotype"/>
          <w:i/>
          <w:iCs/>
          <w:color w:val="1A1A2E"/>
          <w:sz w:val="22"/>
          <w:szCs w:val="22"/>
        </w:rPr>
        <w:t xml:space="preserve">MCP</w:t>
      </w:r>
      <w:r>
        <w:rPr>
          <w:rFonts w:ascii="Palatino Linotype" w:cs="Palatino Linotype" w:eastAsia="Palatino Linotype" w:hAnsi="Palatino Linotype"/>
          <w:color w:val="1A1A2E"/>
          <w:sz w:val="22"/>
          <w:szCs w:val="22"/>
        </w:rPr>
        <w:t xml:space="preserve">, 2022) — cholesterol disruption potentiates CBD-induced apoptosis. Kim et al. (</w:t>
      </w:r>
      <w:r>
        <w:rPr>
          <w:rFonts w:ascii="Palatino Linotype" w:cs="Palatino Linotype" w:eastAsia="Palatino Linotype" w:hAnsi="Palatino Linotype"/>
          <w:i/>
          <w:iCs/>
          <w:color w:val="1A1A2E"/>
          <w:sz w:val="22"/>
          <w:szCs w:val="22"/>
        </w:rPr>
        <w:t xml:space="preserve">Science</w:t>
      </w:r>
      <w:r>
        <w:rPr>
          <w:rFonts w:ascii="Palatino Linotype" w:cs="Palatino Linotype" w:eastAsia="Palatino Linotype" w:hAnsi="Palatino Linotype"/>
          <w:color w:val="1A1A2E"/>
          <w:sz w:val="22"/>
          <w:szCs w:val="22"/>
        </w:rPr>
        <w:t xml:space="preserve">, 2019) — mtDNA escapes through VDAC1 oligomeric pores.</w:t>
      </w:r>
    </w:p>
    <w:p>
      <w:pPr>
        <w:pStyle w:val="Heading2"/>
        <w:spacing w:before="220" w:after="120"/>
      </w:pPr>
      <w:r>
        <w:rPr>
          <w:rFonts w:ascii="Calibri" w:cs="Calibri" w:eastAsia="Calibri" w:hAnsi="Calibri"/>
          <w:color w:val="2C3E6B"/>
        </w:rPr>
        <w:t xml:space="preserve">1.3 Why Lovastatin Bypasses the TSPO Paradox</w:t>
      </w:r>
    </w:p>
    <w:p>
      <w:pPr>
        <w:spacing w:after="140" w:line="300"/>
        <w:jc w:val="both"/>
      </w:pPr>
      <w:r>
        <w:rPr>
          <w:rFonts w:ascii="Palatino Linotype" w:cs="Palatino Linotype" w:eastAsia="Palatino Linotype" w:hAnsi="Palatino Linotype"/>
          <w:color w:val="1A1A2E"/>
          <w:sz w:val="22"/>
          <w:szCs w:val="22"/>
        </w:rPr>
        <w:t xml:space="preserve">The original hypothesis required TSPO inhibition to restore mitophagy, which would then produce mtDNA release. The literature showed this runs backward — mitophagy </w:t>
      </w:r>
      <w:r>
        <w:rPr>
          <w:rFonts w:ascii="Palatino Linotype" w:cs="Palatino Linotype" w:eastAsia="Palatino Linotype" w:hAnsi="Palatino Linotype"/>
          <w:i/>
          <w:iCs/>
          <w:color w:val="1A1A2E"/>
          <w:sz w:val="22"/>
          <w:szCs w:val="22"/>
        </w:rPr>
        <w:t xml:space="preserve">cleans up</w:t>
      </w:r>
      <w:r>
        <w:rPr>
          <w:rFonts w:ascii="Palatino Linotype" w:cs="Palatino Linotype" w:eastAsia="Palatino Linotype" w:hAnsi="Palatino Linotype"/>
          <w:color w:val="1A1A2E"/>
          <w:sz w:val="22"/>
          <w:szCs w:val="22"/>
        </w:rPr>
        <w:t xml:space="preserve"> mtDNA rather than releasing it (Jiménez-Loygorri et al., </w:t>
      </w:r>
      <w:r>
        <w:rPr>
          <w:rFonts w:ascii="Palatino Linotype" w:cs="Palatino Linotype" w:eastAsia="Palatino Linotype" w:hAnsi="Palatino Linotype"/>
          <w:i/>
          <w:iCs/>
          <w:color w:val="1A1A2E"/>
          <w:sz w:val="22"/>
          <w:szCs w:val="22"/>
        </w:rPr>
        <w:t xml:space="preserve">Nature Communications</w:t>
      </w:r>
      <w:r>
        <w:rPr>
          <w:rFonts w:ascii="Palatino Linotype" w:cs="Palatino Linotype" w:eastAsia="Palatino Linotype" w:hAnsi="Palatino Linotype"/>
          <w:color w:val="1A1A2E"/>
          <w:sz w:val="22"/>
          <w:szCs w:val="22"/>
        </w:rPr>
        <w:t xml:space="preserve">, 2024; Sliter et al., 2018; Wang et al., </w:t>
      </w:r>
      <w:r>
        <w:rPr>
          <w:rFonts w:ascii="Palatino Linotype" w:cs="Palatino Linotype" w:eastAsia="Palatino Linotype" w:hAnsi="Palatino Linotype"/>
          <w:i/>
          <w:iCs/>
          <w:color w:val="1A1A2E"/>
          <w:sz w:val="22"/>
          <w:szCs w:val="22"/>
        </w:rPr>
        <w:t xml:space="preserve">Autophagy</w:t>
      </w:r>
      <w:r>
        <w:rPr>
          <w:rFonts w:ascii="Palatino Linotype" w:cs="Palatino Linotype" w:eastAsia="Palatino Linotype" w:hAnsi="Palatino Linotype"/>
          <w:color w:val="1A1A2E"/>
          <w:sz w:val="22"/>
          <w:szCs w:val="22"/>
        </w:rPr>
        <w:t xml:space="preserve">, 2025). Lovastatin bypasses this entirely by targeting the lipid environment, not the protein–protein interaction. The gate opens because the membrane </w:t>
      </w:r>
      <w:r>
        <w:rPr>
          <w:rFonts w:ascii="Palatino Linotype" w:cs="Palatino Linotype" w:eastAsia="Palatino Linotype" w:hAnsi="Palatino Linotype"/>
          <w:i/>
          <w:iCs/>
          <w:color w:val="1A1A2E"/>
          <w:sz w:val="22"/>
          <w:szCs w:val="22"/>
        </w:rPr>
        <w:t xml:space="preserve">can no longer hold it shut</w:t>
      </w:r>
      <w:r>
        <w:rPr>
          <w:rFonts w:ascii="Palatino Linotype" w:cs="Palatino Linotype" w:eastAsia="Palatino Linotype" w:hAnsi="Palatino Linotype"/>
          <w:color w:val="1A1A2E"/>
          <w:sz w:val="22"/>
          <w:szCs w:val="22"/>
        </w:rPr>
        <w:t xml:space="preserve">, not because a tether was removed.</w:t>
      </w:r>
    </w:p>
    <w:p>
      <w:pPr>
        <w:pStyle w:val="Heading2"/>
        <w:spacing w:before="220" w:after="120"/>
      </w:pPr>
      <w:r>
        <w:rPr>
          <w:rFonts w:ascii="Calibri" w:cs="Calibri" w:eastAsia="Calibri" w:hAnsi="Calibri"/>
          <w:color w:val="2C3E6B"/>
        </w:rPr>
        <w:t xml:space="preserve">1.4 The Botensilimab Cavalry</w:t>
      </w:r>
    </w:p>
    <w:p>
      <w:pPr>
        <w:spacing w:after="140" w:line="300"/>
        <w:jc w:val="both"/>
      </w:pPr>
      <w:r>
        <w:rPr>
          <w:rFonts w:ascii="Palatino Linotype" w:cs="Palatino Linotype" w:eastAsia="Palatino Linotype" w:hAnsi="Palatino Linotype"/>
          <w:color w:val="1A1A2E"/>
          <w:sz w:val="22"/>
          <w:szCs w:val="22"/>
        </w:rPr>
        <w:t xml:space="preserve">Once the statin forces the VDAC1 gate open and the endogenous cGAS-STING alarm fires, the tumor microenvironment transitions from “cold” to “primed.” However, MSS CRC remains fiercely immunosuppressive. The endogenous alarm is rarely sufficient to overcome the dense stromal and Treg barriers alone.</w:t>
      </w:r>
    </w:p>
    <w:p>
      <w:pPr>
        <w:spacing w:after="140" w:line="300"/>
        <w:ind w:firstLine="360"/>
        <w:jc w:val="both"/>
      </w:pPr>
      <w:r>
        <w:rPr>
          <w:rFonts w:ascii="Palatino Linotype" w:cs="Palatino Linotype" w:eastAsia="Palatino Linotype" w:hAnsi="Palatino Linotype"/>
          <w:color w:val="1A1A2E"/>
          <w:sz w:val="22"/>
          <w:szCs w:val="22"/>
        </w:rPr>
        <w:t xml:space="preserve">Botensilimab (Fc-enhanced anti-CTLA-4) is deployed as the synthetic amplifier and executioner. The Fc-enhanced tail binds FcγRIIIA receptors on macrophages and NK cells, violently activating the innate immune system from the outside to compound the internal mtDNA signal. This same Fc-binding triggers antibody-dependent cellular cytotoxicity (ADCC), physically eliminating the immunosuppressive Tregs that suffocate emerging CD8+ T-cell responses.</w:t>
      </w:r>
    </w:p>
    <w:p>
      <w:pPr>
        <w:spacing w:after="140" w:line="300"/>
        <w:ind w:firstLine="360"/>
        <w:jc w:val="both"/>
      </w:pPr>
      <w:r>
        <w:rPr>
          <w:rFonts w:ascii="Palatino Linotype" w:cs="Palatino Linotype" w:eastAsia="Palatino Linotype" w:hAnsi="Palatino Linotype"/>
          <w:b/>
          <w:bCs/>
          <w:color w:val="1A1A2E"/>
          <w:sz w:val="22"/>
          <w:szCs w:val="22"/>
        </w:rPr>
        <w:t xml:space="preserve">Therapeutic sequence: </w:t>
      </w:r>
      <w:r>
        <w:rPr>
          <w:rFonts w:ascii="Palatino Linotype" w:cs="Palatino Linotype" w:eastAsia="Palatino Linotype" w:hAnsi="Palatino Linotype"/>
          <w:color w:val="1A1A2E"/>
          <w:sz w:val="22"/>
          <w:szCs w:val="22"/>
        </w:rPr>
        <w:t xml:space="preserve">(1) Lovastatin strips the cholesterol lock → (2) VDAC1 oligomerizes, mtDNA leaks, cGAS-STING fires → (3) Botensilimab + balstilimab amplifies the now-active innate alarm into adaptive anti-tumor immunity. The statin provides the internal spatial coordinates (chemokines). Botensilimab provides the heavy artillery.</w:t>
      </w:r>
    </w:p>
    <w:p>
      <w:pPr>
        <w:spacing w:after="140" w:line="300"/>
        <w:ind w:firstLine="360"/>
        <w:jc w:val="both"/>
      </w:pPr>
      <w:r>
        <w:rPr>
          <w:rFonts w:ascii="Palatino Linotype" w:cs="Palatino Linotype" w:eastAsia="Palatino Linotype" w:hAnsi="Palatino Linotype"/>
          <w:b/>
          <w:bCs/>
          <w:color w:val="1A1A2E"/>
          <w:sz w:val="22"/>
          <w:szCs w:val="22"/>
        </w:rPr>
        <w:t xml:space="preserve">Crucial timing: </w:t>
      </w:r>
      <w:r>
        <w:rPr>
          <w:rFonts w:ascii="Palatino Linotype" w:cs="Palatino Linotype" w:eastAsia="Palatino Linotype" w:hAnsi="Palatino Linotype"/>
          <w:color w:val="1A1A2E"/>
          <w:sz w:val="22"/>
          <w:szCs w:val="22"/>
        </w:rPr>
        <w:t xml:space="preserve">Botensilimab must be sequenced </w:t>
      </w:r>
      <w:r>
        <w:rPr>
          <w:rFonts w:ascii="Palatino Linotype" w:cs="Palatino Linotype" w:eastAsia="Palatino Linotype" w:hAnsi="Palatino Linotype"/>
          <w:i/>
          <w:iCs/>
          <w:color w:val="1A1A2E"/>
          <w:sz w:val="22"/>
          <w:szCs w:val="22"/>
        </w:rPr>
        <w:t xml:space="preserve">after</w:t>
      </w:r>
      <w:r>
        <w:rPr>
          <w:rFonts w:ascii="Palatino Linotype" w:cs="Palatino Linotype" w:eastAsia="Palatino Linotype" w:hAnsi="Palatino Linotype"/>
          <w:color w:val="1A1A2E"/>
          <w:sz w:val="22"/>
          <w:szCs w:val="22"/>
        </w:rPr>
        <w:t xml:space="preserve"> (or immediately overlapping with the peak of) the statin intervention. The statin creates the signal; the checkpoint inhibitor amplifies it.</w:t>
      </w:r>
    </w:p>
    <w:p>
      <w:pPr>
        <w:spacing w:after="140" w:line="300"/>
        <w:ind w:firstLine="360"/>
        <w:jc w:val="both"/>
      </w:pPr>
      <w:r>
        <w:rPr>
          <w:rFonts w:ascii="Palatino Linotype" w:cs="Palatino Linotype" w:eastAsia="Palatino Linotype" w:hAnsi="Palatino Linotype"/>
          <w:color w:val="1A1A2E"/>
          <w:sz w:val="22"/>
          <w:szCs w:val="22"/>
        </w:rPr>
        <w:t xml:space="preserve">Retrospective support: Liao et al. (</w:t>
      </w:r>
      <w:r>
        <w:rPr>
          <w:rFonts w:ascii="Palatino Linotype" w:cs="Palatino Linotype" w:eastAsia="Palatino Linotype" w:hAnsi="Palatino Linotype"/>
          <w:i/>
          <w:iCs/>
          <w:color w:val="1A1A2E"/>
          <w:sz w:val="22"/>
          <w:szCs w:val="22"/>
        </w:rPr>
        <w:t xml:space="preserve">JCO Oncology Practice</w:t>
      </w:r>
      <w:r>
        <w:rPr>
          <w:rFonts w:ascii="Palatino Linotype" w:cs="Palatino Linotype" w:eastAsia="Palatino Linotype" w:hAnsi="Palatino Linotype"/>
          <w:color w:val="1A1A2E"/>
          <w:sz w:val="22"/>
          <w:szCs w:val="22"/>
        </w:rPr>
        <w:t xml:space="preserve">, 2025) meta-analysis (n = 46,154) found concomitant statin + ICI associated with </w:t>
      </w:r>
      <w:r>
        <w:rPr>
          <w:rFonts w:ascii="Palatino Linotype" w:cs="Palatino Linotype" w:eastAsia="Palatino Linotype" w:hAnsi="Palatino Linotype"/>
          <w:b/>
          <w:bCs/>
          <w:color w:val="1A1A2E"/>
          <w:sz w:val="22"/>
          <w:szCs w:val="22"/>
        </w:rPr>
        <w:t xml:space="preserve">20% reduction in mortality and disease progression</w:t>
      </w:r>
      <w:r>
        <w:rPr>
          <w:rFonts w:ascii="Palatino Linotype" w:cs="Palatino Linotype" w:eastAsia="Palatino Linotype" w:hAnsi="Palatino Linotype"/>
          <w:color w:val="1A1A2E"/>
          <w:sz w:val="22"/>
          <w:szCs w:val="22"/>
        </w:rPr>
        <w:t xml:space="preserve">. Stokes et al. (</w:t>
      </w:r>
      <w:r>
        <w:rPr>
          <w:rFonts w:ascii="Palatino Linotype" w:cs="Palatino Linotype" w:eastAsia="Palatino Linotype" w:hAnsi="Palatino Linotype"/>
          <w:i/>
          <w:iCs/>
          <w:color w:val="1A1A2E"/>
          <w:sz w:val="22"/>
          <w:szCs w:val="22"/>
        </w:rPr>
        <w:t xml:space="preserve">J ImmunoTherapy of Cancer</w:t>
      </w:r>
      <w:r>
        <w:rPr>
          <w:rFonts w:ascii="Palatino Linotype" w:cs="Palatino Linotype" w:eastAsia="Palatino Linotype" w:hAnsi="Palatino Linotype"/>
          <w:color w:val="1A1A2E"/>
          <w:sz w:val="22"/>
          <w:szCs w:val="22"/>
        </w:rPr>
        <w:t xml:space="preserve">, 2023) showed all statins enhanced PD-1 blockade in HNSCC via T-cell activation and M2→M1 macrophage repolarization. Current botensilimab + balstilimab MSS CRC data: </w:t>
      </w:r>
      <w:r>
        <w:rPr>
          <w:rFonts w:ascii="Palatino Linotype" w:cs="Palatino Linotype" w:eastAsia="Palatino Linotype" w:hAnsi="Palatino Linotype"/>
          <w:b/>
          <w:bCs/>
          <w:color w:val="1A1A2E"/>
          <w:sz w:val="22"/>
          <w:szCs w:val="22"/>
        </w:rPr>
        <w:t xml:space="preserve">17–20% ORR</w:t>
      </w:r>
      <w:r>
        <w:rPr>
          <w:rFonts w:ascii="Palatino Linotype" w:cs="Palatino Linotype" w:eastAsia="Palatino Linotype" w:hAnsi="Palatino Linotype"/>
          <w:color w:val="1A1A2E"/>
          <w:sz w:val="22"/>
          <w:szCs w:val="22"/>
        </w:rPr>
        <w:t xml:space="preserve"> — modest but the only nonzero ICI signal in this population.</w:t>
      </w:r>
    </w:p>
    <w:p>
      <w:pPr>
        <w:pStyle w:val="Heading2"/>
        <w:spacing w:before="220" w:after="120"/>
      </w:pPr>
      <w:r>
        <w:rPr>
          <w:rFonts w:ascii="Calibri" w:cs="Calibri" w:eastAsia="Calibri" w:hAnsi="Calibri"/>
          <w:color w:val="2C3E6B"/>
        </w:rPr>
        <w:t xml:space="preserve">1.5 Section 1 Falsification Triggers</w:t>
      </w:r>
    </w:p>
    <w:p>
      <w:pPr>
        <w:spacing w:after="140" w:line="300"/>
        <w:jc w:val="both"/>
      </w:pPr>
      <w:r>
        <w:rPr>
          <w:rFonts w:ascii="Palatino Linotype" w:cs="Palatino Linotype" w:eastAsia="Palatino Linotype" w:hAnsi="Palatino Linotype"/>
          <w:b/>
          <w:bCs/>
          <w:color w:val="C62828"/>
          <w:sz w:val="22"/>
          <w:szCs w:val="22"/>
        </w:rPr>
        <w:t xml:space="preserve">Trigger 1 — Statin/VDAC1 Dependency: </w:t>
      </w:r>
      <w:r>
        <w:rPr>
          <w:rFonts w:ascii="Palatino Linotype" w:cs="Palatino Linotype" w:eastAsia="Palatino Linotype" w:hAnsi="Palatino Linotype"/>
          <w:color w:val="1A1A2E"/>
          <w:sz w:val="22"/>
          <w:szCs w:val="22"/>
        </w:rPr>
        <w:t xml:space="preserve">If lovastatin fails to induce cytosolic mtDNA release in VDAC1-knockout HCT116 cells, the hypothesis holds (statin requires the VDAC1 gate). If lovastatin </w:t>
      </w:r>
      <w:r>
        <w:rPr>
          <w:rFonts w:ascii="Palatino Linotype" w:cs="Palatino Linotype" w:eastAsia="Palatino Linotype" w:hAnsi="Palatino Linotype"/>
          <w:i/>
          <w:iCs/>
          <w:color w:val="1A1A2E"/>
          <w:sz w:val="22"/>
          <w:szCs w:val="22"/>
        </w:rPr>
        <w:t xml:space="preserve">still</w:t>
      </w:r>
      <w:r>
        <w:rPr>
          <w:rFonts w:ascii="Palatino Linotype" w:cs="Palatino Linotype" w:eastAsia="Palatino Linotype" w:hAnsi="Palatino Linotype"/>
          <w:color w:val="1A1A2E"/>
          <w:sz w:val="22"/>
          <w:szCs w:val="22"/>
        </w:rPr>
        <w:t xml:space="preserve"> releases mtDNA in VDAC1-KO cells, the statin is using a different door (mPTP or BAX/BAK), and the GJS lipid framework is bypassed. Framework survives but the mechanism is not VDAC1-specific.</w:t>
      </w:r>
    </w:p>
    <w:p>
      <w:pPr>
        <w:spacing w:after="140" w:line="300"/>
        <w:jc w:val="both"/>
      </w:pPr>
      <w:r>
        <w:rPr>
          <w:rFonts w:ascii="Palatino Linotype" w:cs="Palatino Linotype" w:eastAsia="Palatino Linotype" w:hAnsi="Palatino Linotype"/>
          <w:b/>
          <w:bCs/>
          <w:color w:val="C62828"/>
          <w:sz w:val="22"/>
          <w:szCs w:val="22"/>
        </w:rPr>
        <w:t xml:space="preserve">Trigger 2 — The TREX1 Trap: </w:t>
      </w:r>
      <w:r>
        <w:rPr>
          <w:rFonts w:ascii="Palatino Linotype" w:cs="Palatino Linotype" w:eastAsia="Palatino Linotype" w:hAnsi="Palatino Linotype"/>
          <w:color w:val="1A1A2E"/>
          <w:sz w:val="22"/>
          <w:szCs w:val="22"/>
        </w:rPr>
        <w:t xml:space="preserve">If lovastatin induces robust cytosolic mtDNA in MSS CRC cells but fails to produce an IFN-β spike, the cell is likely deploying TREX1 to degrade the signal before cGAS can bind it. This mandates the addition of a TREX1 inhibitor to the stack. This is the S2 clean room prediction manifesting </w:t>
      </w:r>
      <w:r>
        <w:rPr>
          <w:rFonts w:ascii="Palatino Linotype" w:cs="Palatino Linotype" w:eastAsia="Palatino Linotype" w:hAnsi="Palatino Linotype"/>
          <w:i/>
          <w:iCs/>
          <w:color w:val="1A1A2E"/>
          <w:sz w:val="22"/>
          <w:szCs w:val="22"/>
        </w:rPr>
        <w:t xml:space="preserve">in vitro</w:t>
      </w:r>
      <w:r>
        <w:rPr>
          <w:rFonts w:ascii="Palatino Linotype" w:cs="Palatino Linotype" w:eastAsia="Palatino Linotype" w:hAnsi="Palatino Linotype"/>
          <w:color w:val="1A1A2E"/>
          <w:sz w:val="22"/>
          <w:szCs w:val="22"/>
        </w:rPr>
        <w:t xml:space="preserve"> — the belt-and-suspenders evasion pattern now with a specific molecular identity.</w:t>
      </w:r>
    </w:p>
    <w:p>
      <w:pPr>
        <w:spacing w:after="140" w:line="300"/>
        <w:jc w:val="both"/>
      </w:pPr>
      <w:r>
        <w:rPr>
          <w:rFonts w:ascii="Palatino Linotype" w:cs="Palatino Linotype" w:eastAsia="Palatino Linotype" w:hAnsi="Palatino Linotype"/>
          <w:b/>
          <w:bCs/>
          <w:color w:val="C62828"/>
          <w:sz w:val="22"/>
          <w:szCs w:val="22"/>
        </w:rPr>
        <w:t xml:space="preserve">Trigger 3 — Cholesterol Isolation Control: </w:t>
      </w:r>
      <w:r>
        <w:rPr>
          <w:rFonts w:ascii="Palatino Linotype" w:cs="Palatino Linotype" w:eastAsia="Palatino Linotype" w:hAnsi="Palatino Linotype"/>
          <w:color w:val="1A1A2E"/>
          <w:sz w:val="22"/>
          <w:szCs w:val="22"/>
        </w:rPr>
        <w:t xml:space="preserve">Add a methyl-β-cyclodextrin (MβCD) arm to Experiment 2. MβCD depletes cholesterol without HMG-CoA reductase inhibition. If MβCD recapitulates lovastatin’s mtDNA release effect, the lipid-annulus mechanism is isolated from statin pleiotropy. Add a CoQ10 rescue arm: if CoQ10 supplementation only partially blocks lovastatin’s effect, both the ROS and lipid pathways contribute. This separates Huang et al.’s oxidative stress mechanism from our cholesterol-VDAC1 extension.</w:t>
      </w:r>
    </w:p>
    <w:p>
      <w:pPr>
        <w:pStyle w:val="Heading1"/>
        <w:pageBreakBefore/>
        <w:spacing w:before="300" w:after="160"/>
      </w:pPr>
      <w:r>
        <w:rPr>
          <w:rFonts w:ascii="Calibri" w:cs="Calibri" w:eastAsia="Calibri" w:hAnsi="Calibri"/>
          <w:color w:val="2C3E6B"/>
        </w:rPr>
        <w:t xml:space="preserve">2. The TSPO Pivot and CBD Quarantine</w:t>
      </w:r>
    </w:p>
    <w:p>
      <w:pPr>
        <w:pStyle w:val="Heading2"/>
        <w:spacing w:before="220" w:after="120"/>
      </w:pPr>
      <w:r>
        <w:rPr>
          <w:rFonts w:ascii="Calibri" w:cs="Calibri" w:eastAsia="Calibri" w:hAnsi="Calibri"/>
          <w:color w:val="2C3E6B"/>
        </w:rPr>
        <w:t xml:space="preserve">2.1 TSPO Reframed: From Mitophagy Regulator to Fourth Lock</w:t>
      </w:r>
    </w:p>
    <w:p>
      <w:pPr>
        <w:spacing w:after="140" w:line="300"/>
        <w:jc w:val="both"/>
      </w:pPr>
      <w:r>
        <w:rPr>
          <w:rFonts w:ascii="Palatino Linotype" w:cs="Palatino Linotype" w:eastAsia="Palatino Linotype" w:hAnsi="Palatino Linotype"/>
          <w:color w:val="1A1A2E"/>
          <w:sz w:val="22"/>
          <w:szCs w:val="22"/>
        </w:rPr>
        <w:t xml:space="preserve">TSPO is not abandoned. It is </w:t>
      </w:r>
      <w:r>
        <w:rPr>
          <w:rFonts w:ascii="Palatino Linotype" w:cs="Palatino Linotype" w:eastAsia="Palatino Linotype" w:hAnsi="Palatino Linotype"/>
          <w:b/>
          <w:bCs/>
          <w:color w:val="1A1A2E"/>
          <w:sz w:val="22"/>
          <w:szCs w:val="22"/>
        </w:rPr>
        <w:t xml:space="preserve">reframed</w:t>
      </w:r>
      <w:r>
        <w:rPr>
          <w:rFonts w:ascii="Palatino Linotype" w:cs="Palatino Linotype" w:eastAsia="Palatino Linotype" w:hAnsi="Palatino Linotype"/>
          <w:color w:val="1A1A2E"/>
          <w:sz w:val="22"/>
          <w:szCs w:val="22"/>
        </w:rPr>
        <w:t xml:space="preserve">. The Gatliff et al. (</w:t>
      </w:r>
      <w:r>
        <w:rPr>
          <w:rFonts w:ascii="Palatino Linotype" w:cs="Palatino Linotype" w:eastAsia="Palatino Linotype" w:hAnsi="Palatino Linotype"/>
          <w:i/>
          <w:iCs/>
          <w:color w:val="1A1A2E"/>
          <w:sz w:val="22"/>
          <w:szCs w:val="22"/>
        </w:rPr>
        <w:t xml:space="preserve">Autophagy</w:t>
      </w:r>
      <w:r>
        <w:rPr>
          <w:rFonts w:ascii="Palatino Linotype" w:cs="Palatino Linotype" w:eastAsia="Palatino Linotype" w:hAnsi="Palatino Linotype"/>
          <w:color w:val="1A1A2E"/>
          <w:sz w:val="22"/>
          <w:szCs w:val="22"/>
        </w:rPr>
        <w:t xml:space="preserve">, 2014) finding that TSPO physically binds VDAC1 on the outer mitochondrial membrane remains valid. The critical parameter is the TSPO:VDAC1 expression ratio, which modulates ROS, PKA-mediated VDAC1 phosphorylation, and downstream mitochondrial signaling. What changes is the interpretation: TSPO’s relevance to the GJS framework is not as a mitophagy brake, but as a </w:t>
      </w:r>
      <w:r>
        <w:rPr>
          <w:rFonts w:ascii="Palatino Linotype" w:cs="Palatino Linotype" w:eastAsia="Palatino Linotype" w:hAnsi="Palatino Linotype"/>
          <w:b/>
          <w:bCs/>
          <w:color w:val="1A1A2E"/>
          <w:sz w:val="22"/>
          <w:szCs w:val="22"/>
        </w:rPr>
        <w:t xml:space="preserve">direct physical tether</w:t>
      </w:r>
      <w:r>
        <w:rPr>
          <w:rFonts w:ascii="Palatino Linotype" w:cs="Palatino Linotype" w:eastAsia="Palatino Linotype" w:hAnsi="Palatino Linotype"/>
          <w:color w:val="1A1A2E"/>
          <w:sz w:val="22"/>
          <w:szCs w:val="22"/>
        </w:rPr>
        <w:t xml:space="preserve"> that stabilizes VDAC1 in its monomeric (gate-jammed) conformation.</w:t>
      </w:r>
    </w:p>
    <w:p>
      <w:pPr>
        <w:spacing w:after="140" w:line="300"/>
        <w:ind w:firstLine="360"/>
        <w:jc w:val="both"/>
      </w:pPr>
      <w:r>
        <w:rPr>
          <w:rFonts w:ascii="Palatino Linotype" w:cs="Palatino Linotype" w:eastAsia="Palatino Linotype" w:hAnsi="Palatino Linotype"/>
          <w:color w:val="1A1A2E"/>
          <w:sz w:val="22"/>
          <w:szCs w:val="22"/>
        </w:rPr>
        <w:t xml:space="preserve">If this reframing is correct, TSPO-VDAC1 binding constitutes a </w:t>
      </w:r>
      <w:r>
        <w:rPr>
          <w:rFonts w:ascii="Palatino Linotype" w:cs="Palatino Linotype" w:eastAsia="Palatino Linotype" w:hAnsi="Palatino Linotype"/>
          <w:b/>
          <w:bCs/>
          <w:color w:val="1A1A2E"/>
          <w:sz w:val="22"/>
          <w:szCs w:val="22"/>
        </w:rPr>
        <w:t xml:space="preserve">fourth lock</w:t>
      </w:r>
      <w:r>
        <w:rPr>
          <w:rFonts w:ascii="Palatino Linotype" w:cs="Palatino Linotype" w:eastAsia="Palatino Linotype" w:hAnsi="Palatino Linotype"/>
          <w:color w:val="1A1A2E"/>
          <w:sz w:val="22"/>
          <w:szCs w:val="22"/>
        </w:rPr>
        <w:t xml:space="preserve"> on the gate, operating independently of cholesterol, HK-II, and Bcl-xL. The expanded cofactor equation becomes:</w:t>
      </w:r>
    </w:p>
    <w:p>
      <w:pPr>
        <w:shd w:fill="F8F9FA" w:val="clear"/>
        <w:spacing w:before="120" w:after="120" w:line="300"/>
        <w:ind w:left="720" w:right="720"/>
        <w:jc w:val="center"/>
      </w:pPr>
      <w:r>
        <w:rPr>
          <w:rFonts w:ascii="Consolas" w:cs="Consolas" w:eastAsia="Consolas" w:hAnsi="Consolas"/>
          <w:b/>
          <w:bCs/>
          <w:color w:val="2C3E6B"/>
          <w:sz w:val="21"/>
          <w:szCs w:val="21"/>
        </w:rPr>
        <w:t xml:space="preserve">Threshold = K / [(1 - f_HKII)(1 - f_BclxL)(1 - f_TSPO)] × [Chol]/[CL]</w:t>
      </w:r>
    </w:p>
    <w:p>
      <w:pPr>
        <w:spacing w:after="140" w:line="300"/>
        <w:ind w:firstLine="360"/>
        <w:jc w:val="both"/>
      </w:pPr>
      <w:r>
        <w:rPr>
          <w:rFonts w:ascii="Palatino Linotype" w:cs="Palatino Linotype" w:eastAsia="Palatino Linotype" w:hAnsi="Palatino Linotype"/>
          <w:b/>
          <w:bCs/>
          <w:color w:val="1A1A2E"/>
          <w:sz w:val="22"/>
          <w:szCs w:val="22"/>
        </w:rPr>
        <w:t xml:space="preserve">The evidence base is asymmetric.</w:t>
      </w:r>
      <w:r>
        <w:rPr>
          <w:rFonts w:ascii="Palatino Linotype" w:cs="Palatino Linotype" w:eastAsia="Palatino Linotype" w:hAnsi="Palatino Linotype"/>
          <w:color w:val="1A1A2E"/>
          <w:sz w:val="22"/>
          <w:szCs w:val="22"/>
        </w:rPr>
        <w:t xml:space="preserve"> Strong support exists for TSPO overexpression as a prognostic marker (28% of CRC cases, Stage III survival 56.2 vs 86.8 months, p = 0.03; Maaser et al., </w:t>
      </w:r>
      <w:r>
        <w:rPr>
          <w:rFonts w:ascii="Palatino Linotype" w:cs="Palatino Linotype" w:eastAsia="Palatino Linotype" w:hAnsi="Palatino Linotype"/>
          <w:i/>
          <w:iCs/>
          <w:color w:val="1A1A2E"/>
          <w:sz w:val="22"/>
          <w:szCs w:val="22"/>
        </w:rPr>
        <w:t xml:space="preserve">Clinical Cancer Research</w:t>
      </w:r>
      <w:r>
        <w:rPr>
          <w:rFonts w:ascii="Palatino Linotype" w:cs="Palatino Linotype" w:eastAsia="Palatino Linotype" w:hAnsi="Palatino Linotype"/>
          <w:color w:val="1A1A2E"/>
          <w:sz w:val="22"/>
          <w:szCs w:val="22"/>
        </w:rPr>
        <w:t xml:space="preserve">, 2002/2005). TSPO knockout mice are viable with normal lifespan (Banati et al., </w:t>
      </w:r>
      <w:r>
        <w:rPr>
          <w:rFonts w:ascii="Palatino Linotype" w:cs="Palatino Linotype" w:eastAsia="Palatino Linotype" w:hAnsi="Palatino Linotype"/>
          <w:i/>
          <w:iCs/>
          <w:color w:val="1A1A2E"/>
          <w:sz w:val="22"/>
          <w:szCs w:val="22"/>
        </w:rPr>
        <w:t xml:space="preserve">Nature Communications</w:t>
      </w:r>
      <w:r>
        <w:rPr>
          <w:rFonts w:ascii="Palatino Linotype" w:cs="Palatino Linotype" w:eastAsia="Palatino Linotype" w:hAnsi="Palatino Linotype"/>
          <w:color w:val="1A1A2E"/>
          <w:sz w:val="22"/>
          <w:szCs w:val="22"/>
        </w:rPr>
        <w:t xml:space="preserve">, 2014). PK11195 + anti-PD-1 produces synergistic anti-tumor effects in HCC (Zhang et al., </w:t>
      </w:r>
      <w:r>
        <w:rPr>
          <w:rFonts w:ascii="Palatino Linotype" w:cs="Palatino Linotype" w:eastAsia="Palatino Linotype" w:hAnsi="Palatino Linotype"/>
          <w:i/>
          <w:iCs/>
          <w:color w:val="1A1A2E"/>
          <w:sz w:val="22"/>
          <w:szCs w:val="22"/>
        </w:rPr>
        <w:t xml:space="preserve">Advanced Science</w:t>
      </w:r>
      <w:r>
        <w:rPr>
          <w:rFonts w:ascii="Palatino Linotype" w:cs="Palatino Linotype" w:eastAsia="Palatino Linotype" w:hAnsi="Palatino Linotype"/>
          <w:color w:val="1A1A2E"/>
          <w:sz w:val="22"/>
          <w:szCs w:val="22"/>
        </w:rPr>
        <w:t xml:space="preserve">, 2023). However, </w:t>
      </w:r>
      <w:r>
        <w:rPr>
          <w:rFonts w:ascii="Palatino Linotype" w:cs="Palatino Linotype" w:eastAsia="Palatino Linotype" w:hAnsi="Palatino Linotype"/>
          <w:b/>
          <w:bCs/>
          <w:color w:val="C62828"/>
          <w:sz w:val="22"/>
          <w:szCs w:val="22"/>
        </w:rPr>
        <w:t xml:space="preserve">zero direct published evidence</w:t>
      </w:r>
      <w:r>
        <w:rPr>
          <w:rFonts w:ascii="Palatino Linotype" w:cs="Palatino Linotype" w:eastAsia="Palatino Linotype" w:hAnsi="Palatino Linotype"/>
          <w:color w:val="1A1A2E"/>
          <w:sz w:val="22"/>
          <w:szCs w:val="22"/>
        </w:rPr>
        <w:t xml:space="preserve"> demonstrates that TSPO-VDAC1 complex disruption promotes VDAC1 oligomerization-mediated mtDNA release. This is the single most important unknown in the expanded framework.</w:t>
      </w:r>
    </w:p>
    <w:p>
      <w:pPr>
        <w:pStyle w:val="Heading2"/>
        <w:spacing w:before="220" w:after="120"/>
      </w:pPr>
      <w:r>
        <w:rPr>
          <w:rFonts w:ascii="Calibri" w:cs="Calibri" w:eastAsia="Calibri" w:hAnsi="Calibri"/>
          <w:color w:val="2C3E6B"/>
        </w:rPr>
        <w:t xml:space="preserve">2.2 The TSPO Opportunity: Synergy with Lovastatin</w:t>
      </w:r>
    </w:p>
    <w:p>
      <w:pPr>
        <w:spacing w:after="140" w:line="300"/>
        <w:jc w:val="both"/>
      </w:pPr>
      <w:r>
        <w:rPr>
          <w:rFonts w:ascii="Palatino Linotype" w:cs="Palatino Linotype" w:eastAsia="Palatino Linotype" w:hAnsi="Palatino Linotype"/>
          <w:color w:val="1A1A2E"/>
          <w:sz w:val="22"/>
          <w:szCs w:val="22"/>
        </w:rPr>
        <w:t xml:space="preserve">If Experiment 1 (Section 4) confirms TSPO as a physical tether, a compelling combination emerges: </w:t>
      </w:r>
      <w:r>
        <w:rPr>
          <w:rFonts w:ascii="Palatino Linotype" w:cs="Palatino Linotype" w:eastAsia="Palatino Linotype" w:hAnsi="Palatino Linotype"/>
          <w:b/>
          <w:bCs/>
          <w:color w:val="1A1A2E"/>
          <w:sz w:val="22"/>
          <w:szCs w:val="22"/>
        </w:rPr>
        <w:t xml:space="preserve">lovastatin strips the cholesterol lock while a TSPO ligand releases the protein tether simultaneously</w:t>
      </w:r>
      <w:r>
        <w:rPr>
          <w:rFonts w:ascii="Palatino Linotype" w:cs="Palatino Linotype" w:eastAsia="Palatino Linotype" w:hAnsi="Palatino Linotype"/>
          <w:color w:val="1A1A2E"/>
          <w:sz w:val="22"/>
          <w:szCs w:val="22"/>
        </w:rPr>
        <w:t xml:space="preserve">. The multiplicative structure of the cofactor equation predicts that hitting two locks at 50% each produces a greater threshold drop than hitting one lock at 100%. This is the same supra-additive prediction the original GJS paper made for 2-DG + ABT-737 (predicted CI &lt; 0.8).</w:t>
      </w:r>
    </w:p>
    <w:p>
      <w:pPr>
        <w:spacing w:after="140" w:line="300"/>
        <w:ind w:firstLine="360"/>
        <w:jc w:val="both"/>
      </w:pPr>
      <w:r>
        <w:rPr>
          <w:rFonts w:ascii="Palatino Linotype" w:cs="Palatino Linotype" w:eastAsia="Palatino Linotype" w:hAnsi="Palatino Linotype"/>
          <w:color w:val="1A1A2E"/>
          <w:sz w:val="22"/>
          <w:szCs w:val="22"/>
        </w:rPr>
        <w:t xml:space="preserve">Practical implication: if Experiment 1 is positive, a low-dose PK11195 + lovastatin arm can be added to Experiment 2 as a quick translational win. The safety data for both drugs is extensive (PK11195 has decades of PET imaging use; lovastatin has decades of cardiovascular use). This combination would be among the cheapest, most accessible gate-opening interventions testable.</w:t>
      </w:r>
    </w:p>
    <w:p>
      <w:pPr>
        <w:pStyle w:val="Heading2"/>
        <w:spacing w:before="220" w:after="120"/>
      </w:pPr>
      <w:r>
        <w:rPr>
          <w:rFonts w:ascii="Calibri" w:cs="Calibri" w:eastAsia="Calibri" w:hAnsi="Calibri"/>
          <w:color w:val="2C3E6B"/>
        </w:rPr>
        <w:t xml:space="preserve">2.3 TSPO Cautions</w:t>
      </w:r>
    </w:p>
    <w:p>
      <w:pPr>
        <w:spacing w:after="140" w:line="300"/>
        <w:jc w:val="both"/>
      </w:pPr>
      <w:r>
        <w:rPr>
          <w:rFonts w:ascii="Palatino Linotype" w:cs="Palatino Linotype" w:eastAsia="Palatino Linotype" w:hAnsi="Palatino Linotype"/>
          <w:b/>
          <w:bCs/>
          <w:color w:val="1A1A2E"/>
          <w:sz w:val="22"/>
          <w:szCs w:val="22"/>
        </w:rPr>
        <w:t xml:space="preserve">Off-target activity: </w:t>
      </w:r>
      <w:r>
        <w:rPr>
          <w:rFonts w:ascii="Palatino Linotype" w:cs="Palatino Linotype" w:eastAsia="Palatino Linotype" w:hAnsi="Palatino Linotype"/>
          <w:color w:val="1A1A2E"/>
          <w:sz w:val="22"/>
          <w:szCs w:val="22"/>
        </w:rPr>
        <w:t xml:space="preserve">Tu et al. (</w:t>
      </w:r>
      <w:r>
        <w:rPr>
          <w:rFonts w:ascii="Palatino Linotype" w:cs="Palatino Linotype" w:eastAsia="Palatino Linotype" w:hAnsi="Palatino Linotype"/>
          <w:i/>
          <w:iCs/>
          <w:color w:val="1A1A2E"/>
          <w:sz w:val="22"/>
          <w:szCs w:val="22"/>
        </w:rPr>
        <w:t xml:space="preserve">Endocrinology</w:t>
      </w:r>
      <w:r>
        <w:rPr>
          <w:rFonts w:ascii="Palatino Linotype" w:cs="Palatino Linotype" w:eastAsia="Palatino Linotype" w:hAnsi="Palatino Linotype"/>
          <w:color w:val="1A1A2E"/>
          <w:sz w:val="22"/>
          <w:szCs w:val="22"/>
        </w:rPr>
        <w:t xml:space="preserve">, 2015) showed PK11195 effects persist in TSPO-knockout cells, hitting F1F0-ATP synthase and ABC transporters. No correlation between TSPO binding affinity and </w:t>
      </w:r>
      <w:r>
        <w:rPr>
          <w:rFonts w:ascii="Palatino Linotype" w:cs="Palatino Linotype" w:eastAsia="Palatino Linotype" w:hAnsi="Palatino Linotype"/>
          <w:i/>
          <w:iCs/>
          <w:color w:val="1A1A2E"/>
          <w:sz w:val="22"/>
          <w:szCs w:val="22"/>
        </w:rPr>
        <w:t xml:space="preserve">in vitro</w:t>
      </w:r>
      <w:r>
        <w:rPr>
          <w:rFonts w:ascii="Palatino Linotype" w:cs="Palatino Linotype" w:eastAsia="Palatino Linotype" w:hAnsi="Palatino Linotype"/>
          <w:color w:val="1A1A2E"/>
          <w:sz w:val="22"/>
          <w:szCs w:val="22"/>
        </w:rPr>
        <w:t xml:space="preserve"> efficacy has been established for any TSPO ligand. PK11195 exhibits biphasic dose-response: anti-apoptotic at nanomolar, pro-apoptotic at micromolar concentrations.</w:t>
      </w:r>
    </w:p>
    <w:p>
      <w:pPr>
        <w:spacing w:after="140" w:line="300"/>
        <w:ind w:firstLine="360"/>
        <w:jc w:val="both"/>
      </w:pPr>
      <w:r>
        <w:rPr>
          <w:rFonts w:ascii="Palatino Linotype" w:cs="Palatino Linotype" w:eastAsia="Palatino Linotype" w:hAnsi="Palatino Linotype"/>
          <w:b/>
          <w:bCs/>
          <w:color w:val="1A1A2E"/>
          <w:sz w:val="22"/>
          <w:szCs w:val="22"/>
        </w:rPr>
        <w:t xml:space="preserve">Context-dependent effects: </w:t>
      </w:r>
      <w:r>
        <w:rPr>
          <w:rFonts w:ascii="Palatino Linotype" w:cs="Palatino Linotype" w:eastAsia="Palatino Linotype" w:hAnsi="Palatino Linotype"/>
          <w:color w:val="1A1A2E"/>
          <w:sz w:val="22"/>
          <w:szCs w:val="22"/>
        </w:rPr>
        <w:t xml:space="preserve">TSPO knockdown paradoxically promotes tumor growth in glioblastoma (Fu et al., </w:t>
      </w:r>
      <w:r>
        <w:rPr>
          <w:rFonts w:ascii="Palatino Linotype" w:cs="Palatino Linotype" w:eastAsia="Palatino Linotype" w:hAnsi="Palatino Linotype"/>
          <w:i/>
          <w:iCs/>
          <w:color w:val="1A1A2E"/>
          <w:sz w:val="22"/>
          <w:szCs w:val="22"/>
        </w:rPr>
        <w:t xml:space="preserve">Neuro-Oncology</w:t>
      </w:r>
      <w:r>
        <w:rPr>
          <w:rFonts w:ascii="Palatino Linotype" w:cs="Palatino Linotype" w:eastAsia="Palatino Linotype" w:hAnsi="Palatino Linotype"/>
          <w:color w:val="1A1A2E"/>
          <w:sz w:val="22"/>
          <w:szCs w:val="22"/>
        </w:rPr>
        <w:t xml:space="preserve">, 2020) via increased HIF-1α, VEGF-A, and angiogenesis. The rs6971 polymorphism (Ala147Thr) creates three binding phenotypes, with ~9% of the population showing 50-fold reduced ligand affinity.</w:t>
      </w:r>
    </w:p>
    <w:p>
      <w:pPr>
        <w:spacing w:after="140" w:line="300"/>
        <w:ind w:firstLine="360"/>
        <w:jc w:val="both"/>
      </w:pPr>
      <w:r>
        <w:rPr>
          <w:rFonts w:ascii="Palatino Linotype" w:cs="Palatino Linotype" w:eastAsia="Palatino Linotype" w:hAnsi="Palatino Linotype"/>
          <w:b/>
          <w:bCs/>
          <w:color w:val="1A1A2E"/>
          <w:sz w:val="22"/>
          <w:szCs w:val="22"/>
        </w:rPr>
        <w:t xml:space="preserve">Bottom line: </w:t>
      </w:r>
      <w:r>
        <w:rPr>
          <w:rFonts w:ascii="Palatino Linotype" w:cs="Palatino Linotype" w:eastAsia="Palatino Linotype" w:hAnsi="Palatino Linotype"/>
          <w:color w:val="1A1A2E"/>
          <w:sz w:val="22"/>
          <w:szCs w:val="22"/>
        </w:rPr>
        <w:t xml:space="preserve">TSPO is exploratory, not load-bearing. The statin-botensilimab core stands regardless of TSPO outcomes. TSPO is a potential force multiplier, not a structural dependency.</w:t>
      </w:r>
    </w:p>
    <w:p>
      <w:pPr>
        <w:pStyle w:val="Heading2"/>
        <w:pageBreakBefore/>
        <w:spacing w:before="220" w:after="120"/>
      </w:pPr>
      <w:r>
        <w:rPr>
          <w:rFonts w:ascii="Calibri" w:cs="Calibri" w:eastAsia="Calibri" w:hAnsi="Calibri"/>
          <w:color w:val="2C3E6B"/>
        </w:rPr>
        <w:t xml:space="preserve">2.4 CBD Quarantine Protocol</w:t>
      </w:r>
    </w:p>
    <w:p>
      <w:pPr>
        <w:spacing w:after="140" w:line="300"/>
        <w:jc w:val="both"/>
      </w:pPr>
      <w:r>
        <w:rPr>
          <w:rFonts w:ascii="Palatino Linotype" w:cs="Palatino Linotype" w:eastAsia="Palatino Linotype" w:hAnsi="Palatino Linotype"/>
          <w:b/>
          <w:bCs/>
          <w:color w:val="C62828"/>
          <w:sz w:val="22"/>
          <w:szCs w:val="22"/>
        </w:rPr>
        <w:t xml:space="preserve">CBD is formally gated out of the immune-activation window.</w:t>
      </w:r>
      <w:r>
        <w:rPr>
          <w:rFonts w:ascii="Palatino Linotype" w:cs="Palatino Linotype" w:eastAsia="Palatino Linotype" w:hAnsi="Palatino Linotype"/>
          <w:color w:val="1A1A2E"/>
          <w:sz w:val="22"/>
          <w:szCs w:val="22"/>
        </w:rPr>
        <w:t xml:space="preserve"> Three independent lines of evidence mandate this quarantine:</w:t>
      </w:r>
    </w:p>
    <w:p>
      <w:pPr>
        <w:spacing w:before="180" w:after="100"/>
      </w:pPr>
      <w:r>
        <w:rPr>
          <w:rFonts w:ascii="Calibri" w:cs="Calibri" w:eastAsia="Calibri" w:hAnsi="Calibri"/>
          <w:b/>
          <w:bCs/>
          <w:color w:val="2C3E6B"/>
          <w:sz w:val="22"/>
          <w:szCs w:val="22"/>
        </w:rPr>
        <w:t xml:space="preserve">Quarantine Basis 1: Direct T-Cell Suppression</w:t>
      </w:r>
    </w:p>
    <w:p>
      <w:pPr>
        <w:spacing w:after="140" w:line="300"/>
        <w:ind w:firstLine="360"/>
        <w:jc w:val="both"/>
      </w:pPr>
      <w:r>
        <w:rPr>
          <w:rFonts w:ascii="Palatino Linotype" w:cs="Palatino Linotype" w:eastAsia="Palatino Linotype" w:hAnsi="Palatino Linotype"/>
          <w:color w:val="1A1A2E"/>
          <w:sz w:val="22"/>
          <w:szCs w:val="22"/>
        </w:rPr>
        <w:t xml:space="preserve">CBD suppresses IL-2, IFN-γ, T-cell proliferation, and JAK/STAT signaling at concentrations (≥10 μM) overlapping those required for VDAC1-mediated apoptotic effects. Co-administering CBD during the immune-activation window (when botensilimab is amplifying cGAS-STING-primed T-cell responses) creates an internal pharmacological conflict: the right hand builds the army while the left hand disarms it.</w:t>
      </w:r>
    </w:p>
    <w:p>
      <w:pPr>
        <w:spacing w:before="180" w:after="100"/>
      </w:pPr>
      <w:r>
        <w:rPr>
          <w:rFonts w:ascii="Calibri" w:cs="Calibri" w:eastAsia="Calibri" w:hAnsi="Calibri"/>
          <w:b/>
          <w:bCs/>
          <w:color w:val="2C3E6B"/>
          <w:sz w:val="22"/>
          <w:szCs w:val="22"/>
        </w:rPr>
        <w:t xml:space="preserve">Quarantine Basis 2: Clinical Signal</w:t>
      </w:r>
    </w:p>
    <w:p>
      <w:pPr>
        <w:spacing w:after="140" w:line="300"/>
        <w:ind w:firstLine="360"/>
        <w:jc w:val="both"/>
      </w:pPr>
      <w:r>
        <w:rPr>
          <w:rFonts w:ascii="Palatino Linotype" w:cs="Palatino Linotype" w:eastAsia="Palatino Linotype" w:hAnsi="Palatino Linotype"/>
          <w:color w:val="1A1A2E"/>
          <w:sz w:val="22"/>
          <w:szCs w:val="22"/>
        </w:rPr>
        <w:t xml:space="preserve">Bar-Sela et al. reported overall survival of </w:t>
      </w:r>
      <w:r>
        <w:rPr>
          <w:rFonts w:ascii="Palatino Linotype" w:cs="Palatino Linotype" w:eastAsia="Palatino Linotype" w:hAnsi="Palatino Linotype"/>
          <w:b/>
          <w:bCs/>
          <w:color w:val="C62828"/>
          <w:sz w:val="22"/>
          <w:szCs w:val="22"/>
        </w:rPr>
        <w:t xml:space="preserve">6.4 months</w:t>
      </w:r>
      <w:r>
        <w:rPr>
          <w:rFonts w:ascii="Palatino Linotype" w:cs="Palatino Linotype" w:eastAsia="Palatino Linotype" w:hAnsi="Palatino Linotype"/>
          <w:color w:val="1A1A2E"/>
          <w:sz w:val="22"/>
          <w:szCs w:val="22"/>
        </w:rPr>
        <w:t xml:space="preserve"> in cannabis users receiving immunotherapy vs. </w:t>
      </w:r>
      <w:r>
        <w:rPr>
          <w:rFonts w:ascii="Palatino Linotype" w:cs="Palatino Linotype" w:eastAsia="Palatino Linotype" w:hAnsi="Palatino Linotype"/>
          <w:b/>
          <w:bCs/>
          <w:color w:val="2E7D32"/>
          <w:sz w:val="22"/>
          <w:szCs w:val="22"/>
        </w:rPr>
        <w:t xml:space="preserve">28.5 months</w:t>
      </w:r>
      <w:r>
        <w:rPr>
          <w:rFonts w:ascii="Palatino Linotype" w:cs="Palatino Linotype" w:eastAsia="Palatino Linotype" w:hAnsi="Palatino Linotype"/>
          <w:color w:val="1A1A2E"/>
          <w:sz w:val="22"/>
          <w:szCs w:val="22"/>
        </w:rPr>
        <w:t xml:space="preserve"> in non-users. The CCTG pooled analysis found no significant difference, and confounders are real (sicker patients may self-select into cannabis use). However, the directional signal demands caution. The risk-reward calculation is unambiguous: exclude CBD from the immune window.</w:t>
      </w:r>
    </w:p>
    <w:p>
      <w:pPr>
        <w:spacing w:before="180" w:after="100"/>
      </w:pPr>
      <w:r>
        <w:rPr>
          <w:rFonts w:ascii="Calibri" w:cs="Calibri" w:eastAsia="Calibri" w:hAnsi="Calibri"/>
          <w:b/>
          <w:bCs/>
          <w:color w:val="2C3E6B"/>
          <w:sz w:val="22"/>
          <w:szCs w:val="22"/>
        </w:rPr>
        <w:t xml:space="preserve">Quarantine Basis 3: Mechanism Specificity Concern</w:t>
      </w:r>
    </w:p>
    <w:p>
      <w:pPr>
        <w:spacing w:after="140" w:line="300"/>
        <w:ind w:firstLine="360"/>
        <w:jc w:val="both"/>
      </w:pPr>
      <w:r>
        <w:rPr>
          <w:rFonts w:ascii="Palatino Linotype" w:cs="Palatino Linotype" w:eastAsia="Palatino Linotype" w:hAnsi="Palatino Linotype"/>
          <w:color w:val="1A1A2E"/>
          <w:sz w:val="22"/>
          <w:szCs w:val="22"/>
        </w:rPr>
        <w:t xml:space="preserve">Nelson et al. (</w:t>
      </w:r>
      <w:r>
        <w:rPr>
          <w:rFonts w:ascii="Palatino Linotype" w:cs="Palatino Linotype" w:eastAsia="Palatino Linotype" w:hAnsi="Palatino Linotype"/>
          <w:i/>
          <w:iCs/>
          <w:color w:val="1A1A2E"/>
          <w:sz w:val="22"/>
          <w:szCs w:val="22"/>
        </w:rPr>
        <w:t xml:space="preserve">Journal of Medicinal Chemistry</w:t>
      </w:r>
      <w:r>
        <w:rPr>
          <w:rFonts w:ascii="Palatino Linotype" w:cs="Palatino Linotype" w:eastAsia="Palatino Linotype" w:hAnsi="Palatino Linotype"/>
          <w:color w:val="1A1A2E"/>
          <w:sz w:val="22"/>
          <w:szCs w:val="22"/>
        </w:rPr>
        <w:t xml:space="preserve">, 2020) raised the possibility that CBD’s </w:t>
      </w:r>
      <w:r>
        <w:rPr>
          <w:rFonts w:ascii="Palatino Linotype" w:cs="Palatino Linotype" w:eastAsia="Palatino Linotype" w:hAnsi="Palatino Linotype"/>
          <w:i/>
          <w:iCs/>
          <w:color w:val="1A1A2E"/>
          <w:sz w:val="22"/>
          <w:szCs w:val="22"/>
        </w:rPr>
        <w:t xml:space="preserve">in vitro</w:t>
      </w:r>
      <w:r>
        <w:rPr>
          <w:rFonts w:ascii="Palatino Linotype" w:cs="Palatino Linotype" w:eastAsia="Palatino Linotype" w:hAnsi="Palatino Linotype"/>
          <w:color w:val="1A1A2E"/>
          <w:sz w:val="22"/>
          <w:szCs w:val="22"/>
        </w:rPr>
        <w:t xml:space="preserve"> effects at &gt;10 μM reflect colloidal aggregation (nonspecific membrane disruption) rather than targeted VDAC1 modulation. If true, CBD’s apoptotic effects are not specifically engaging the gate-opening mechanism the GJS describes.</w:t>
      </w:r>
    </w:p>
    <w:p>
      <w:pPr>
        <w:spacing w:before="180" w:after="100"/>
      </w:pPr>
      <w:r>
        <w:rPr>
          <w:rFonts w:ascii="Calibri" w:cs="Calibri" w:eastAsia="Calibri" w:hAnsi="Calibri"/>
          <w:b/>
          <w:bCs/>
          <w:color w:val="2C3E6B"/>
          <w:sz w:val="22"/>
          <w:szCs w:val="22"/>
        </w:rPr>
        <w:t xml:space="preserve">Quarantine Boundaries</w:t>
      </w:r>
    </w:p>
    <w:p>
      <w:pPr>
        <w:spacing w:after="140" w:line="300"/>
        <w:ind w:firstLine="360"/>
        <w:jc w:val="both"/>
      </w:pPr>
      <w:r>
        <w:rPr>
          <w:rFonts w:ascii="Palatino Linotype" w:cs="Palatino Linotype" w:eastAsia="Palatino Linotype" w:hAnsi="Palatino Linotype"/>
          <w:b/>
          <w:bCs/>
          <w:color w:val="1A1A2E"/>
          <w:sz w:val="22"/>
          <w:szCs w:val="22"/>
        </w:rPr>
        <w:t xml:space="preserve">CBD is not dead.</w:t>
      </w:r>
      <w:r>
        <w:rPr>
          <w:rFonts w:ascii="Palatino Linotype" w:cs="Palatino Linotype" w:eastAsia="Palatino Linotype" w:hAnsi="Palatino Linotype"/>
          <w:color w:val="1A1A2E"/>
          <w:sz w:val="22"/>
          <w:szCs w:val="22"/>
        </w:rPr>
        <w:t xml:space="preserve"> It may retain a role in three contexts: (1) Late-stage apoptotic trigger </w:t>
      </w:r>
      <w:r>
        <w:rPr>
          <w:rFonts w:ascii="Palatino Linotype" w:cs="Palatino Linotype" w:eastAsia="Palatino Linotype" w:hAnsi="Palatino Linotype"/>
          <w:i/>
          <w:iCs/>
          <w:color w:val="1A1A2E"/>
          <w:sz w:val="22"/>
          <w:szCs w:val="22"/>
        </w:rPr>
        <w:t xml:space="preserve">after</w:t>
      </w:r>
      <w:r>
        <w:rPr>
          <w:rFonts w:ascii="Palatino Linotype" w:cs="Palatino Linotype" w:eastAsia="Palatino Linotype" w:hAnsi="Palatino Linotype"/>
          <w:color w:val="1A1A2E"/>
          <w:sz w:val="22"/>
          <w:szCs w:val="22"/>
        </w:rPr>
        <w:t xml:space="preserve"> the immune cycle completes and T-cell memory is established. (2) Non-immunotherapy contexts where T-cell function is not the primary effector mechanism. (3) Palliative care where quality-of-life benefits outweigh immunological concerns. But within the gate-opening → immunotherapy stack, CBD is a contaminant. The quarantine holds until Experiment 3 (Section 4) provides bench data on CBD’s dose-dependent T-cell effects in CRC co-culture.</w:t>
      </w:r>
    </w:p>
    <w:p>
      <w:pPr>
        <w:pStyle w:val="Heading1"/>
        <w:pageBreakBefore/>
        <w:spacing w:before="300" w:after="160"/>
      </w:pPr>
      <w:r>
        <w:rPr>
          <w:rFonts w:ascii="Calibri" w:cs="Calibri" w:eastAsia="Calibri" w:hAnsi="Calibri"/>
          <w:color w:val="2C3E6B"/>
        </w:rPr>
        <w:t xml:space="preserve">3. Critical Experiments: Six Questions, Six Kill Conditions</w:t>
      </w:r>
    </w:p>
    <w:p>
      <w:pPr>
        <w:spacing w:before="200" w:after="80"/>
      </w:pPr>
      <w:r>
        <w:rPr>
          <w:rFonts w:ascii="Calibri" w:cs="Calibri" w:eastAsia="Calibri" w:hAnsi="Calibri"/>
          <w:b/>
          <w:bCs/>
          <w:color w:val="2C3E6B"/>
          <w:sz w:val="20"/>
          <w:szCs w:val="20"/>
        </w:rPr>
        <w:t xml:space="preserve">Table 2. </w:t>
      </w:r>
      <w:r>
        <w:rPr>
          <w:rFonts w:ascii="Palatino Linotype" w:cs="Palatino Linotype" w:eastAsia="Palatino Linotype" w:hAnsi="Palatino Linotype"/>
          <w:i/>
          <w:iCs/>
          <w:color w:val="546E7A"/>
          <w:sz w:val="20"/>
          <w:szCs w:val="20"/>
        </w:rPr>
        <w:t xml:space="preserve">Strategic experiment map — questions, falsification conditions,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00"/>
        <w:gridCol w:w="3260"/>
      </w:tblGrid>
      <w:tr>
        <w:trPr>
          <w:cantSplit/>
        </w:trPr>
        <w:tc>
          <w:tcPr>
            <w:tcW w:type="dxa" w:w="5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w:t>
            </w:r>
          </w:p>
        </w:tc>
        <w:tc>
          <w:tcPr>
            <w:tcW w:type="dxa" w:w="24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Core Question</w:t>
            </w:r>
          </w:p>
        </w:tc>
        <w:tc>
          <w:tcPr>
            <w:tcW w:type="dxa" w:w="32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Falsification Condition</w:t>
            </w:r>
          </w:p>
        </w:tc>
        <w:tc>
          <w:tcPr>
            <w:tcW w:type="dxa" w:w="326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Cell Line / Reagents</w:t>
            </w:r>
          </w:p>
        </w:tc>
      </w:tr>
      <w:tr>
        <w:trPr>
          <w:cantSplit/>
        </w:trP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1</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Does TSPO-VDAC1 binding suppress mtDNA release?</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C62828"/>
                <w:sz w:val="20"/>
                <w:szCs w:val="20"/>
              </w:rPr>
              <w:t xml:space="preserve">KILL: </w:t>
            </w:r>
            <w:r>
              <w:rPr>
                <w:rFonts w:ascii="Palatino Linotype" w:cs="Palatino Linotype" w:eastAsia="Palatino Linotype" w:hAnsi="Palatino Linotype"/>
                <w:color w:val="1A1A2E"/>
                <w:sz w:val="20"/>
                <w:szCs w:val="20"/>
              </w:rPr>
              <w:t xml:space="preserve">TSPO-KD CRC cells show equal or less cytosolic mtDNA than WT. TSPO tether theory is dead.</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HCT116 (MSS, TP53-wt)
TSPO shRNA/CRISPR-KO
PicoGreen mtDNA quant</w:t>
            </w:r>
          </w:p>
        </w:tc>
      </w:tr>
      <w:tr>
        <w:trPr>
          <w:cantSplit/>
        </w:trP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2a</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Does lovastatin open the VDAC1 gate in CRC cells?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C62828"/>
                <w:sz w:val="20"/>
                <w:szCs w:val="20"/>
              </w:rPr>
              <w:t xml:space="preserve">KILL: </w:t>
            </w:r>
            <w:r>
              <w:rPr>
                <w:rFonts w:ascii="Palatino Linotype" w:cs="Palatino Linotype" w:eastAsia="Palatino Linotype" w:hAnsi="Palatino Linotype"/>
                <w:color w:val="1A1A2E"/>
                <w:sz w:val="20"/>
                <w:szCs w:val="20"/>
              </w:rPr>
              <w:t xml:space="preserve">Lovastatin fails to increase cytosolic mtDNA, or cGAS-STING activation absent in VDAC1-KO cells.</w:t>
            </w:r>
          </w:p>
        </w:tc>
        <w:tc>
          <w:tcPr>
            <w:tcW w:type="dxa" w:w="32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HCT116 ± VDAC1-KO
Lovastatin 1–10 μM
qPCR cytosolic mtDNA
IFN-β ELISA</w:t>
            </w:r>
          </w:p>
        </w:tc>
      </w:tr>
      <w:tr>
        <w:trPr>
          <w:cantSplit/>
        </w:trP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2b</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Is the mechanism cholesterol-specific or statin-pleiotropic?</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2C3E6B"/>
                <w:sz w:val="20"/>
                <w:szCs w:val="20"/>
              </w:rPr>
              <w:t xml:space="preserve">ISOLATES: </w:t>
            </w:r>
            <w:r>
              <w:rPr>
                <w:rFonts w:ascii="Palatino Linotype" w:cs="Palatino Linotype" w:eastAsia="Palatino Linotype" w:hAnsi="Palatino Linotype"/>
                <w:color w:val="1A1A2E"/>
                <w:sz w:val="20"/>
                <w:szCs w:val="20"/>
              </w:rPr>
              <w:t xml:space="preserve">MβCD arm recapitulates lovastatin = lipid mechanism confirmed. CoQ10 rescue partial = both pathways contribute.</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HCT116
MβCD (cholesterol-only)
Lovastatin + CoQ10 rescue
Same readouts as 2a</w:t>
            </w:r>
          </w:p>
        </w:tc>
      </w:tr>
      <w:tr>
        <w:trPr>
          <w:cantSplit/>
        </w:trP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3</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Does CBD suppress T-cells at VDAC1-active doses?</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C62828"/>
                <w:sz w:val="20"/>
                <w:szCs w:val="20"/>
              </w:rPr>
              <w:t xml:space="preserve">KILL (quarantine): </w:t>
            </w:r>
            <w:r>
              <w:rPr>
                <w:rFonts w:ascii="Palatino Linotype" w:cs="Palatino Linotype" w:eastAsia="Palatino Linotype" w:hAnsi="Palatino Linotype"/>
                <w:color w:val="1A1A2E"/>
                <w:sz w:val="20"/>
                <w:szCs w:val="20"/>
              </w:rPr>
              <w:t xml:space="preserve">CBD ≥10 μM does NOT suppress IL-2/IFN-γ in co-culture. Rescues CBD from quarantine.</w:t>
            </w:r>
          </w:p>
        </w:tc>
        <w:tc>
          <w:tcPr>
            <w:tcW w:type="dxa" w:w="32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PBMCs + HCT116 co-culture
CBD 1–50 μM
Flow: CD8+ IFN-γ
IL-2 ELISA</w:t>
            </w:r>
          </w:p>
        </w:tc>
      </w:tr>
      <w:tr>
        <w:trPr>
          <w:cantSplit/>
        </w:trP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4</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Does statin pre-treatment enhance checkpoint response in MSS CRC?</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C62828"/>
                <w:sz w:val="20"/>
                <w:szCs w:val="20"/>
              </w:rPr>
              <w:t xml:space="preserve">KILL: </w:t>
            </w:r>
            <w:r>
              <w:rPr>
                <w:rFonts w:ascii="Palatino Linotype" w:cs="Palatino Linotype" w:eastAsia="Palatino Linotype" w:hAnsi="Palatino Linotype"/>
                <w:color w:val="1A1A2E"/>
                <w:sz w:val="20"/>
                <w:szCs w:val="20"/>
              </w:rPr>
              <w:t xml:space="preserve">Lovastatin × 7d + anti-CTLA-4 shows no improvement over anti-CTLA-4 alone.</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CT26 syngeneic (MSS CRC mouse)
Lovastatin pre-treatment
Anti-CTLA-4 mAb
Tumor volume + survival</w:t>
            </w:r>
          </w:p>
        </w:tc>
      </w:tr>
      <w:tr>
        <w:trPr>
          <w:cantSplit/>
        </w:trP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5</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Does TSPO ligand + statin produce supra-additive gate opening?</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E65100"/>
                <w:sz w:val="20"/>
                <w:szCs w:val="20"/>
              </w:rPr>
              <w:t xml:space="preserve">CONDITIONAL: </w:t>
            </w:r>
            <w:r>
              <w:rPr>
                <w:rFonts w:ascii="Palatino Linotype" w:cs="Palatino Linotype" w:eastAsia="Palatino Linotype" w:hAnsi="Palatino Linotype"/>
                <w:color w:val="1A1A2E"/>
                <w:sz w:val="20"/>
                <w:szCs w:val="20"/>
              </w:rPr>
              <w:t xml:space="preserve">Only if Exp 1 positive. CI &lt; 0.8 = supra-additive. CI ≥ 1.0 = no synergy.</w:t>
            </w:r>
          </w:p>
        </w:tc>
        <w:tc>
          <w:tcPr>
            <w:tcW w:type="dxa" w:w="32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HCT116
PK11195 low-dose + lovastatin
Combination index (Chou-Talalay)
Same readouts as 2a</w:t>
            </w:r>
          </w:p>
        </w:tc>
      </w:tr>
    </w:tbl>
    <w:p>
      <w:pPr>
        <w:spacing w:before="120"/>
      </w:pPr>
    </w:p>
    <w:p>
      <w:pPr>
        <w:pStyle w:val="Heading2"/>
        <w:spacing w:before="220" w:after="120"/>
      </w:pPr>
      <w:r>
        <w:rPr>
          <w:rFonts w:ascii="Calibri" w:cs="Calibri" w:eastAsia="Calibri" w:hAnsi="Calibri"/>
          <w:color w:val="2C3E6B"/>
        </w:rPr>
        <w:t xml:space="preserve">3.1 Experiment Priority and Dependencies</w:t>
      </w:r>
    </w:p>
    <w:p>
      <w:pPr>
        <w:spacing w:after="140" w:line="300"/>
        <w:jc w:val="both"/>
      </w:pPr>
      <w:r>
        <w:rPr>
          <w:rFonts w:ascii="Palatino Linotype" w:cs="Palatino Linotype" w:eastAsia="Palatino Linotype" w:hAnsi="Palatino Linotype"/>
          <w:b/>
          <w:bCs/>
          <w:color w:val="1A1A2E"/>
          <w:sz w:val="22"/>
          <w:szCs w:val="22"/>
        </w:rPr>
        <w:t xml:space="preserve">Experiment 2a is the linchpin.</w:t>
      </w:r>
      <w:r>
        <w:rPr>
          <w:rFonts w:ascii="Palatino Linotype" w:cs="Palatino Linotype" w:eastAsia="Palatino Linotype" w:hAnsi="Palatino Linotype"/>
          <w:color w:val="1A1A2E"/>
          <w:sz w:val="22"/>
          <w:szCs w:val="22"/>
        </w:rPr>
        <w:t xml:space="preserve"> If lovastatin does not open the VDAC1 gate in CRC cells with measurable cGAS-STING activation, the entire statin-based architecture collapses. Experiment 2b (MβCD/CoQ10 control) runs concurrently to isolate the mechanism. Together they cost ~4 weeks and answer the central question.</w:t>
      </w:r>
    </w:p>
    <w:p>
      <w:pPr>
        <w:spacing w:after="140" w:line="300"/>
        <w:ind w:firstLine="360"/>
        <w:jc w:val="both"/>
      </w:pPr>
      <w:r>
        <w:rPr>
          <w:rFonts w:ascii="Palatino Linotype" w:cs="Palatino Linotype" w:eastAsia="Palatino Linotype" w:hAnsi="Palatino Linotype"/>
          <w:b/>
          <w:bCs/>
          <w:color w:val="1A1A2E"/>
          <w:sz w:val="22"/>
          <w:szCs w:val="22"/>
        </w:rPr>
        <w:t xml:space="preserve">Experiment 1 (TSPO tether)</w:t>
      </w:r>
      <w:r>
        <w:rPr>
          <w:rFonts w:ascii="Palatino Linotype" w:cs="Palatino Linotype" w:eastAsia="Palatino Linotype" w:hAnsi="Palatino Linotype"/>
          <w:color w:val="1A1A2E"/>
          <w:sz w:val="22"/>
          <w:szCs w:val="22"/>
        </w:rPr>
        <w:t xml:space="preserve"> is exploratory. It extends the framework but is not load-bearing. A negative result (TSPO-KD shows no mtDNA increase) simply means the fourth lock doesn’t exist; the three-lock model stands.</w:t>
      </w:r>
    </w:p>
    <w:p>
      <w:pPr>
        <w:spacing w:after="140" w:line="300"/>
        <w:ind w:firstLine="360"/>
        <w:jc w:val="both"/>
      </w:pPr>
      <w:r>
        <w:rPr>
          <w:rFonts w:ascii="Palatino Linotype" w:cs="Palatino Linotype" w:eastAsia="Palatino Linotype" w:hAnsi="Palatino Linotype"/>
          <w:b/>
          <w:bCs/>
          <w:color w:val="1A1A2E"/>
          <w:sz w:val="22"/>
          <w:szCs w:val="22"/>
        </w:rPr>
        <w:t xml:space="preserve">Experiment 3 (CBD quarantine test)</w:t>
      </w:r>
      <w:r>
        <w:rPr>
          <w:rFonts w:ascii="Palatino Linotype" w:cs="Palatino Linotype" w:eastAsia="Palatino Linotype" w:hAnsi="Palatino Linotype"/>
          <w:color w:val="1A1A2E"/>
          <w:sz w:val="22"/>
          <w:szCs w:val="22"/>
        </w:rPr>
        <w:t xml:space="preserve"> determines CBD’s future in any immunotherapy context. Interestingly, a </w:t>
      </w:r>
      <w:r>
        <w:rPr>
          <w:rFonts w:ascii="Palatino Linotype" w:cs="Palatino Linotype" w:eastAsia="Palatino Linotype" w:hAnsi="Palatino Linotype"/>
          <w:i/>
          <w:iCs/>
          <w:color w:val="1A1A2E"/>
          <w:sz w:val="22"/>
          <w:szCs w:val="22"/>
        </w:rPr>
        <w:t xml:space="preserve">positive</w:t>
      </w:r>
      <w:r>
        <w:rPr>
          <w:rFonts w:ascii="Palatino Linotype" w:cs="Palatino Linotype" w:eastAsia="Palatino Linotype" w:hAnsi="Palatino Linotype"/>
          <w:color w:val="1A1A2E"/>
          <w:sz w:val="22"/>
          <w:szCs w:val="22"/>
        </w:rPr>
        <w:t xml:space="preserve"> result (CBD does suppress T-cells) confirms the quarantine; a </w:t>
      </w:r>
      <w:r>
        <w:rPr>
          <w:rFonts w:ascii="Palatino Linotype" w:cs="Palatino Linotype" w:eastAsia="Palatino Linotype" w:hAnsi="Palatino Linotype"/>
          <w:i/>
          <w:iCs/>
          <w:color w:val="1A1A2E"/>
          <w:sz w:val="22"/>
          <w:szCs w:val="22"/>
        </w:rPr>
        <w:t xml:space="preserve">negative</w:t>
      </w:r>
      <w:r>
        <w:rPr>
          <w:rFonts w:ascii="Palatino Linotype" w:cs="Palatino Linotype" w:eastAsia="Palatino Linotype" w:hAnsi="Palatino Linotype"/>
          <w:color w:val="1A1A2E"/>
          <w:sz w:val="22"/>
          <w:szCs w:val="22"/>
        </w:rPr>
        <w:t xml:space="preserve"> result (CBD does not suppress T-cells at VDAC1-active doses) rescues CBD for combination use.</w:t>
      </w:r>
    </w:p>
    <w:p>
      <w:pPr>
        <w:spacing w:after="140" w:line="300"/>
        <w:ind w:firstLine="360"/>
        <w:jc w:val="both"/>
      </w:pPr>
      <w:r>
        <w:rPr>
          <w:rFonts w:ascii="Palatino Linotype" w:cs="Palatino Linotype" w:eastAsia="Palatino Linotype" w:hAnsi="Palatino Linotype"/>
          <w:b/>
          <w:bCs/>
          <w:color w:val="1A1A2E"/>
          <w:sz w:val="22"/>
          <w:szCs w:val="22"/>
        </w:rPr>
        <w:t xml:space="preserve">Experiment 4</w:t>
      </w:r>
      <w:r>
        <w:rPr>
          <w:rFonts w:ascii="Palatino Linotype" w:cs="Palatino Linotype" w:eastAsia="Palatino Linotype" w:hAnsi="Palatino Linotype"/>
          <w:color w:val="1A1A2E"/>
          <w:sz w:val="22"/>
          <w:szCs w:val="22"/>
        </w:rPr>
        <w:t xml:space="preserve"> is translational proof requiring animal models — longer timeline but highest clinical impact. Run after 2a confirms the mechanism.</w:t>
      </w:r>
    </w:p>
    <w:p>
      <w:pPr>
        <w:spacing w:after="140" w:line="300"/>
        <w:ind w:firstLine="360"/>
        <w:jc w:val="both"/>
      </w:pPr>
      <w:r>
        <w:rPr>
          <w:rFonts w:ascii="Palatino Linotype" w:cs="Palatino Linotype" w:eastAsia="Palatino Linotype" w:hAnsi="Palatino Linotype"/>
          <w:b/>
          <w:bCs/>
          <w:color w:val="1A1A2E"/>
          <w:sz w:val="22"/>
          <w:szCs w:val="22"/>
        </w:rPr>
        <w:t xml:space="preserve">Experiment 5</w:t>
      </w:r>
      <w:r>
        <w:rPr>
          <w:rFonts w:ascii="Palatino Linotype" w:cs="Palatino Linotype" w:eastAsia="Palatino Linotype" w:hAnsi="Palatino Linotype"/>
          <w:color w:val="1A1A2E"/>
          <w:sz w:val="22"/>
          <w:szCs w:val="22"/>
        </w:rPr>
        <w:t xml:space="preserve"> (TSPO synergy) is contingent on Experiment 1 and represents a potential low-cost, high-impact combination if both drugs are effective.</w:t>
      </w:r>
    </w:p>
    <w:p>
      <w:pPr>
        <w:spacing w:after="140" w:line="300"/>
        <w:ind w:firstLine="360"/>
        <w:jc w:val="both"/>
      </w:pPr>
      <w:r>
        <w:rPr>
          <w:rFonts w:ascii="Palatino Linotype" w:cs="Palatino Linotype" w:eastAsia="Palatino Linotype" w:hAnsi="Palatino Linotype"/>
          <w:b/>
          <w:bCs/>
          <w:color w:val="1A1A2E"/>
          <w:sz w:val="22"/>
          <w:szCs w:val="22"/>
        </w:rPr>
        <w:t xml:space="preserve">The AML venetoclax experiment</w:t>
      </w:r>
      <w:r>
        <w:rPr>
          <w:rFonts w:ascii="Palatino Linotype" w:cs="Palatino Linotype" w:eastAsia="Palatino Linotype" w:hAnsi="Palatino Linotype"/>
          <w:color w:val="1A1A2E"/>
          <w:sz w:val="22"/>
          <w:szCs w:val="22"/>
        </w:rPr>
        <w:t xml:space="preserve"> (separate proposal, already designed) tests the </w:t>
      </w:r>
      <w:r>
        <w:rPr>
          <w:rFonts w:ascii="Palatino Linotype" w:cs="Palatino Linotype" w:eastAsia="Palatino Linotype" w:hAnsi="Palatino Linotype"/>
          <w:i/>
          <w:iCs/>
          <w:color w:val="1A1A2E"/>
          <w:sz w:val="22"/>
          <w:szCs w:val="22"/>
        </w:rPr>
        <w:t xml:space="preserve">universal physics</w:t>
      </w:r>
      <w:r>
        <w:rPr>
          <w:rFonts w:ascii="Palatino Linotype" w:cs="Palatino Linotype" w:eastAsia="Palatino Linotype" w:hAnsi="Palatino Linotype"/>
          <w:color w:val="1A1A2E"/>
          <w:sz w:val="22"/>
          <w:szCs w:val="22"/>
        </w:rPr>
        <w:t xml:space="preserve"> of gate opening via the Bcl-xL lock. A positive temporal-decoupling result — mtDNA release and cGAS-STING activation </w:t>
      </w:r>
      <w:r>
        <w:rPr>
          <w:rFonts w:ascii="Palatino Linotype" w:cs="Palatino Linotype" w:eastAsia="Palatino Linotype" w:hAnsi="Palatino Linotype"/>
          <w:i/>
          <w:iCs/>
          <w:color w:val="1A1A2E"/>
          <w:sz w:val="22"/>
          <w:szCs w:val="22"/>
        </w:rPr>
        <w:t xml:space="preserve">before</w:t>
      </w:r>
      <w:r>
        <w:rPr>
          <w:rFonts w:ascii="Palatino Linotype" w:cs="Palatino Linotype" w:eastAsia="Palatino Linotype" w:hAnsi="Palatino Linotype"/>
          <w:color w:val="1A1A2E"/>
          <w:sz w:val="22"/>
          <w:szCs w:val="22"/>
        </w:rPr>
        <w:t xml:space="preserve"> canonical apoptosis — validates the entire gate-opener drug class, making Experiments 2a and 4 higher-confidence bets.</w:t>
      </w:r>
    </w:p>
    <w:p>
      <w:pPr>
        <w:pStyle w:val="Heading1"/>
        <w:pageBreakBefore/>
        <w:spacing w:before="300" w:after="160"/>
      </w:pPr>
      <w:r>
        <w:rPr>
          <w:rFonts w:ascii="Calibri" w:cs="Calibri" w:eastAsia="Calibri" w:hAnsi="Calibri"/>
          <w:color w:val="2C3E6B"/>
        </w:rPr>
        <w:t xml:space="preserve">4. Validated Support Mechanisms</w:t>
      </w:r>
    </w:p>
    <w:p>
      <w:pPr>
        <w:spacing w:after="140" w:line="300"/>
        <w:jc w:val="both"/>
      </w:pPr>
      <w:r>
        <w:rPr>
          <w:rFonts w:ascii="Palatino Linotype" w:cs="Palatino Linotype" w:eastAsia="Palatino Linotype" w:hAnsi="Palatino Linotype"/>
          <w:color w:val="1A1A2E"/>
          <w:sz w:val="22"/>
          <w:szCs w:val="22"/>
        </w:rPr>
        <w:t xml:space="preserve">The critical literature review validated several support interventions that strengthen the statin-immunotherapy core without introducing the contradictions that killed the original hypothesis.</w:t>
      </w:r>
    </w:p>
    <w:p>
      <w:pPr>
        <w:spacing w:before="200" w:after="80"/>
      </w:pPr>
      <w:r>
        <w:rPr>
          <w:rFonts w:ascii="Calibri" w:cs="Calibri" w:eastAsia="Calibri" w:hAnsi="Calibri"/>
          <w:b/>
          <w:bCs/>
          <w:color w:val="2C3E6B"/>
          <w:sz w:val="20"/>
          <w:szCs w:val="20"/>
        </w:rPr>
        <w:t xml:space="preserve">Table 3. </w:t>
      </w:r>
      <w:r>
        <w:rPr>
          <w:rFonts w:ascii="Palatino Linotype" w:cs="Palatino Linotype" w:eastAsia="Palatino Linotype" w:hAnsi="Palatino Linotype"/>
          <w:i/>
          <w:iCs/>
          <w:color w:val="546E7A"/>
          <w:sz w:val="20"/>
          <w:szCs w:val="20"/>
        </w:rPr>
        <w:t xml:space="preserve">Validated support mechanisms and their evidence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500"/>
        <w:gridCol w:w="2060"/>
      </w:tblGrid>
      <w:tr>
        <w:trPr>
          <w:cantSplit/>
        </w:trPr>
        <w:tc>
          <w:tcPr>
            <w:tcW w:type="dxa" w:w="17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Intervention</w:t>
            </w:r>
          </w:p>
        </w:tc>
        <w:tc>
          <w:tcPr>
            <w:tcW w:type="dxa" w:w="31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Mechanism</w:t>
            </w:r>
          </w:p>
        </w:tc>
        <w:tc>
          <w:tcPr>
            <w:tcW w:type="dxa" w:w="250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Key Evidence</w:t>
            </w:r>
          </w:p>
        </w:tc>
        <w:tc>
          <w:tcPr>
            <w:tcW w:type="dxa" w:w="2060"/>
            <w:tcBorders>
              <w:top w:val="single" w:color="B0BEC5" w:sz="1"/>
              <w:left w:val="single" w:color="B0BEC5" w:sz="1"/>
              <w:bottom w:val="single" w:color="B0BEC5" w:sz="1"/>
              <w:right w:val="single" w:color="B0BEC5" w:sz="1"/>
            </w:tcBorders>
            <w:shd w:fill="E8ECF4" w:val="clear"/>
            <w:tcMar>
              <w:top w:type="dxa" w:w="60"/>
              <w:left w:type="dxa" w:w="100"/>
              <w:bottom w:type="dxa" w:w="60"/>
              <w:right w:type="dxa" w:w="100"/>
            </w:tcMar>
            <w:vAlign w:val="center"/>
          </w:tcPr>
          <w:p>
            <w:pPr>
              <w:spacing w:after="0"/>
            </w:pPr>
            <w:r>
              <w:rPr>
                <w:rFonts w:ascii="Calibri" w:cs="Calibri" w:eastAsia="Calibri" w:hAnsi="Calibri"/>
                <w:b/>
                <w:bCs/>
                <w:color w:val="2C3E6B"/>
                <w:sz w:val="20"/>
                <w:szCs w:val="20"/>
              </w:rPr>
              <w:t xml:space="preserve">Grade</w:t>
            </w:r>
          </w:p>
        </w:tc>
      </w:tr>
      <w:tr>
        <w:trPr>
          <w:cantSplit/>
        </w:trPr>
        <w:tc>
          <w:tcPr>
            <w:tcW w:type="dxa" w:w="1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Vitamin D</w:t>
            </w:r>
          </w:p>
        </w:tc>
        <w:tc>
          <w:tcPr>
            <w:tcW w:type="dxa" w:w="31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Gut microbiome → Bacteroides fragilis → enhanced ICI response + direct immune modulation</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Giampazolias et al., Science, 2024; Yang et al. meta: HR 0.47 (p&lt;0.001)</w:t>
            </w:r>
          </w:p>
        </w:tc>
        <w:tc>
          <w:tcPr>
            <w:tcW w:type="dxa" w:w="2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2E7D32"/>
                <w:sz w:val="20"/>
                <w:szCs w:val="20"/>
              </w:rPr>
              <w:t xml:space="preserve">STRONG</w:t>
            </w:r>
          </w:p>
        </w:tc>
      </w:tr>
      <w:tr>
        <w:trPr>
          <w:cantSplit/>
        </w:trPr>
        <w:tc>
          <w:tcPr>
            <w:tcW w:type="dxa" w:w="17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Statins (dual role)</w:t>
            </w:r>
          </w:p>
        </w:tc>
        <w:tc>
          <w:tcPr>
            <w:tcW w:type="dxa" w:w="3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Gate-opener + M2→M1 macrophage repolarization + T-cell activation</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Liao 2025 meta (n=46,154): 20% mortality reduction; Stokes 2023</w:t>
            </w:r>
          </w:p>
        </w:tc>
        <w:tc>
          <w:tcPr>
            <w:tcW w:type="dxa" w:w="20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2E7D32"/>
                <w:sz w:val="20"/>
                <w:szCs w:val="20"/>
              </w:rPr>
              <w:t xml:space="preserve">STRONG</w:t>
            </w:r>
          </w:p>
        </w:tc>
      </w:tr>
      <w:tr>
        <w:trPr>
          <w:cantSplit/>
        </w:trPr>
        <w:tc>
          <w:tcPr>
            <w:tcW w:type="dxa" w:w="1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Circadian timing</w:t>
            </w:r>
          </w:p>
        </w:tc>
        <w:tc>
          <w:tcPr>
            <w:tcW w:type="dxa" w:w="31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BMAL1 integrates mitochondrial metabolism + macrophage activation; dosing window matters</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Alexander et al., eLife, 2020; O’Siorain et al., FASEB, 2024</w:t>
            </w:r>
          </w:p>
        </w:tc>
        <w:tc>
          <w:tcPr>
            <w:tcW w:type="dxa" w:w="2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E65100"/>
                <w:sz w:val="20"/>
                <w:szCs w:val="20"/>
              </w:rPr>
              <w:t xml:space="preserve">MODERATE</w:t>
            </w:r>
          </w:p>
        </w:tc>
      </w:tr>
      <w:tr>
        <w:trPr>
          <w:cantSplit/>
        </w:trPr>
        <w:tc>
          <w:tcPr>
            <w:tcW w:type="dxa" w:w="17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Exercise</w:t>
            </w:r>
          </w:p>
        </w:tc>
        <w:tc>
          <w:tcPr>
            <w:tcW w:type="dxa" w:w="3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Catecholamine-driven NK/CD8+ mobilization; metabolic fitness; timing relative to ICI matters</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Epidemiological + mechanistic; no RCT in CRC-ICI</w:t>
            </w:r>
          </w:p>
        </w:tc>
        <w:tc>
          <w:tcPr>
            <w:tcW w:type="dxa" w:w="20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E65100"/>
                <w:sz w:val="20"/>
                <w:szCs w:val="20"/>
              </w:rPr>
              <w:t xml:space="preserve">MODERATE</w:t>
            </w:r>
          </w:p>
        </w:tc>
      </w:tr>
      <w:tr>
        <w:trPr>
          <w:cantSplit/>
        </w:trPr>
        <w:tc>
          <w:tcPr>
            <w:tcW w:type="dxa" w:w="17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Glucose restriction</w:t>
            </w:r>
          </w:p>
        </w:tc>
        <w:tc>
          <w:tcPr>
            <w:tcW w:type="dxa" w:w="31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Metabolic stress on Warburg-dependent cells; theoretical HK-II displacement</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color w:val="1A1A2E"/>
                <w:sz w:val="20"/>
                <w:szCs w:val="20"/>
              </w:rPr>
              <w:t xml:space="preserve">Preclinical only; no Phase III RCT; metabolic plasticity limits</w:t>
            </w:r>
          </w:p>
        </w:tc>
        <w:tc>
          <w:tcPr>
            <w:tcW w:type="dxa" w:w="2060"/>
            <w:tcBorders>
              <w:top w:val="single" w:color="B0BEC5" w:sz="1"/>
              <w:left w:val="single" w:color="B0BEC5" w:sz="1"/>
              <w:bottom w:val="single" w:color="B0BEC5" w:sz="1"/>
              <w:right w:val="single" w:color="B0BEC5" w:sz="1"/>
            </w:tcBorders>
            <w:tcMar>
              <w:top w:type="dxa" w:w="60"/>
              <w:left w:type="dxa" w:w="100"/>
              <w:bottom w:type="dxa" w:w="60"/>
              <w:right w:type="dxa" w:w="100"/>
            </w:tcMar>
            <w:vAlign w:val="center"/>
          </w:tcPr>
          <w:p>
            <w:pPr>
              <w:spacing w:after="0" w:line="260"/>
            </w:pPr>
            <w:r>
              <w:rPr>
                <w:rFonts w:ascii="Palatino Linotype" w:cs="Palatino Linotype" w:eastAsia="Palatino Linotype" w:hAnsi="Palatino Linotype"/>
                <w:b/>
                <w:bCs/>
                <w:color w:val="C62828"/>
                <w:sz w:val="20"/>
                <w:szCs w:val="20"/>
              </w:rPr>
              <w:t xml:space="preserve">WEAK</w:t>
            </w:r>
          </w:p>
        </w:tc>
      </w:tr>
    </w:tbl>
    <w:p>
      <w:pPr>
        <w:spacing w:before="200"/>
      </w:pPr>
    </w:p>
    <w:p>
      <w:pPr>
        <w:pStyle w:val="Heading1"/>
        <w:spacing w:before="300" w:after="160"/>
      </w:pPr>
      <w:r>
        <w:rPr>
          <w:rFonts w:ascii="Calibri" w:cs="Calibri" w:eastAsia="Calibri" w:hAnsi="Calibri"/>
          <w:color w:val="2C3E6B"/>
        </w:rPr>
        <w:t xml:space="preserve">5. Operational Roadmap (Q2–Q4 2026 Execution Timeline)</w:t>
      </w:r>
    </w:p>
    <w:p>
      <w:pPr>
        <w:pStyle w:val="Heading2"/>
        <w:spacing w:before="220" w:after="120"/>
      </w:pPr>
      <w:r>
        <w:rPr>
          <w:rFonts w:ascii="Calibri" w:cs="Calibri" w:eastAsia="Calibri" w:hAnsi="Calibri"/>
          <w:color w:val="2C3E6B"/>
        </w:rPr>
        <w:t xml:space="preserve">Phase A — Immediate (February–March 2026)</w:t>
      </w:r>
    </w:p>
    <w:p>
      <w:pPr>
        <w:spacing w:after="140" w:line="300"/>
        <w:jc w:val="both"/>
      </w:pPr>
      <w:r>
        <w:rPr>
          <w:rFonts w:ascii="Palatino Linotype" w:cs="Palatino Linotype" w:eastAsia="Palatino Linotype" w:hAnsi="Palatino Linotype"/>
          <w:color w:val="1A1A2E"/>
          <w:sz w:val="22"/>
          <w:szCs w:val="22"/>
        </w:rPr>
        <w:t xml:space="preserve">Let the field digest the foundational preprint (</w:t>
      </w:r>
      <w:r>
        <w:rPr>
          <w:rFonts w:ascii="Palatino Linotype" w:cs="Palatino Linotype" w:eastAsia="Palatino Linotype" w:hAnsi="Palatino Linotype"/>
          <w:i/>
          <w:iCs/>
          <w:color w:val="1A1A2E"/>
          <w:sz w:val="22"/>
          <w:szCs w:val="22"/>
        </w:rPr>
        <w:t xml:space="preserve">Context-Specific Innate Immune Evasion via VDAC1 Gate-Jamming in Microsatellite-Stable Colorectal Cancer</w:t>
      </w:r>
      <w:r>
        <w:rPr>
          <w:rFonts w:ascii="Palatino Linotype" w:cs="Palatino Linotype" w:eastAsia="Palatino Linotype" w:hAnsi="Palatino Linotype"/>
          <w:color w:val="1A1A2E"/>
          <w:sz w:val="22"/>
          <w:szCs w:val="22"/>
        </w:rPr>
        <w:t xml:space="preserve">). bioRxiv clearance and initial community feedback.</w:t>
      </w:r>
    </w:p>
    <w:p>
      <w:pPr>
        <w:spacing w:after="140" w:line="300"/>
        <w:ind w:firstLine="360"/>
        <w:jc w:val="both"/>
      </w:pPr>
      <w:r>
        <w:rPr>
          <w:rFonts w:ascii="Palatino Linotype" w:cs="Palatino Linotype" w:eastAsia="Palatino Linotype" w:hAnsi="Palatino Linotype"/>
          <w:b/>
          <w:bCs/>
          <w:color w:val="1A1A2E"/>
          <w:sz w:val="22"/>
          <w:szCs w:val="22"/>
        </w:rPr>
        <w:t xml:space="preserve">Deliverable: </w:t>
      </w:r>
      <w:r>
        <w:rPr>
          <w:rFonts w:ascii="Palatino Linotype" w:cs="Palatino Linotype" w:eastAsia="Palatino Linotype" w:hAnsi="Palatino Linotype"/>
          <w:color w:val="1A1A2E"/>
          <w:sz w:val="22"/>
          <w:szCs w:val="22"/>
        </w:rPr>
        <w:t xml:space="preserve">Public preprint + feedback log.</w:t>
      </w:r>
    </w:p>
    <w:p>
      <w:pPr>
        <w:pStyle w:val="Heading2"/>
        <w:spacing w:before="220" w:after="120"/>
      </w:pPr>
      <w:r>
        <w:rPr>
          <w:rFonts w:ascii="Calibri" w:cs="Calibri" w:eastAsia="Calibri" w:hAnsi="Calibri"/>
          <w:color w:val="2C3E6B"/>
        </w:rPr>
        <w:t xml:space="preserve">Phase B — Prove the Universal Physics (Q2 2026, April–June)</w:t>
      </w:r>
    </w:p>
    <w:p>
      <w:pPr>
        <w:spacing w:after="140" w:line="300"/>
        <w:jc w:val="both"/>
      </w:pPr>
      <w:r>
        <w:rPr>
          <w:rFonts w:ascii="Palatino Linotype" w:cs="Palatino Linotype" w:eastAsia="Palatino Linotype" w:hAnsi="Palatino Linotype"/>
          <w:color w:val="1A1A2E"/>
          <w:sz w:val="22"/>
          <w:szCs w:val="22"/>
        </w:rPr>
        <w:t xml:space="preserve">Execute the AML venetoclax temporal-decoupling experiment (separate proposal, already designed). Test whether Bcl-xL displacement from VDAC1 produces mtDNA release and cGAS-STING activation </w:t>
      </w:r>
      <w:r>
        <w:rPr>
          <w:rFonts w:ascii="Palatino Linotype" w:cs="Palatino Linotype" w:eastAsia="Palatino Linotype" w:hAnsi="Palatino Linotype"/>
          <w:i/>
          <w:iCs/>
          <w:color w:val="1A1A2E"/>
          <w:sz w:val="22"/>
          <w:szCs w:val="22"/>
        </w:rPr>
        <w:t xml:space="preserve">before</w:t>
      </w:r>
      <w:r>
        <w:rPr>
          <w:rFonts w:ascii="Palatino Linotype" w:cs="Palatino Linotype" w:eastAsia="Palatino Linotype" w:hAnsi="Palatino Linotype"/>
          <w:color w:val="1A1A2E"/>
          <w:sz w:val="22"/>
          <w:szCs w:val="22"/>
        </w:rPr>
        <w:t xml:space="preserve"> canonical apoptosis.</w:t>
      </w:r>
    </w:p>
    <w:p>
      <w:pPr>
        <w:spacing w:after="140" w:line="300"/>
        <w:ind w:firstLine="360"/>
        <w:jc w:val="both"/>
      </w:pPr>
      <w:r>
        <w:rPr>
          <w:rFonts w:ascii="Palatino Linotype" w:cs="Palatino Linotype" w:eastAsia="Palatino Linotype" w:hAnsi="Palatino Linotype"/>
          <w:b/>
          <w:bCs/>
          <w:color w:val="1A1A2E"/>
          <w:sz w:val="22"/>
          <w:szCs w:val="22"/>
        </w:rPr>
        <w:t xml:space="preserve">Timeline: </w:t>
      </w:r>
      <w:r>
        <w:rPr>
          <w:rFonts w:ascii="Palatino Linotype" w:cs="Palatino Linotype" w:eastAsia="Palatino Linotype" w:hAnsi="Palatino Linotype"/>
          <w:color w:val="1A1A2E"/>
          <w:sz w:val="22"/>
          <w:szCs w:val="22"/>
        </w:rPr>
        <w:t xml:space="preserve">12-week protocol (cell culture, time-course sampling, flow cytometry / ELISA / qPCR readouts).</w:t>
      </w:r>
    </w:p>
    <w:p>
      <w:pPr>
        <w:spacing w:after="140" w:line="300"/>
        <w:ind w:firstLine="360"/>
        <w:jc w:val="both"/>
      </w:pPr>
      <w:r>
        <w:rPr>
          <w:rFonts w:ascii="Palatino Linotype" w:cs="Palatino Linotype" w:eastAsia="Palatino Linotype" w:hAnsi="Palatino Linotype"/>
          <w:b/>
          <w:bCs/>
          <w:color w:val="1A1A2E"/>
          <w:sz w:val="22"/>
          <w:szCs w:val="22"/>
        </w:rPr>
        <w:t xml:space="preserve">Deliverable: </w:t>
      </w:r>
      <w:r>
        <w:rPr>
          <w:rFonts w:ascii="Palatino Linotype" w:cs="Palatino Linotype" w:eastAsia="Palatino Linotype" w:hAnsi="Palatino Linotype"/>
          <w:color w:val="1A1A2E"/>
          <w:sz w:val="22"/>
          <w:szCs w:val="22"/>
        </w:rPr>
        <w:t xml:space="preserve">Data demonstrating gate-opening proof-of-concept for the entire drug class. Positive result de-risks the full program and strengthens Experiments 2a/4.</w:t>
      </w:r>
    </w:p>
    <w:p>
      <w:pPr>
        <w:pStyle w:val="Heading2"/>
        <w:spacing w:before="220" w:after="120"/>
      </w:pPr>
      <w:r>
        <w:rPr>
          <w:rFonts w:ascii="Calibri" w:cs="Calibri" w:eastAsia="Calibri" w:hAnsi="Calibri"/>
          <w:color w:val="2C3E6B"/>
        </w:rPr>
        <w:t xml:space="preserve">Phase C — Open the CRC Gate (Q3 2026, July–September)</w:t>
      </w:r>
    </w:p>
    <w:p>
      <w:pPr>
        <w:spacing w:after="140" w:line="300"/>
        <w:jc w:val="both"/>
      </w:pPr>
      <w:r>
        <w:rPr>
          <w:rFonts w:ascii="Palatino Linotype" w:cs="Palatino Linotype" w:eastAsia="Palatino Linotype" w:hAnsi="Palatino Linotype"/>
          <w:color w:val="1A1A2E"/>
          <w:sz w:val="22"/>
          <w:szCs w:val="22"/>
        </w:rPr>
        <w:t xml:space="preserve">Core mechanistic validation: HCT116 Experiments 2a + 2b (lovastatin 1–10 μM dose-response ± VDAC1-KO, MβCD cholesterol-only depletion, CoQ10 rescue).</w:t>
      </w:r>
    </w:p>
    <w:p>
      <w:pPr>
        <w:spacing w:after="140" w:line="300"/>
        <w:ind w:firstLine="360"/>
        <w:jc w:val="both"/>
      </w:pPr>
      <w:r>
        <w:rPr>
          <w:rFonts w:ascii="Palatino Linotype" w:cs="Palatino Linotype" w:eastAsia="Palatino Linotype" w:hAnsi="Palatino Linotype"/>
          <w:b/>
          <w:bCs/>
          <w:color w:val="1A1A2E"/>
          <w:sz w:val="22"/>
          <w:szCs w:val="22"/>
        </w:rPr>
        <w:t xml:space="preserve">Timeline: </w:t>
      </w:r>
      <w:r>
        <w:rPr>
          <w:rFonts w:ascii="Palatino Linotype" w:cs="Palatino Linotype" w:eastAsia="Palatino Linotype" w:hAnsi="Palatino Linotype"/>
          <w:color w:val="1A1A2E"/>
          <w:sz w:val="22"/>
          <w:szCs w:val="22"/>
        </w:rPr>
        <w:t xml:space="preserve">4–6 weeks hands-on + analysis (can run in parallel with Experiment 3).</w:t>
      </w:r>
    </w:p>
    <w:p>
      <w:pPr>
        <w:spacing w:after="140" w:line="300"/>
        <w:ind w:firstLine="360"/>
        <w:jc w:val="both"/>
      </w:pPr>
      <w:r>
        <w:rPr>
          <w:rFonts w:ascii="Palatino Linotype" w:cs="Palatino Linotype" w:eastAsia="Palatino Linotype" w:hAnsi="Palatino Linotype"/>
          <w:b/>
          <w:bCs/>
          <w:color w:val="1A1A2E"/>
          <w:sz w:val="22"/>
          <w:szCs w:val="22"/>
        </w:rPr>
        <w:t xml:space="preserve">Deliverable: </w:t>
      </w:r>
      <w:r>
        <w:rPr>
          <w:rFonts w:ascii="Palatino Linotype" w:cs="Palatino Linotype" w:eastAsia="Palatino Linotype" w:hAnsi="Palatino Linotype"/>
          <w:color w:val="1A1A2E"/>
          <w:sz w:val="22"/>
          <w:szCs w:val="22"/>
        </w:rPr>
        <w:t xml:space="preserve">Confirmation that lovastatin opens the VDAC1 gate via lipid-annulus destabilization in MSS CRC cells. </w:t>
      </w:r>
      <w:r>
        <w:rPr>
          <w:rFonts w:ascii="Palatino Linotype" w:cs="Palatino Linotype" w:eastAsia="Palatino Linotype" w:hAnsi="Palatino Linotype"/>
          <w:b/>
          <w:bCs/>
          <w:color w:val="1A1A2E"/>
          <w:sz w:val="22"/>
          <w:szCs w:val="22"/>
        </w:rPr>
        <w:t xml:space="preserve">This is the central decision gate</w:t>
      </w:r>
      <w:r>
        <w:rPr>
          <w:rFonts w:ascii="Palatino Linotype" w:cs="Palatino Linotype" w:eastAsia="Palatino Linotype" w:hAnsi="Palatino Linotype"/>
          <w:color w:val="1A1A2E"/>
          <w:sz w:val="22"/>
          <w:szCs w:val="22"/>
        </w:rPr>
        <w:t xml:space="preserve"> — positive result unlocks all downstream work.</w:t>
      </w:r>
    </w:p>
    <w:p>
      <w:pPr>
        <w:pStyle w:val="Heading2"/>
        <w:spacing w:before="220" w:after="120"/>
      </w:pPr>
      <w:r>
        <w:rPr>
          <w:rFonts w:ascii="Calibri" w:cs="Calibri" w:eastAsia="Calibri" w:hAnsi="Calibri"/>
          <w:color w:val="2C3E6B"/>
        </w:rPr>
        <w:t xml:space="preserve">Phase D — Explore Synergies &amp; Translate (Q4 2026, October–December)</w:t>
      </w:r>
    </w:p>
    <w:p>
      <w:pPr>
        <w:spacing w:after="140" w:line="300"/>
        <w:jc w:val="both"/>
      </w:pPr>
      <w:r>
        <w:rPr>
          <w:rFonts w:ascii="Palatino Linotype" w:cs="Palatino Linotype" w:eastAsia="Palatino Linotype" w:hAnsi="Palatino Linotype"/>
          <w:color w:val="1A1A2E"/>
          <w:sz w:val="22"/>
          <w:szCs w:val="22"/>
        </w:rPr>
        <w:t xml:space="preserve">Contingent on positive Phase C. Three parallel workstreams:</w:t>
      </w:r>
    </w:p>
    <w:p>
      <w:pPr>
        <w:spacing w:after="140" w:line="300"/>
        <w:ind w:firstLine="360"/>
        <w:jc w:val="both"/>
      </w:pPr>
      <w:r>
        <w:rPr>
          <w:rFonts w:ascii="Palatino Linotype" w:cs="Palatino Linotype" w:eastAsia="Palatino Linotype" w:hAnsi="Palatino Linotype"/>
          <w:b/>
          <w:bCs/>
          <w:color w:val="1A1A2E"/>
          <w:sz w:val="22"/>
          <w:szCs w:val="22"/>
        </w:rPr>
        <w:t xml:space="preserve">Experiment 1 </w:t>
      </w:r>
      <w:r>
        <w:rPr>
          <w:rFonts w:ascii="Palatino Linotype" w:cs="Palatino Linotype" w:eastAsia="Palatino Linotype" w:hAnsi="Palatino Linotype"/>
          <w:color w:val="1A1A2E"/>
          <w:sz w:val="22"/>
          <w:szCs w:val="22"/>
        </w:rPr>
        <w:t xml:space="preserve">(TSPO tether) — Does TSPO-VDAC1 binding suppress mtDNA release?</w:t>
      </w:r>
    </w:p>
    <w:p>
      <w:pPr>
        <w:spacing w:after="140" w:line="300"/>
        <w:ind w:firstLine="360"/>
        <w:jc w:val="both"/>
      </w:pPr>
      <w:r>
        <w:rPr>
          <w:rFonts w:ascii="Palatino Linotype" w:cs="Palatino Linotype" w:eastAsia="Palatino Linotype" w:hAnsi="Palatino Linotype"/>
          <w:b/>
          <w:bCs/>
          <w:color w:val="1A1A2E"/>
          <w:sz w:val="22"/>
          <w:szCs w:val="22"/>
        </w:rPr>
        <w:t xml:space="preserve">Experiment 5 </w:t>
      </w:r>
      <w:r>
        <w:rPr>
          <w:rFonts w:ascii="Palatino Linotype" w:cs="Palatino Linotype" w:eastAsia="Palatino Linotype" w:hAnsi="Palatino Linotype"/>
          <w:color w:val="1A1A2E"/>
          <w:sz w:val="22"/>
          <w:szCs w:val="22"/>
        </w:rPr>
        <w:t xml:space="preserve">(lovastatin + low-dose PK11195 synergy) — Chou-Talalay combination index.</w:t>
      </w:r>
    </w:p>
    <w:p>
      <w:pPr>
        <w:spacing w:after="140" w:line="300"/>
        <w:ind w:firstLine="360"/>
        <w:jc w:val="both"/>
      </w:pPr>
      <w:r>
        <w:rPr>
          <w:rFonts w:ascii="Palatino Linotype" w:cs="Palatino Linotype" w:eastAsia="Palatino Linotype" w:hAnsi="Palatino Linotype"/>
          <w:b/>
          <w:bCs/>
          <w:color w:val="1A1A2E"/>
          <w:sz w:val="22"/>
          <w:szCs w:val="22"/>
        </w:rPr>
        <w:t xml:space="preserve">Experiment 4 </w:t>
      </w:r>
      <w:r>
        <w:rPr>
          <w:rFonts w:ascii="Palatino Linotype" w:cs="Palatino Linotype" w:eastAsia="Palatino Linotype" w:hAnsi="Palatino Linotype"/>
          <w:color w:val="1A1A2E"/>
          <w:sz w:val="22"/>
          <w:szCs w:val="22"/>
        </w:rPr>
        <w:t xml:space="preserve">(CT26 syngeneic MSS CRC model) — 7-day lovastatin pre-treatment + anti-CTLA-4. Tumor volume + survival.</w:t>
      </w:r>
    </w:p>
    <w:p>
      <w:pPr>
        <w:spacing w:after="140" w:line="300"/>
        <w:ind w:firstLine="360"/>
        <w:jc w:val="both"/>
      </w:pPr>
      <w:r>
        <w:rPr>
          <w:rFonts w:ascii="Palatino Linotype" w:cs="Palatino Linotype" w:eastAsia="Palatino Linotype" w:hAnsi="Palatino Linotype"/>
          <w:b/>
          <w:bCs/>
          <w:color w:val="1A1A2E"/>
          <w:sz w:val="22"/>
          <w:szCs w:val="22"/>
        </w:rPr>
        <w:t xml:space="preserve">Deliverable: </w:t>
      </w:r>
      <w:r>
        <w:rPr>
          <w:rFonts w:ascii="Palatino Linotype" w:cs="Palatino Linotype" w:eastAsia="Palatino Linotype" w:hAnsi="Palatino Linotype"/>
          <w:i/>
          <w:iCs/>
          <w:color w:val="1A1A2E"/>
          <w:sz w:val="22"/>
          <w:szCs w:val="22"/>
        </w:rPr>
        <w:t xml:space="preserve">In vivo</w:t>
      </w:r>
      <w:r>
        <w:rPr>
          <w:rFonts w:ascii="Palatino Linotype" w:cs="Palatino Linotype" w:eastAsia="Palatino Linotype" w:hAnsi="Palatino Linotype"/>
          <w:color w:val="1A1A2E"/>
          <w:sz w:val="22"/>
          <w:szCs w:val="22"/>
        </w:rPr>
        <w:t xml:space="preserve"> efficacy signal + complete dataset. Draft </w:t>
      </w:r>
      <w:r>
        <w:rPr>
          <w:rFonts w:ascii="Palatino Linotype" w:cs="Palatino Linotype" w:eastAsia="Palatino Linotype" w:hAnsi="Palatino Linotype"/>
          <w:i/>
          <w:iCs/>
          <w:color w:val="1A1A2E"/>
          <w:sz w:val="22"/>
          <w:szCs w:val="22"/>
        </w:rPr>
        <w:t xml:space="preserve">Cancer Discovery</w:t>
      </w:r>
      <w:r>
        <w:rPr>
          <w:rFonts w:ascii="Palatino Linotype" w:cs="Palatino Linotype" w:eastAsia="Palatino Linotype" w:hAnsi="Palatino Linotype"/>
          <w:color w:val="1A1A2E"/>
          <w:sz w:val="22"/>
          <w:szCs w:val="22"/>
        </w:rPr>
        <w:t xml:space="preserve"> or </w:t>
      </w:r>
      <w:r>
        <w:rPr>
          <w:rFonts w:ascii="Palatino Linotype" w:cs="Palatino Linotype" w:eastAsia="Palatino Linotype" w:hAnsi="Palatino Linotype"/>
          <w:i/>
          <w:iCs/>
          <w:color w:val="1A1A2E"/>
          <w:sz w:val="22"/>
          <w:szCs w:val="22"/>
        </w:rPr>
        <w:t xml:space="preserve">Cell Perspective</w:t>
      </w:r>
      <w:r>
        <w:rPr>
          <w:rFonts w:ascii="Palatino Linotype" w:cs="Palatino Linotype" w:eastAsia="Palatino Linotype" w:hAnsi="Palatino Linotype"/>
          <w:color w:val="1A1A2E"/>
          <w:sz w:val="22"/>
          <w:szCs w:val="22"/>
        </w:rPr>
        <w:t xml:space="preserve"> submitted with empirical backing.</w:t>
      </w:r>
    </w:p>
    <w:p>
      <w:pPr>
        <w:pStyle w:val="Heading2"/>
        <w:spacing w:before="220" w:after="120"/>
      </w:pPr>
      <w:r>
        <w:rPr>
          <w:rFonts w:ascii="Calibri" w:cs="Calibri" w:eastAsia="Calibri" w:hAnsi="Calibri"/>
          <w:color w:val="2C3E6B"/>
        </w:rPr>
        <w:t xml:space="preserve">Phase E — CBD Disposition (Parallel with Phase C)</w:t>
      </w:r>
    </w:p>
    <w:p>
      <w:pPr>
        <w:spacing w:after="140" w:line="300"/>
        <w:jc w:val="both"/>
      </w:pPr>
      <w:r>
        <w:rPr>
          <w:rFonts w:ascii="Palatino Linotype" w:cs="Palatino Linotype" w:eastAsia="Palatino Linotype" w:hAnsi="Palatino Linotype"/>
          <w:color w:val="1A1A2E"/>
          <w:sz w:val="22"/>
          <w:szCs w:val="22"/>
        </w:rPr>
        <w:t xml:space="preserve">Run Experiment 3 (PBMC + HCT116 co-culture, CBD 1–50 μM) in parallel with Phase C. Final decision on permanent quarantine vs. defined late-stage role by end-Q3 2026.</w:t>
      </w:r>
    </w:p>
    <w:p>
      <w:pPr>
        <w:spacing w:before="100"/>
      </w:pPr>
    </w:p>
    <w:p>
      <w:pPr>
        <w:spacing w:after="140" w:line="300"/>
        <w:jc w:val="both"/>
      </w:pPr>
      <w:r>
        <w:rPr>
          <w:rFonts w:ascii="Palatino Linotype" w:cs="Palatino Linotype" w:eastAsia="Palatino Linotype" w:hAnsi="Palatino Linotype"/>
          <w:b/>
          <w:bCs/>
          <w:color w:val="1A1A2E"/>
          <w:sz w:val="22"/>
          <w:szCs w:val="22"/>
        </w:rPr>
        <w:t xml:space="preserve">Program scope: </w:t>
      </w:r>
      <w:r>
        <w:rPr>
          <w:rFonts w:ascii="Palatino Linotype" w:cs="Palatino Linotype" w:eastAsia="Palatino Linotype" w:hAnsi="Palatino Linotype"/>
          <w:color w:val="1A1A2E"/>
          <w:sz w:val="22"/>
          <w:szCs w:val="22"/>
        </w:rPr>
        <w:t xml:space="preserve">This 9-month sprint (March–December 2026) positions the program for 2027 grant renewals, foundation funding rounds, or Phase I-enabling data packages. All experiments use standard, commercially available reagents and cell lines; total hands-on bench time is modest and fully compatible with a small academic lab or single-PI effort.</w:t>
      </w:r>
    </w:p>
    <w:p>
      <w:pPr>
        <w:spacing w:before="200"/>
      </w:pPr>
    </w:p>
    <w:p>
      <w:pPr>
        <w:pBdr>
          <w:bottom w:val="single" w:color="CFD8DC" w:sz="2" w:space="4"/>
        </w:pBdr>
        <w:spacing w:before="120" w:after="120"/>
      </w:pPr>
    </w:p>
    <w:p>
      <w:pPr>
        <w:spacing w:before="120"/>
        <w:jc w:val="center"/>
      </w:pPr>
      <w:r>
        <w:rPr>
          <w:rFonts w:ascii="Palatino Linotype" w:cs="Palatino Linotype" w:eastAsia="Palatino Linotype" w:hAnsi="Palatino Linotype"/>
          <w:i/>
          <w:iCs/>
          <w:color w:val="546E7A"/>
          <w:sz w:val="22"/>
          <w:szCs w:val="22"/>
        </w:rPr>
        <w:t xml:space="preserve">The literature burned the old phase sequence, but it handed us a weaponized, clinically actionable stack.</w:t>
      </w:r>
    </w:p>
    <w:p>
      <w:pPr>
        <w:spacing w:before="60"/>
        <w:jc w:val="center"/>
      </w:pPr>
      <w:r>
        <w:rPr>
          <w:rFonts w:ascii="Palatino Linotype" w:cs="Palatino Linotype" w:eastAsia="Palatino Linotype" w:hAnsi="Palatino Linotype"/>
          <w:i/>
          <w:iCs/>
          <w:color w:val="546E7A"/>
          <w:sz w:val="22"/>
          <w:szCs w:val="22"/>
        </w:rPr>
        <w:t xml:space="preserve">Silence has a measurable geometry. Now we know how to break it.</w:t>
      </w:r>
    </w:p>
    <w:p>
      <w:pPr>
        <w:spacing w:before="80"/>
        <w:jc w:val="center"/>
      </w:pPr>
      <w:r>
        <w:rPr>
          <w:rFonts w:ascii="Calibri" w:cs="Calibri" w:eastAsia="Calibri" w:hAnsi="Calibri"/>
          <w:color w:val="90A4AE"/>
          <w:sz w:val="18"/>
          <w:szCs w:val="18"/>
        </w:rPr>
        <w:t xml:space="preserve">— Multi-model convergence,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2" w:space="4"/>
      </w:pBdr>
      <w:jc w:val="center"/>
    </w:pPr>
    <w:r>
      <w:rPr>
        <w:rFonts w:ascii="Calibri" w:cs="Calibri" w:eastAsia="Calibri" w:hAnsi="Calibri"/>
        <w:color w:val="90A4AE"/>
        <w:sz w:val="16"/>
        <w:szCs w:val="16"/>
      </w:rPr>
      <w:t xml:space="preserve">Page </w:t>
    </w:r>
    <w:r>
      <w:rPr>
        <w:rFonts w:ascii="Calibri" w:cs="Calibri" w:eastAsia="Calibri" w:hAnsi="Calibri"/>
        <w:color w:val="90A4A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8DC" w:sz="2" w:space="4"/>
      </w:pBdr>
      <w:jc w:val="right"/>
    </w:pPr>
    <w:r>
      <w:rPr>
        <w:rFonts w:ascii="Calibri" w:cs="Calibri" w:eastAsia="Calibri" w:hAnsi="Calibri"/>
        <w:color w:val="90A4AE"/>
        <w:sz w:val="16"/>
        <w:szCs w:val="16"/>
      </w:rPr>
      <w:t xml:space="preserve">SAD v3.0  •  VDAC1 Gate-Opening Therapeutic Stack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Calibri" w:cs="Calibri" w:eastAsia="Calibri" w:hAnsi="Calibri"/>
      <w:b/>
      <w:bCs/>
      <w:color w:val="2C3E6B"/>
      <w:sz w:val="28"/>
      <w:szCs w:val="28"/>
    </w:rPr>
  </w:style>
  <w:style w:type="paragraph" w:styleId="Heading2">
    <w:name w:val="Heading 2"/>
    <w:basedOn w:val="Normal"/>
    <w:next w:val="Normal"/>
    <w:qFormat/>
    <w:pPr>
      <w:spacing w:before="220" w:after="120"/>
      <w:outlineLvl w:val="1"/>
    </w:pPr>
    <w:rPr>
      <w:rFonts w:ascii="Calibri" w:cs="Calibri" w:eastAsia="Calibri" w:hAnsi="Calibri"/>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2026-02-23T03:34:36.294Z</dcterms:created>
  <dcterms:modified xsi:type="dcterms:W3CDTF">2026-02-23T03:34:36.295Z</dcterms:modified>
</cp:coreProperties>
</file>

<file path=docProps/custom.xml><?xml version="1.0" encoding="utf-8"?>
<Properties xmlns="http://schemas.openxmlformats.org/officeDocument/2006/custom-properties" xmlns:vt="http://schemas.openxmlformats.org/officeDocument/2006/docPropsVTypes"/>
</file>