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160" w:line="320"/>
        <w:jc w:val="center"/>
      </w:pPr>
      <w:r>
        <w:rPr>
          <w:rFonts w:ascii="Calibri" w:cs="Calibri" w:eastAsia="Calibri" w:hAnsi="Calibri"/>
          <w:b/>
          <w:bCs/>
          <w:color w:val="2C3E6B"/>
          <w:sz w:val="36"/>
          <w:szCs w:val="36"/>
        </w:rPr>
        <w:t xml:space="preserve">Strategic Architecture Document</w:t>
      </w:r>
    </w:p>
    <w:p>
      <w:pPr>
        <w:spacing w:after="100" w:line="300"/>
        <w:jc w:val="center"/>
      </w:pPr>
      <w:r>
        <w:rPr>
          <w:rFonts w:ascii="Calibri" w:cs="Calibri" w:eastAsia="Calibri" w:hAnsi="Calibri"/>
          <w:i/>
          <w:iCs/>
          <w:color w:val="546E7A"/>
          <w:sz w:val="24"/>
          <w:szCs w:val="24"/>
        </w:rPr>
        <w:t xml:space="preserve">VDAC1 Gate-Opening Therapeutic Stack for MSS Colorectal Cancer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8909C"/>
          <w:sz w:val="20"/>
          <w:szCs w:val="20"/>
        </w:rPr>
        <w:t xml:space="preserve">From Gate-Jamming Score to Gate-Opening Sequence</w:t>
      </w:r>
    </w:p>
    <w:p>
      <w:pPr>
        <w:spacing w:before="8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Anthony J. Vasquez Sr.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46E7A"/>
          <w:sz w:val="20"/>
          <w:szCs w:val="20"/>
        </w:rPr>
        <w:t xml:space="preserve">Delaware Valley University, Doylestown, PA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46E7A"/>
          <w:sz w:val="20"/>
          <w:szCs w:val="20"/>
        </w:rPr>
        <w:t xml:space="preserve">February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78909C"/>
          <w:sz w:val="18"/>
          <w:szCs w:val="18"/>
        </w:rPr>
        <w:t xml:space="preserve">Classification: </w:t>
      </w:r>
      <w:r>
        <w:rPr>
          <w:rFonts w:ascii="Calibri" w:cs="Calibri" w:eastAsia="Calibri" w:hAnsi="Calibri"/>
          <w:b/>
          <w:bCs/>
          <w:color w:val="C62828"/>
          <w:sz w:val="18"/>
          <w:szCs w:val="18"/>
        </w:rPr>
        <w:t xml:space="preserve">PRIVATE WORKING DOCUMENT — NOT FOR PUBLICATION</w:t>
      </w:r>
    </w:p>
    <w:p>
      <w:pPr>
        <w:pBdr>
          <w:bottom w:val="single" w:color="CFD8DC" w:sz="2" w:space="4"/>
        </w:pBdr>
        <w:spacing w:before="120" w:after="120"/>
      </w:pPr>
    </w:p>
    <w:p>
      <w:pPr>
        <w:pStyle w:val="Heading1"/>
        <w:spacing w:before="300" w:after="160"/>
      </w:pPr>
      <w:r>
        <w:rPr>
          <w:rFonts w:ascii="Calibri" w:cs="Calibri" w:eastAsia="Calibri" w:hAnsi="Calibri"/>
          <w:color w:val="2C3E6B"/>
        </w:rPr>
        <w:t xml:space="preserve">Executive Summary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The three-phase therapeutic hypothesis (TSPO inhibition → immune activation → CBD apoptosis) was subjected to critical literature review across 2013–2026 publications.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Three fatal contradictions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were identified: (1) restoring mitophagy suppresses rather than promotes cytosolic mtDNA release; (2) CBD suppresses the T-cell function required for immunotherapy; (3) chronic cGAS-STING activation is immunosuppressive in CRC. The original architecture is dead.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What survived is stronger. The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Huang et al. (2024) lovastatin finding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provides a direct mechanism: statin → mitochondrial cholesterol depletion → VDAC1 oligomerization → mtDNA release → cGAS-STING activation, validated in CRC cells and xenografts. This collapses Phase 1 and Phase 2 into a single mechanistically coherent step, targeting the </w:t>
      </w:r>
      <w:r>
        <w:rPr>
          <w:rFonts w:ascii="Consolas" w:cs="Consolas" w:eastAsia="Consolas" w:hAnsi="Consolas"/>
          <w:color w:val="1A1A2E"/>
          <w:sz w:val="22"/>
          <w:szCs w:val="22"/>
        </w:rPr>
        <w:t xml:space="preserve">[Chol]/[CL]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term in the Gate-Jamming Score equation.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This document maps the reformulated stack: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statin-mediated gate opening → botensilimab cavalry → CBD quarantine.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It identifies the exact falsification triggers for each component and specifies the four experiments that would validate or kill the framework.</w:t>
      </w:r>
    </w:p>
    <w:p>
      <w:pPr>
        <w:pStyle w:val="Heading1"/>
        <w:pageBreakBefore/>
        <w:spacing w:before="300" w:after="160"/>
      </w:pPr>
      <w:r>
        <w:rPr>
          <w:rFonts w:ascii="Calibri" w:cs="Calibri" w:eastAsia="Calibri" w:hAnsi="Calibri"/>
          <w:color w:val="2C3E6B"/>
        </w:rPr>
        <w:t xml:space="preserve">1. The Collapsed Gate: Statin-Mediated VDAC1 Opening</w:t>
      </w:r>
    </w:p>
    <w:p>
      <w:pPr>
        <w:pStyle w:val="Heading2"/>
        <w:spacing w:before="200" w:after="160"/>
      </w:pPr>
      <w:r>
        <w:rPr>
          <w:rFonts w:ascii="Calibri" w:cs="Calibri" w:eastAsia="Calibri" w:hAnsi="Calibri"/>
          <w:color w:val="2C3E6B"/>
        </w:rPr>
        <w:t xml:space="preserve">1.1 The Cofactor Equation and Its Locks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The GJS cofactor equation describes the apoptotic threshold of a cancer cell as a function of three physical parameters on the VDAC1 channel:</w:t>
      </w:r>
    </w:p>
    <w:p>
      <w:pPr>
        <w:shd w:fill="F8F9FA" w:val="clear"/>
        <w:spacing w:before="120" w:after="120" w:line="300"/>
        <w:ind w:left="720" w:right="720"/>
        <w:jc w:val="center"/>
      </w:pPr>
      <w:r>
        <w:rPr>
          <w:rFonts w:ascii="Consolas" w:cs="Consolas" w:eastAsia="Consolas" w:hAnsi="Consolas"/>
          <w:b/>
          <w:bCs/>
          <w:color w:val="2C3E6B"/>
          <w:sz w:val="21"/>
          <w:szCs w:val="21"/>
        </w:rPr>
        <w:t xml:space="preserve">Apoptotic Threshold = K / [(1 - f_HKII)(1 - f_BclxL)] × [Chol]/[CL]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Each variable has a physical address on the protein. </w:t>
      </w:r>
      <w:r>
        <w:rPr>
          <w:rFonts w:ascii="Consolas" w:cs="Consolas" w:eastAsia="Consolas" w:hAnsi="Consolas"/>
          <w:b/>
          <w:bCs/>
          <w:color w:val="1A1A2E"/>
          <w:sz w:val="22"/>
          <w:szCs w:val="22"/>
        </w:rPr>
        <w:t xml:space="preserve">f_HKII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is hexokinase-II occupancy on the cytoplasmic barrel face (E73 docking site). </w:t>
      </w:r>
      <w:r>
        <w:rPr>
          <w:rFonts w:ascii="Consolas" w:cs="Consolas" w:eastAsia="Consolas" w:hAnsi="Consolas"/>
          <w:b/>
          <w:bCs/>
          <w:color w:val="1A1A2E"/>
          <w:sz w:val="22"/>
          <w:szCs w:val="22"/>
        </w:rPr>
        <w:t xml:space="preserve">f_BclxL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is Bcl-xL binding to extruded N-terminal helices (BH4 domain interaction). </w:t>
      </w:r>
      <w:r>
        <w:rPr>
          <w:rFonts w:ascii="Consolas" w:cs="Consolas" w:eastAsia="Consolas" w:hAnsi="Consolas"/>
          <w:b/>
          <w:bCs/>
          <w:color w:val="1A1A2E"/>
          <w:sz w:val="22"/>
          <w:szCs w:val="22"/>
        </w:rPr>
        <w:t xml:space="preserve">[Chol]/[CL]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is cholesterol-to-cardiolipin ratio in the outer mitochondrial membrane lipid annulus. </w:t>
      </w:r>
      <w:r>
        <w:rPr>
          <w:rFonts w:ascii="Consolas" w:cs="Consolas" w:eastAsia="Consolas" w:hAnsi="Consolas"/>
          <w:b/>
          <w:bCs/>
          <w:color w:val="1A1A2E"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is the honeycomb lattice exit energy.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Cancer simultaneously rewrites all three terms: HK-II jammed ON (Warburg effect), Bcl-xL overexpressed, cholesterol loaded into the OMM. The multiplicative structure means the gate is triply locked.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Each lock requires a specific key.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Table 1. </w:t>
      </w:r>
      <w:r>
        <w:rPr>
          <w:rFonts w:ascii="Palatino Linotype" w:cs="Palatino Linotype" w:eastAsia="Palatino Linotype" w:hAnsi="Palatino Linotype"/>
          <w:i/>
          <w:iCs/>
          <w:color w:val="546E7A"/>
          <w:sz w:val="20"/>
          <w:szCs w:val="20"/>
        </w:rPr>
        <w:t xml:space="preserve">Cancer type–specific rate-limiting locks and their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Cancer Type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Rate-Limiting Lock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Key (Drug)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Mechanism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MSS Colorectal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20"/>
                <w:szCs w:val="20"/>
              </w:rPr>
              <w:t xml:space="preserve">[Chol]/[CL]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Lovastatin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Depletes OMM cholesterol → permits VDAC1 oligomerization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AML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20"/>
                <w:szCs w:val="20"/>
              </w:rPr>
              <w:t xml:space="preserve">f_BclxL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Venetoclax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Displaces Bcl-xL from VDAC1 → N-terminal helix exposure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GBM / HCC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A1A2E"/>
                <w:sz w:val="20"/>
                <w:szCs w:val="20"/>
              </w:rPr>
              <w:t xml:space="preserve">f_HKII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2-DG / Lonidamine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Displaces HK-II from E73 docking site</w:t>
            </w:r>
          </w:p>
        </w:tc>
      </w:tr>
    </w:tbl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Critical insight: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The venetoclax AML experiment and the lovastatin CRC stack are testing the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same physical event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— VDAC1 gate opening — through different locks. The AML experiment proves the physics. The CRC stack solves the clinical nightmare.</w:t>
      </w:r>
    </w:p>
    <w:p>
      <w:pPr>
        <w:pStyle w:val="Heading2"/>
        <w:spacing w:before="200" w:after="160"/>
      </w:pPr>
      <w:r>
        <w:rPr>
          <w:rFonts w:ascii="Calibri" w:cs="Calibri" w:eastAsia="Calibri" w:hAnsi="Calibri"/>
          <w:color w:val="2C3E6B"/>
        </w:rPr>
        <w:t xml:space="preserve">1.2 Lovastatin as the Primary Gate Opener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Huang et al. (Pharmacological Research, 2024)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demonstrated that lovastatin induces mtDNA release and cGAS-STING activation in CRC cells, confirmed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in vivo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in xenograft models. The mechanism: statin-mediated cholesterol depletion from the outer mitochondrial membrane reduces the [Chol]/[CL] ratio, destabilizing the lipid annulus that prevents VDAC1 oligomerization. Once the lattice barrier falls, VDAC1 oligomers form, creating the ~4 nm pore through which 500–650 bp mtDNA fragments escape into the cytoplasm.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Supporting evidence: Shen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eLife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2024) showed statins specifically reduce mitochondrial membrane cholesterol. Catherall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MCP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2022) demonstrated cholesterol disruption potentiates CBD-induced apoptosis. Montero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Cancer Research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2008) established that elevated mitochondrial cholesterol confers chemotherapy resistance in HCC. Betaneli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Biophysical Journal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2012) showed cholesterol rigidifies the OMM and disfavors VDAC1 oligomeric transitions.</w:t>
      </w:r>
    </w:p>
    <w:p>
      <w:pPr>
        <w:pStyle w:val="Heading2"/>
        <w:spacing w:before="200" w:after="160"/>
      </w:pPr>
      <w:r>
        <w:rPr>
          <w:rFonts w:ascii="Calibri" w:cs="Calibri" w:eastAsia="Calibri" w:hAnsi="Calibri"/>
          <w:color w:val="2C3E6B"/>
        </w:rPr>
        <w:t xml:space="preserve">1.3 Why Lovastatin Bypasses the TSPO Paradox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The original hypothesis required TSPO inhibition to restore mitophagy, which would then somehow produce mtDNA release. The literature showed this runs backward — mitophagy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cleans up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mtDNA rather than releasing it (Jiménez-Loygorri et al.,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Nature Communications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2024). Lovastatin bypasses this entirely by targeting the lipid environment, not the protein–protein interaction. The gate opens because the membrane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can no longer hold it shut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not because a tether was removed.</w:t>
      </w:r>
    </w:p>
    <w:p>
      <w:pPr>
        <w:pStyle w:val="Heading1"/>
        <w:pageBreakBefore/>
        <w:spacing w:before="300" w:after="160"/>
      </w:pPr>
      <w:r>
        <w:rPr>
          <w:rFonts w:ascii="Calibri" w:cs="Calibri" w:eastAsia="Calibri" w:hAnsi="Calibri"/>
          <w:color w:val="2C3E6B"/>
        </w:rPr>
        <w:t xml:space="preserve">2. The TSPO Pivot: From Mitophagy Regulator to Physical Tether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TSPO is not abandoned — it is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reframed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. The Gatliff et al. (2014) finding that TSPO physically binds VDAC1 and the TSPO:VDAC1 expression ratio modulates downstream signaling remains valid. What changes is the interpretation: TSPO’s relevance to the GJS framework is not as a mitophagy brake, but as a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direct physical tether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that stabilizes VDAC1 in its monomeric (gate-jammed) state.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This reframing predicts that TSPO-VDAC1 binding may constitute a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fourth lock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on the gate — one that operates independently of the cholesterol, HK-II, and Bcl-xL mechanisms. If confirmed, the cofactor equation expands:</w:t>
      </w:r>
    </w:p>
    <w:p>
      <w:pPr>
        <w:shd w:fill="F8F9FA" w:val="clear"/>
        <w:spacing w:before="120" w:after="120" w:line="300"/>
        <w:ind w:left="720" w:right="720"/>
        <w:jc w:val="center"/>
      </w:pPr>
      <w:r>
        <w:rPr>
          <w:rFonts w:ascii="Consolas" w:cs="Consolas" w:eastAsia="Consolas" w:hAnsi="Consolas"/>
          <w:b/>
          <w:bCs/>
          <w:color w:val="2C3E6B"/>
          <w:sz w:val="21"/>
          <w:szCs w:val="21"/>
        </w:rPr>
        <w:t xml:space="preserve">Threshold = K / [(1 - f_HKII)(1 - f_BclxL)(1 - f_TSPO)] × [Chol]/[CL]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However, </w:t>
      </w:r>
      <w:r>
        <w:rPr>
          <w:rFonts w:ascii="Palatino Linotype" w:cs="Palatino Linotype" w:eastAsia="Palatino Linotype" w:hAnsi="Palatino Linotype"/>
          <w:b/>
          <w:bCs/>
          <w:color w:val="C62828"/>
          <w:sz w:val="22"/>
          <w:szCs w:val="22"/>
        </w:rPr>
        <w:t xml:space="preserve">zero direct published evidence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supports TSPO-VDAC1 complex disruption promoting VDAC1 oligomerization-mediated mtDNA release. This is the single most important unknown in the reformulated architecture. Experiment 1 (Section 4) tests it directly.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TSPO overexpression in CRC: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28% of CRC cases strongly overexpress TSPO (Maaser et al.,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Clinical Cancer Research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2002/2005). Stage III patients with high TSPO: mean survival 56.2 vs 86.8 months (p = 0.03). TSPO knockout mice are viable, fertile, with normal lifespan (Banati et al.,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Nature Communications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2014). Zhang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Advanced Science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2023) showed PK11195 + anti-PD-1 produced synergistic anti-tumor effects in HCC. The clinical safety and immunotherapy synergy data support TSPO as a legitimate therapeutic target, even as the mechanistic pathway has shifted.</w:t>
      </w:r>
    </w:p>
    <w:p>
      <w:pPr>
        <w:pStyle w:val="Heading1"/>
        <w:pageBreakBefore/>
        <w:spacing w:before="300" w:after="160"/>
      </w:pPr>
      <w:r>
        <w:rPr>
          <w:rFonts w:ascii="Calibri" w:cs="Calibri" w:eastAsia="Calibri" w:hAnsi="Calibri"/>
          <w:color w:val="2C3E6B"/>
        </w:rPr>
        <w:t xml:space="preserve">3. The Sequence: Botensilimab Cavalry and CBD Quarantine</w:t>
      </w:r>
    </w:p>
    <w:p>
      <w:pPr>
        <w:pStyle w:val="Heading2"/>
        <w:spacing w:before="200" w:after="160"/>
      </w:pPr>
      <w:r>
        <w:rPr>
          <w:rFonts w:ascii="Calibri" w:cs="Calibri" w:eastAsia="Calibri" w:hAnsi="Calibri"/>
          <w:color w:val="2C3E6B"/>
        </w:rPr>
        <w:t xml:space="preserve">3.1 Botensilimab as the Immunotherapy Layer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Botensilimab (Fc-enhanced anti-CTLA-4) is the only checkpoint agent showing meaningful MSS CRC activity: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17–20% ORR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in combination with balstilimab (anti-PD-1). This is modest but nonzero — the first signal in a population where all prior ICI monotherapy failed. The gate-opening hypothesis predicts that statin pre-treatment could substantially increase this response rate by generating the mtDNA-cGAS-STING signal that gives botensilimab something to amplify.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The therapeutic sequence: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(1) Lovastatin strips the cholesterol lock → (2) VDAC1 oligomerizes, mtDNA leaks, cGAS-STING fires → (3) Botensilimab + balstilimab amplifies the now-active innate alarm into adaptive anti-tumor immunity. The statin creates the signal. The checkpoint inhibitor amplifies it.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Retrospective support: Liao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JCO Oncology Practice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2025) meta-analysis of 25 studies (n = 46,154) found concomitant statin + ICI associated with </w:t>
      </w: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20% reduction in mortality and disease progression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. Stokes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Journal for ImmunoTherapy of Cancer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2023) showed all statins enhanced PD-1 blockade in HNSCC models via T-cell activation and M2→M1 macrophage repolarization.</w:t>
      </w:r>
    </w:p>
    <w:p>
      <w:pPr>
        <w:pStyle w:val="Heading2"/>
        <w:spacing w:before="200" w:after="160"/>
      </w:pPr>
      <w:r>
        <w:rPr>
          <w:rFonts w:ascii="Calibri" w:cs="Calibri" w:eastAsia="Calibri" w:hAnsi="Calibri"/>
          <w:color w:val="2C3E6B"/>
        </w:rPr>
        <w:t xml:space="preserve">3.2 CBD Quarantine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b/>
          <w:bCs/>
          <w:color w:val="C62828"/>
          <w:sz w:val="22"/>
          <w:szCs w:val="22"/>
        </w:rPr>
        <w:t xml:space="preserve">CBD is formally gated out of the immune-activation window.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Three lines of evidence mandate this: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1. Direct T-cell suppression.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CBD suppresses IL-2, IFN-γ, proliferation, and JAK/STAT signaling at concentrations overlapping VDAC1-mediated apoptotic doses (≥10 μM). Using CBD for apoptosis while relying on T-cell immunity creates an internal pharmacological conflict.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2. Clinical signal.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Bar-Sela et al. reported OS of </w:t>
      </w:r>
      <w:r>
        <w:rPr>
          <w:rFonts w:ascii="Palatino Linotype" w:cs="Palatino Linotype" w:eastAsia="Palatino Linotype" w:hAnsi="Palatino Linotype"/>
          <w:b/>
          <w:bCs/>
          <w:color w:val="C62828"/>
          <w:sz w:val="22"/>
          <w:szCs w:val="22"/>
        </w:rPr>
        <w:t xml:space="preserve">6.4 months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in cannabis users on immunotherapy vs. </w:t>
      </w:r>
      <w:r>
        <w:rPr>
          <w:rFonts w:ascii="Palatino Linotype" w:cs="Palatino Linotype" w:eastAsia="Palatino Linotype" w:hAnsi="Palatino Linotype"/>
          <w:b/>
          <w:bCs/>
          <w:color w:val="2E7D32"/>
          <w:sz w:val="22"/>
          <w:szCs w:val="22"/>
        </w:rPr>
        <w:t xml:space="preserve">28.5 months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in non-users. While the CCTG pooled analysis found no significant difference, the directional signal demands caution.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3. Nonspecific mechanism concern.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Nelson et al.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Journal of Medicinal Chemistry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, 2020) raised the possibility that CBD’s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in vitro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effects reflect colloidal aggregation rather than targeted VDAC1 modulation.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CBD is not dead.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It may have a role as a late-stage or palliative apoptotic trigger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after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the immune cycle completes, or in non-immunotherapy contexts. But within the gate-opening → immunotherapy stack, it is a contaminant. The quarantine holds until bench data proves otherwise.</w:t>
      </w:r>
    </w:p>
    <w:p>
      <w:pPr>
        <w:pStyle w:val="Heading1"/>
        <w:pageBreakBefore/>
        <w:spacing w:before="300" w:after="160"/>
      </w:pPr>
      <w:r>
        <w:rPr>
          <w:rFonts w:ascii="Calibri" w:cs="Calibri" w:eastAsia="Calibri" w:hAnsi="Calibri"/>
          <w:color w:val="2C3E6B"/>
        </w:rPr>
        <w:t xml:space="preserve">4. Critical Experiments: Four Questions, Four Kill Conditions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Table 2. </w:t>
      </w:r>
      <w:r>
        <w:rPr>
          <w:rFonts w:ascii="Palatino Linotype" w:cs="Palatino Linotype" w:eastAsia="Palatino Linotype" w:hAnsi="Palatino Linotype"/>
          <w:i/>
          <w:iCs/>
          <w:color w:val="546E7A"/>
          <w:sz w:val="20"/>
          <w:szCs w:val="20"/>
        </w:rPr>
        <w:t xml:space="preserve">Strategic experiment map — questions, falsification conditions, and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960"/>
      </w:tblGrid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Core Question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Falsification Condition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Cell Line / Reagents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Does TSPO-VDAC1 binding suppress mtDNA release?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62828"/>
                <w:sz w:val="20"/>
                <w:szCs w:val="20"/>
              </w:rPr>
              <w:t xml:space="preserve">KILL IF: 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TSPO-knockdown CRC cells show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20"/>
                <w:szCs w:val="20"/>
              </w:rPr>
              <w:t xml:space="preserve">equal or less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 cytosolic mtDNA than wild-type.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HCT116 (MSS CRC, TP53-wt)
TSPO shRNA / CRISPR-KO
PicoGreen mtDNA quantification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Does lovastatin open the VDAC1 gate in CRC cells?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62828"/>
                <w:sz w:val="20"/>
                <w:szCs w:val="20"/>
              </w:rPr>
              <w:t xml:space="preserve">KILL IF: 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Lovastatin fails to increase cytosolic mtDNA 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1A1A2E"/>
                <w:sz w:val="20"/>
                <w:szCs w:val="20"/>
              </w:rPr>
              <w:t xml:space="preserve">or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 cGAS-STING activation is absent in VDAC1-KO cells.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HCT116 ± VDAC1-KO
Lovastatin (1–10 μM)
qPCR cytosolic mtDNA
IFN-β ELISA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Does CBD suppress T-cell function at VDAC1-active doses?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62828"/>
                <w:sz w:val="20"/>
                <w:szCs w:val="20"/>
              </w:rPr>
              <w:t xml:space="preserve">KILL IF: 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CBD ≥10 μM does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20"/>
                <w:szCs w:val="20"/>
              </w:rPr>
              <w:t xml:space="preserve">not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 suppress IL-2 / IFN-γ in co-culture. (Rescues CBD from quarantine.)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PBMCs + HCT116 co-culture
CBD 1–50 μM
Flow cytometry (CD8+ IFN-γ)
IL-2 ELISA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Does statin pre-treatment enhance botensilimab response?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62828"/>
                <w:sz w:val="20"/>
                <w:szCs w:val="20"/>
              </w:rPr>
              <w:t xml:space="preserve">KILL IF: 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Lovastatin pre-treatment + anti-CTLA-4 shows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1A1A2E"/>
                <w:sz w:val="20"/>
                <w:szCs w:val="20"/>
              </w:rPr>
              <w:t xml:space="preserve">no improvement</w:t>
            </w: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 over anti-CTLA-4 alone in MSS CRC mouse model.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CT26 syngeneic (MSS CRC mouse)
Lovastatin × 7d pre-treatment
Anti-CTLA-4 mAb
Tumor volume + survival</w:t>
            </w:r>
          </w:p>
        </w:tc>
      </w:tr>
    </w:tbl>
    <w:p>
      <w:pPr>
        <w:spacing w:before="120"/>
      </w:pP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Experiment priority: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Experiment 2 is the linchpin. If lovastatin does not open the VDAC1 gate in CRC cells with measurable cGAS-STING activation, the entire statin-based architecture collapses. Experiment 1 (TSPO tether) is exploratory — it extends the framework but is not load-bearing. Experiment 3 determines CBD’s future. Experiment 4 is the translational proof but requires animal models and longer timeline.</w:t>
      </w:r>
    </w:p>
    <w:p>
      <w:pPr>
        <w:spacing w:after="140" w:line="300"/>
        <w:ind w:firstLine="36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The AML venetoclax experiment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(separate proposal, already designed) tests the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universal physics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of gate opening: does Bcl-xL displacement from VDAC1 produce mtDNA release and cGAS-STING activation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before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canonical apoptosis? A positive result validates the entire gate-opener class, making Experiments 2 and 4 higher-confidence bets.</w:t>
      </w:r>
    </w:p>
    <w:p>
      <w:pPr>
        <w:pStyle w:val="Heading1"/>
        <w:pageBreakBefore/>
        <w:spacing w:before="300" w:after="160"/>
      </w:pPr>
      <w:r>
        <w:rPr>
          <w:rFonts w:ascii="Calibri" w:cs="Calibri" w:eastAsia="Calibri" w:hAnsi="Calibri"/>
          <w:color w:val="2C3E6B"/>
        </w:rPr>
        <w:t xml:space="preserve">5. Support Mechanisms: What the Literature Validated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The critical literature review validated several support interventions that strengthen the statin-immunotherapy core without introducing the contradictions that killed the original hypothesis.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C3E6B"/>
          <w:sz w:val="20"/>
          <w:szCs w:val="20"/>
        </w:rPr>
        <w:t xml:space="preserve">Table 3. </w:t>
      </w:r>
      <w:r>
        <w:rPr>
          <w:rFonts w:ascii="Palatino Linotype" w:cs="Palatino Linotype" w:eastAsia="Palatino Linotype" w:hAnsi="Palatino Linotype"/>
          <w:i/>
          <w:iCs/>
          <w:color w:val="546E7A"/>
          <w:sz w:val="20"/>
          <w:szCs w:val="20"/>
        </w:rPr>
        <w:t xml:space="preserve">Validated support mechanisms and their evidence 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Intervention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Mechanism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Key Evidence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C3E6B"/>
                <w:sz w:val="20"/>
                <w:szCs w:val="20"/>
              </w:rPr>
              <w:t xml:space="preserve">Grade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Vitamin D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Gut microbiome → Bacteroides fragilis → enhanced ICI response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Giampazolias et al., Science, 2024; HR 0.47 meta-analysis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E7D32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Circadian timing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BMAL1 integrates mitochondrial metabolism + macrophage activation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Alexander et al., eLife, 2020; O’Siorain et al., FASEB, 2024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65100"/>
                <w:sz w:val="20"/>
                <w:szCs w:val="20"/>
              </w:rPr>
              <w:t xml:space="preserve">MODERATE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Glucose restriction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Metabolic stress on Warburg-dependent cells; HK-II displacement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Preclinical only; no Phase III RCT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C62828"/>
                <w:sz w:val="20"/>
                <w:szCs w:val="20"/>
              </w:rPr>
              <w:t xml:space="preserve">WEAK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Exercise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Catecholamine-driven NK/CD8+ mobilization; metabolic fitness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1A1A2E"/>
                <w:sz w:val="20"/>
                <w:szCs w:val="20"/>
              </w:rPr>
              <w:t xml:space="preserve">Epidemiological + mechanistic; timing matters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E65100"/>
                <w:sz w:val="20"/>
                <w:szCs w:val="20"/>
              </w:rPr>
              <w:t xml:space="preserve">MODERATE</w:t>
            </w:r>
          </w:p>
        </w:tc>
      </w:tr>
    </w:tbl>
    <w:p>
      <w:pPr>
        <w:spacing w:before="160"/>
      </w:pPr>
    </w:p>
    <w:p>
      <w:pPr>
        <w:pBdr>
          <w:bottom w:val="single" w:color="CFD8DC" w:sz="2" w:space="4"/>
        </w:pBdr>
        <w:spacing w:before="120" w:after="120"/>
      </w:pPr>
    </w:p>
    <w:p>
      <w:pPr>
        <w:pStyle w:val="Heading1"/>
        <w:spacing w:before="300" w:after="160"/>
      </w:pPr>
      <w:r>
        <w:rPr>
          <w:rFonts w:ascii="Calibri" w:cs="Calibri" w:eastAsia="Calibri" w:hAnsi="Calibri"/>
          <w:color w:val="2C3E6B"/>
        </w:rPr>
        <w:t xml:space="preserve">Next Steps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Let the foundational preprint (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Context-Specific Innate Immune Evasion via VDAC1 Gate-Jamming in Microsatellite-Stable Colorectal Cancer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) clear bioRxiv screening. The field digests that first.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Run the AML venetoclax experiment to prove the universal gate-opening physics (Bcl-xL lock). This is the proof-of-concept for the entire drug class.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Design and submit Experiment 2 (lovastatin → VDAC1 gate opening in HCT116) as the CRC-specific validation. This can run concurrently with the AML work.</w:t>
      </w:r>
    </w:p>
    <w:p>
      <w:pPr>
        <w:spacing w:after="140" w:line="300"/>
        <w:jc w:val="both"/>
      </w:pPr>
      <w:r>
        <w:rPr>
          <w:rFonts w:ascii="Palatino Linotype" w:cs="Palatino Linotype" w:eastAsia="Palatino Linotype" w:hAnsi="Palatino Linotype"/>
          <w:b/>
          <w:bCs/>
          <w:color w:val="1A1A2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When bench data returns from Experiments 1–2, this SAD converts into a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Cancer Discovery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or </w:t>
      </w:r>
      <w:r>
        <w:rPr>
          <w:rFonts w:ascii="Palatino Linotype" w:cs="Palatino Linotype" w:eastAsia="Palatino Linotype" w:hAnsi="Palatino Linotype"/>
          <w:i/>
          <w:iCs/>
          <w:color w:val="1A1A2E"/>
          <w:sz w:val="22"/>
          <w:szCs w:val="22"/>
        </w:rPr>
        <w:t xml:space="preserve">Cell</w:t>
      </w:r>
      <w:r>
        <w:rPr>
          <w:rFonts w:ascii="Palatino Linotype" w:cs="Palatino Linotype" w:eastAsia="Palatino Linotype" w:hAnsi="Palatino Linotype"/>
          <w:color w:val="1A1A2E"/>
          <w:sz w:val="22"/>
          <w:szCs w:val="22"/>
        </w:rPr>
        <w:t xml:space="preserve"> Perspective paper with empirical backing.</w:t>
      </w:r>
    </w:p>
    <w:p>
      <w:pPr>
        <w:spacing w:before="200"/>
      </w:pPr>
    </w:p>
    <w:p>
      <w:pPr>
        <w:pBdr>
          <w:bottom w:val="single" w:color="CFD8DC" w:sz="2" w:space="4"/>
        </w:pBdr>
        <w:spacing w:before="120" w:after="120"/>
      </w:pPr>
    </w:p>
    <w:p>
      <w:pPr>
        <w:spacing w:before="120"/>
        <w:jc w:val="center"/>
      </w:pPr>
      <w:r>
        <w:rPr>
          <w:rFonts w:ascii="Palatino Linotype" w:cs="Palatino Linotype" w:eastAsia="Palatino Linotype" w:hAnsi="Palatino Linotype"/>
          <w:i/>
          <w:iCs/>
          <w:color w:val="546E7A"/>
          <w:sz w:val="22"/>
          <w:szCs w:val="22"/>
        </w:rPr>
        <w:t xml:space="preserve">The literature burned the old phase sequence, but it handed us a weaponized, clinically actionable stack.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90A4AE"/>
          <w:sz w:val="18"/>
          <w:szCs w:val="18"/>
        </w:rPr>
        <w:t xml:space="preserve">— Gemini 2.5 Pro,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2" w:space="4"/>
      </w:pBdr>
      <w:jc w:val="center"/>
    </w:pPr>
    <w:r>
      <w:rPr>
        <w:rFonts w:ascii="Calibri" w:cs="Calibri" w:eastAsia="Calibri" w:hAnsi="Calibri"/>
        <w:color w:val="90A4AE"/>
        <w:sz w:val="16"/>
        <w:szCs w:val="16"/>
      </w:rPr>
      <w:t xml:space="preserve">Page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DC" w:sz="2" w:space="4"/>
      </w:pBdr>
      <w:jc w:val="right"/>
    </w:pPr>
    <w:r>
      <w:rPr>
        <w:rFonts w:ascii="Calibri" w:cs="Calibri" w:eastAsia="Calibri" w:hAnsi="Calibri"/>
        <w:color w:val="90A4AE"/>
        <w:sz w:val="16"/>
        <w:szCs w:val="16"/>
      </w:rPr>
      <w:t xml:space="preserve">SAD v1.0  •  VDAC1 Gate-Opening Therapeutic Stack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2C3E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2C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2026-02-22T03:31:09.070Z</dcterms:created>
  <dcterms:modified xsi:type="dcterms:W3CDTF">2026-02-22T03:31:09.071Z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