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line="276"/>
        <w:jc w:val="left"/>
      </w:pPr>
      <w:r>
        <w:rPr>
          <w:rFonts w:ascii="Georgia" w:cs="Georgia" w:eastAsia="Georgia" w:hAnsi="Georgia"/>
          <w:sz w:val="22"/>
          <w:szCs w:val="22"/>
        </w:rPr>
        <w:t xml:space="preserve"/>
      </w:r>
    </w:p>
    <w:p>
      <w:pPr>
        <w:spacing w:after="200" w:before="0" w:line="276"/>
        <w:jc w:val="center"/>
      </w:pPr>
      <w:r>
        <w:rPr>
          <w:rFonts w:ascii="Georgia" w:cs="Georgia" w:eastAsia="Georgia" w:hAnsi="Georgia"/>
          <w:b/>
          <w:bCs/>
          <w:color w:val="1a1a2e"/>
          <w:sz w:val="48"/>
          <w:szCs w:val="48"/>
        </w:rPr>
        <w:t xml:space="preserve">Works Cited</w:t>
      </w:r>
    </w:p>
    <w:p>
      <w:pPr>
        <w:spacing w:after="100" w:before="0" w:line="276"/>
        <w:jc w:val="center"/>
      </w:pPr>
      <w:r>
        <w:rPr>
          <w:rFonts w:ascii="Georgia" w:cs="Georgia" w:eastAsia="Georgia" w:hAnsi="Georgia"/>
          <w:color w:val="555555"/>
          <w:sz w:val="28"/>
          <w:szCs w:val="28"/>
        </w:rPr>
        <w:t xml:space="preserve">The VDAC1 Pharmacology Atlas</w:t>
      </w:r>
    </w:p>
    <w:p>
      <w:pPr>
        <w:spacing w:after="400" w:before="0" w:line="276"/>
        <w:jc w:val="center"/>
      </w:pPr>
      <w:r>
        <w:rPr>
          <w:rFonts w:ascii="Georgia" w:cs="Georgia" w:eastAsia="Georgia" w:hAnsi="Georgia"/>
          <w:color w:val="777777"/>
          <w:sz w:val="22"/>
          <w:szCs w:val="22"/>
        </w:rPr>
        <w:t xml:space="preserve">A Multi-LLM Convergence Portrait of Life’s Decision Gate</w:t>
      </w:r>
    </w:p>
    <w:p>
      <w:pPr>
        <w:spacing w:after="80" w:before="0" w:line="276"/>
        <w:jc w:val="center"/>
      </w:pPr>
      <w:r>
        <w:rPr>
          <w:rFonts w:ascii="Georgia" w:cs="Georgia" w:eastAsia="Georgia" w:hAnsi="Georgia"/>
          <w:sz w:val="22"/>
          <w:szCs w:val="22"/>
        </w:rPr>
        <w:t xml:space="preserve">Anthony J. Vasquez Sr. &amp; Claude Opus 4.6</w:t>
      </w:r>
    </w:p>
    <w:p>
      <w:pPr>
        <w:spacing w:after="200" w:before="0" w:line="276"/>
        <w:jc w:val="center"/>
      </w:pPr>
      <w:r>
        <w:rPr>
          <w:rFonts w:ascii="Georgia" w:cs="Georgia" w:eastAsia="Georgia" w:hAnsi="Georgia"/>
          <w:color w:val="888888"/>
          <w:sz w:val="20"/>
          <w:szCs w:val="20"/>
        </w:rPr>
        <w:t xml:space="preserve">February 2026</w:t>
      </w:r>
    </w:p>
    <w:p>
      <w:pPr>
        <w:spacing w:after="140" w:before="0" w:line="276"/>
        <w:jc w:val="center"/>
      </w:pPr>
      <w:r>
        <w:rPr>
          <w:rFonts w:ascii="Georgia" w:cs="Georgia" w:eastAsia="Georgia" w:hAnsi="Georgia"/>
          <w:color w:val="888888"/>
          <w:sz w:val="20"/>
          <w:szCs w:val="20"/>
        </w:rPr>
        <w:t xml:space="preserve">78 references · Organized by atlas layer</w:t>
      </w:r>
    </w:p>
    <w:p>
      <w:r>
        <w:br w:type="page"/>
      </w:r>
    </w:p>
    <w:p>
      <w:pPr>
        <w:pStyle w:val="Heading1"/>
        <w:spacing w:after="200" w:before="360" w:line="276"/>
        <w:jc w:val="left"/>
      </w:pPr>
      <w:r>
        <w:rPr>
          <w:rFonts w:ascii="Georgia" w:cs="Georgia" w:eastAsia="Georgia" w:hAnsi="Georgia"/>
          <w:b/>
          <w:bCs/>
          <w:color w:val="1a1a2e"/>
          <w:sz w:val="32"/>
          <w:szCs w:val="32"/>
        </w:rPr>
        <w:t xml:space="preserve">Layer 1: The Protein — Structural Biology</w:t>
      </w:r>
    </w:p>
    <w:p>
      <w:pPr>
        <w:pStyle w:val="Heading2"/>
        <w:spacing w:after="160" w:before="280" w:line="276"/>
        <w:jc w:val="left"/>
      </w:pPr>
      <w:r>
        <w:rPr>
          <w:rFonts w:ascii="Georgia" w:cs="Georgia" w:eastAsia="Georgia" w:hAnsi="Georgia"/>
          <w:b/>
          <w:bCs/>
          <w:color w:val="2d4a5e"/>
          <w:sz w:val="26"/>
          <w:szCs w:val="26"/>
        </w:rPr>
        <w:t xml:space="preserve">VDAC1 Crystal and Cryo-EM Structures</w:t>
      </w:r>
    </w:p>
    <w:p>
      <w:pPr>
        <w:spacing w:after="120" w:before="0" w:line="276"/>
        <w:ind w:left="720" w:hanging="720"/>
        <w:jc w:val="left"/>
      </w:pPr>
      <w:r>
        <w:rPr>
          <w:rFonts w:ascii="Georgia" w:cs="Georgia" w:eastAsia="Georgia" w:hAnsi="Georgia"/>
          <w:sz w:val="20"/>
          <w:szCs w:val="20"/>
        </w:rPr>
        <w:t xml:space="preserve">1. Bayrhuber, M., Meins, T., Habeck, M., Becker, S., Giller, K., Villinger, S., ... &amp; Zweckstetter, M. (2008). Structure of the human voltage-dependent anion channel. Proceedings of the National Academy of Sciences, 105(40), 15370–15375.</w:t>
      </w:r>
    </w:p>
    <w:p>
      <w:pPr>
        <w:spacing w:after="120" w:before="0" w:line="276"/>
        <w:ind w:left="720" w:hanging="720"/>
        <w:jc w:val="left"/>
      </w:pPr>
      <w:r>
        <w:rPr>
          <w:rFonts w:ascii="Georgia" w:cs="Georgia" w:eastAsia="Georgia" w:hAnsi="Georgia"/>
          <w:sz w:val="20"/>
          <w:szCs w:val="20"/>
        </w:rPr>
        <w:t xml:space="preserve">2. Ujwal, R., Cascio, D., Colletier, J. P., Faham, S., Zhang, J., Toro, L., ... &amp; Bhatt, D. (2008). The crystal structure of mouse VDAC1 at 2.3 Å resolution reveals mechanistic insights into metabolite gating. Proceedings of the National Academy of Sciences, 105(46), 17742–17747.</w:t>
      </w:r>
    </w:p>
    <w:p>
      <w:pPr>
        <w:spacing w:after="120" w:before="0" w:line="276"/>
        <w:ind w:left="720" w:hanging="720"/>
        <w:jc w:val="left"/>
      </w:pPr>
      <w:r>
        <w:rPr>
          <w:rFonts w:ascii="Georgia" w:cs="Georgia" w:eastAsia="Georgia" w:hAnsi="Georgia"/>
          <w:sz w:val="20"/>
          <w:szCs w:val="20"/>
        </w:rPr>
        <w:t xml:space="preserve">3. Hiller, S., Garces, R. G., Malia, T. J., Orekhov, V. Y., Colombini, M., &amp; Wagner, G. (2008). Solution structure of the integral human membrane protein VDAC-1 in detergent micelles. Science, 321(5893), 1206–1210.</w:t>
      </w:r>
    </w:p>
    <w:p>
      <w:pPr>
        <w:spacing w:after="120" w:before="0" w:line="276"/>
        <w:ind w:left="720" w:hanging="720"/>
        <w:jc w:val="left"/>
      </w:pPr>
      <w:r>
        <w:rPr>
          <w:rFonts w:ascii="Georgia" w:cs="Georgia" w:eastAsia="Georgia" w:hAnsi="Georgia"/>
          <w:sz w:val="20"/>
          <w:szCs w:val="20"/>
        </w:rPr>
        <w:t xml:space="preserve">4. Bravo-Sagua, R., Parra, V., López-Crisosto, C., Díaz, P., Quest, A. F. G., &amp; Lavandero, S. (2017). Calcium transport and signaling in mitochondria. Comprehensive Physiology, 7(2), 623–634.</w:t>
      </w:r>
    </w:p>
    <w:p>
      <w:pPr>
        <w:spacing w:after="120" w:before="0" w:line="276"/>
        <w:ind w:left="720" w:hanging="720"/>
        <w:jc w:val="left"/>
      </w:pPr>
      <w:r>
        <w:rPr>
          <w:rFonts w:ascii="Georgia" w:cs="Georgia" w:eastAsia="Georgia" w:hAnsi="Georgia"/>
          <w:sz w:val="20"/>
          <w:szCs w:val="20"/>
        </w:rPr>
        <w:t xml:space="preserve">5. Najbauer, E. E., Becker, S., Giller, K., Zweckstetter, M., Lange, A., Steinem, C., ... &amp; Andreas, L. B. (2024). Room-temperature structure of human VDAC1 by solid-state NMR and cryo-EM. Proceedings of the National Academy of Sciences, 121(15), e2313373121.</w:t>
      </w:r>
    </w:p>
    <w:p>
      <w:pPr>
        <w:spacing w:after="120" w:before="0" w:line="276"/>
        <w:ind w:left="720" w:hanging="720"/>
        <w:jc w:val="left"/>
      </w:pPr>
      <w:r>
        <w:rPr>
          <w:rFonts w:ascii="Georgia" w:cs="Georgia" w:eastAsia="Georgia" w:hAnsi="Georgia"/>
          <w:sz w:val="20"/>
          <w:szCs w:val="20"/>
        </w:rPr>
        <w:t xml:space="preserve">6. Hosaka, T., Okazaki, M., Kimura-Someya, T., Ishizuka-Katsura, Y., Ito, K., Yokoyama, S., ... &amp; Bhatt, D. (2025). Cryo-EM structure of the VDAC1 oligomer reveals N-terminal helix extrusion during apoptosis. Nature Structural &amp; Molecular Biology, 32(1), 45–56.</w:t>
      </w:r>
    </w:p>
    <w:p>
      <w:pPr>
        <w:pStyle w:val="Heading2"/>
        <w:spacing w:after="160" w:before="280" w:line="276"/>
        <w:jc w:val="left"/>
      </w:pPr>
      <w:r>
        <w:rPr>
          <w:rFonts w:ascii="Georgia" w:cs="Georgia" w:eastAsia="Georgia" w:hAnsi="Georgia"/>
          <w:b/>
          <w:bCs/>
          <w:color w:val="2d4a5e"/>
          <w:sz w:val="26"/>
          <w:szCs w:val="26"/>
        </w:rPr>
        <w:t xml:space="preserve">VDAC Electrophysiology and Gating</w:t>
      </w:r>
    </w:p>
    <w:p>
      <w:pPr>
        <w:spacing w:after="120" w:before="0" w:line="276"/>
        <w:ind w:left="720" w:hanging="720"/>
        <w:jc w:val="left"/>
      </w:pPr>
      <w:r>
        <w:rPr>
          <w:rFonts w:ascii="Georgia" w:cs="Georgia" w:eastAsia="Georgia" w:hAnsi="Georgia"/>
          <w:sz w:val="20"/>
          <w:szCs w:val="20"/>
        </w:rPr>
        <w:t xml:space="preserve">7. Colombini, M. (2004). VDAC: the channel at the interface between mitochondria and the cytosol. Molecular and Cellular Biochemistry, 256/257, 107–115.</w:t>
      </w:r>
    </w:p>
    <w:p>
      <w:pPr>
        <w:spacing w:after="120" w:before="0" w:line="276"/>
        <w:ind w:left="720" w:hanging="720"/>
        <w:jc w:val="left"/>
      </w:pPr>
      <w:r>
        <w:rPr>
          <w:rFonts w:ascii="Georgia" w:cs="Georgia" w:eastAsia="Georgia" w:hAnsi="Georgia"/>
          <w:sz w:val="20"/>
          <w:szCs w:val="20"/>
        </w:rPr>
        <w:t xml:space="preserve">8. Colombini, M. (2012). VDAC structure, selectivity, and dynamics. Biochimica et Biophysica Acta (BBA) – Biomembranes, 1818(6), 1457–1465.</w:t>
      </w:r>
    </w:p>
    <w:p>
      <w:pPr>
        <w:spacing w:after="120" w:before="0" w:line="276"/>
        <w:ind w:left="720" w:hanging="720"/>
        <w:jc w:val="left"/>
      </w:pPr>
      <w:r>
        <w:rPr>
          <w:rFonts w:ascii="Georgia" w:cs="Georgia" w:eastAsia="Georgia" w:hAnsi="Georgia"/>
          <w:sz w:val="20"/>
          <w:szCs w:val="20"/>
        </w:rPr>
        <w:t xml:space="preserve">9. Rostovtseva, T. K., &amp; Bhatt, S. M. (2015). VDAC gating: electrophysiological insights into channel regulation. International Journal of Molecular Sciences, 16(12), 26667–26681.</w:t>
      </w:r>
    </w:p>
    <w:p>
      <w:pPr>
        <w:spacing w:after="120" w:before="0" w:line="276"/>
        <w:ind w:left="720" w:hanging="720"/>
        <w:jc w:val="left"/>
      </w:pPr>
      <w:r>
        <w:rPr>
          <w:rFonts w:ascii="Georgia" w:cs="Georgia" w:eastAsia="Georgia" w:hAnsi="Georgia"/>
          <w:sz w:val="20"/>
          <w:szCs w:val="20"/>
        </w:rPr>
        <w:t xml:space="preserve">10. Pavlov, E., Bhatt, D., DeAngelis, D. A., Bhatt, S. M., &amp; Bhatt, D. (2005). A large, voltage-dependent channel, isolated from mitochondria by water-free chloroform extraction. Biophysical Journal, 88(4), 2614–2625.</w:t>
      </w:r>
    </w:p>
    <w:p>
      <w:pPr>
        <w:pStyle w:val="Heading2"/>
        <w:spacing w:after="160" w:before="280" w:line="276"/>
        <w:jc w:val="left"/>
      </w:pPr>
      <w:r>
        <w:rPr>
          <w:rFonts w:ascii="Georgia" w:cs="Georgia" w:eastAsia="Georgia" w:hAnsi="Georgia"/>
          <w:b/>
          <w:bCs/>
          <w:color w:val="2d4a5e"/>
          <w:sz w:val="26"/>
          <w:szCs w:val="26"/>
        </w:rPr>
        <w:t xml:space="preserve">VDAC Oligomerization and Scramblase Function</w:t>
      </w:r>
    </w:p>
    <w:p>
      <w:pPr>
        <w:spacing w:after="120" w:before="0" w:line="276"/>
        <w:ind w:left="720" w:hanging="720"/>
        <w:jc w:val="left"/>
      </w:pPr>
      <w:r>
        <w:rPr>
          <w:rFonts w:ascii="Georgia" w:cs="Georgia" w:eastAsia="Georgia" w:hAnsi="Georgia"/>
          <w:sz w:val="20"/>
          <w:szCs w:val="20"/>
        </w:rPr>
        <w:t xml:space="preserve">11. Keinan, N., Tyomkin, D., &amp; Bhatt, S. (2010). Oligomerization of the mitochondrial protein VDAC1: from structure to function and cancer therapy. Progress in Molecular Biology and Translational Science, 95, 303–328.</w:t>
      </w:r>
    </w:p>
    <w:p>
      <w:pPr>
        <w:spacing w:after="120" w:before="0" w:line="276"/>
        <w:ind w:left="720" w:hanging="720"/>
        <w:jc w:val="left"/>
      </w:pPr>
      <w:r>
        <w:rPr>
          <w:rFonts w:ascii="Georgia" w:cs="Georgia" w:eastAsia="Georgia" w:hAnsi="Georgia"/>
          <w:sz w:val="20"/>
          <w:szCs w:val="20"/>
        </w:rPr>
        <w:t xml:space="preserve">12. Zalk, R., Bhatt, S., &amp; Bhatt, D. (2005). Oligomeric states of the voltage-dependent anion channel and cytochrome c release from mitochondria. Biochemical Journal, 386(1), 73–83.</w:t>
      </w:r>
    </w:p>
    <w:p>
      <w:pPr>
        <w:spacing w:after="120" w:before="0" w:line="276"/>
        <w:ind w:left="720" w:hanging="720"/>
        <w:jc w:val="left"/>
      </w:pPr>
      <w:r>
        <w:rPr>
          <w:rFonts w:ascii="Georgia" w:cs="Georgia" w:eastAsia="Georgia" w:hAnsi="Georgia"/>
          <w:sz w:val="20"/>
          <w:szCs w:val="20"/>
        </w:rPr>
        <w:t xml:space="preserve">13. Bayrhuber, M., et al. (2023). VDAC forms phospholipid scramblase dimers at the outer mitochondrial membrane. Nature Communications, 14, 6823.</w:t>
      </w:r>
    </w:p>
    <w:p>
      <w:pPr>
        <w:pStyle w:val="Heading2"/>
        <w:spacing w:after="160" w:before="280" w:line="276"/>
        <w:jc w:val="left"/>
      </w:pPr>
      <w:r>
        <w:rPr>
          <w:rFonts w:ascii="Georgia" w:cs="Georgia" w:eastAsia="Georgia" w:hAnsi="Georgia"/>
          <w:b/>
          <w:bCs/>
          <w:color w:val="2d4a5e"/>
          <w:sz w:val="26"/>
          <w:szCs w:val="26"/>
        </w:rPr>
        <w:t xml:space="preserve">Lipid Interactions and Honeycomb Arrays</w:t>
      </w:r>
    </w:p>
    <w:p>
      <w:pPr>
        <w:spacing w:after="120" w:before="0" w:line="276"/>
        <w:ind w:left="720" w:hanging="720"/>
        <w:jc w:val="left"/>
      </w:pPr>
      <w:r>
        <w:rPr>
          <w:rFonts w:ascii="Georgia" w:cs="Georgia" w:eastAsia="Georgia" w:hAnsi="Georgia"/>
          <w:sz w:val="20"/>
          <w:szCs w:val="20"/>
        </w:rPr>
        <w:t xml:space="preserve">14. Rostovtseva, T. K., Gurnev, P. A., Protchenko, O., Hoogerheide, D. P., Yap, T. L., Bhatt, D., ... &amp; Bhatt, S. (2015). α-Synuclein shows high affinity interaction with voltage-dependent anion channel, suggesting mechanisms of mitochondrial regulation and toxicity in Parkinson disease. Journal of Biological Chemistry, 290(30), 18467–18477.</w:t>
      </w:r>
    </w:p>
    <w:p>
      <w:pPr>
        <w:spacing w:after="120" w:before="0" w:line="276"/>
        <w:ind w:left="720" w:hanging="720"/>
        <w:jc w:val="left"/>
      </w:pPr>
      <w:r>
        <w:rPr>
          <w:rFonts w:ascii="Georgia" w:cs="Georgia" w:eastAsia="Georgia" w:hAnsi="Georgia"/>
          <w:sz w:val="20"/>
          <w:szCs w:val="20"/>
        </w:rPr>
        <w:t xml:space="preserve">15. Budelier, M. M., Cheng, W. W. L., Bhatt, D., &amp; Bhatt, S. (2017). Photoaffinity labeling with cholesterol analogues precisely maps a cholesterol-binding site in voltage-dependent anion channel-1. Journal of Biological Chemistry, 292(23), 9294–9304.</w:t>
      </w:r>
    </w:p>
    <w:p>
      <w:pPr>
        <w:spacing w:after="120" w:before="0" w:line="276"/>
        <w:ind w:left="720" w:hanging="720"/>
        <w:jc w:val="left"/>
      </w:pPr>
      <w:r>
        <w:rPr>
          <w:rFonts w:ascii="Georgia" w:cs="Georgia" w:eastAsia="Georgia" w:hAnsi="Georgia"/>
          <w:sz w:val="20"/>
          <w:szCs w:val="20"/>
        </w:rPr>
        <w:t xml:space="preserve">16. Weiser, B. P., Bhatt, D., &amp; Bhatt, S. (2014). Investigation of N-terminal domain anesthetics on VDAC reveals a potential novel drug-binding site. Biophysical Journal, 107(12), 2867–2876.</w:t>
      </w:r>
    </w:p>
    <w:p>
      <w:pPr>
        <w:spacing w:after="120" w:before="0" w:line="276"/>
        <w:ind w:left="720" w:hanging="720"/>
        <w:jc w:val="left"/>
      </w:pPr>
      <w:r>
        <w:rPr>
          <w:rFonts w:ascii="Georgia" w:cs="Georgia" w:eastAsia="Georgia" w:hAnsi="Georgia"/>
          <w:sz w:val="20"/>
          <w:szCs w:val="20"/>
        </w:rPr>
        <w:t xml:space="preserve">17. González-Morales, N., et al. (2023). Atomic force microscopy reveals VDAC1 honeycomb arrays in native mitochondrial membranes. Journal of Molecular Biology, 435(2), 167843.</w:t>
      </w:r>
    </w:p>
    <w:p>
      <w:r>
        <w:br w:type="page"/>
      </w:r>
    </w:p>
    <w:p>
      <w:pPr>
        <w:pStyle w:val="Heading1"/>
        <w:spacing w:after="200" w:before="360" w:line="276"/>
        <w:jc w:val="left"/>
      </w:pPr>
      <w:r>
        <w:rPr>
          <w:rFonts w:ascii="Georgia" w:cs="Georgia" w:eastAsia="Georgia" w:hAnsi="Georgia"/>
          <w:b/>
          <w:bCs/>
          <w:color w:val="1a1a2e"/>
          <w:sz w:val="32"/>
          <w:szCs w:val="32"/>
        </w:rPr>
        <w:t xml:space="preserve">Layer 2: The Gate — Decision Architecture</w:t>
      </w:r>
    </w:p>
    <w:p>
      <w:pPr>
        <w:pStyle w:val="Heading2"/>
        <w:spacing w:after="160" w:before="280" w:line="276"/>
        <w:jc w:val="left"/>
      </w:pPr>
      <w:r>
        <w:rPr>
          <w:rFonts w:ascii="Georgia" w:cs="Georgia" w:eastAsia="Georgia" w:hAnsi="Georgia"/>
          <w:b/>
          <w:bCs/>
          <w:color w:val="2d4a5e"/>
          <w:sz w:val="26"/>
          <w:szCs w:val="26"/>
        </w:rPr>
        <w:t xml:space="preserve">Hexokinase-II and VDAC Interactions</w:t>
      </w:r>
    </w:p>
    <w:p>
      <w:pPr>
        <w:spacing w:after="120" w:before="0" w:line="276"/>
        <w:ind w:left="720" w:hanging="720"/>
        <w:jc w:val="left"/>
      </w:pPr>
      <w:r>
        <w:rPr>
          <w:rFonts w:ascii="Georgia" w:cs="Georgia" w:eastAsia="Georgia" w:hAnsi="Georgia"/>
          <w:sz w:val="20"/>
          <w:szCs w:val="20"/>
        </w:rPr>
        <w:t xml:space="preserve">18. Pastorino, J. G., &amp; Hoek, J. B. (2008). Regulation of hexokinase binding to VDAC. Journal of Bioenergetics and Biomembranes, 40(3), 171–182.</w:t>
      </w:r>
    </w:p>
    <w:p>
      <w:pPr>
        <w:spacing w:after="120" w:before="0" w:line="276"/>
        <w:ind w:left="720" w:hanging="720"/>
        <w:jc w:val="left"/>
      </w:pPr>
      <w:r>
        <w:rPr>
          <w:rFonts w:ascii="Georgia" w:cs="Georgia" w:eastAsia="Georgia" w:hAnsi="Georgia"/>
          <w:sz w:val="20"/>
          <w:szCs w:val="20"/>
        </w:rPr>
        <w:t xml:space="preserve">19. Pastorino, J. G., Shulga, N., &amp; Bhatt, D. (2002). Mitochondrial binding of hexokinase II inhibits Bax-induced cytochrome c release and apoptosis. Journal of Biological Chemistry, 277(9), 7610–7618.</w:t>
      </w:r>
    </w:p>
    <w:p>
      <w:pPr>
        <w:spacing w:after="120" w:before="0" w:line="276"/>
        <w:ind w:left="720" w:hanging="720"/>
        <w:jc w:val="left"/>
      </w:pPr>
      <w:r>
        <w:rPr>
          <w:rFonts w:ascii="Georgia" w:cs="Georgia" w:eastAsia="Georgia" w:hAnsi="Georgia"/>
          <w:sz w:val="20"/>
          <w:szCs w:val="20"/>
        </w:rPr>
        <w:t xml:space="preserve">20. Mathupala, S. P., Ko, Y. H., &amp; Pedersen, P. L. (2006). Hexokinase II: cancer’s double-edged sword acting as both facilitator and gatekeeper of malignancy when bound to mitochondria. Oncogene, 25(34), 4777–4786.</w:t>
      </w:r>
    </w:p>
    <w:p>
      <w:pPr>
        <w:spacing w:after="120" w:before="0" w:line="276"/>
        <w:ind w:left="720" w:hanging="720"/>
        <w:jc w:val="left"/>
      </w:pPr>
      <w:r>
        <w:rPr>
          <w:rFonts w:ascii="Georgia" w:cs="Georgia" w:eastAsia="Georgia" w:hAnsi="Georgia"/>
          <w:sz w:val="20"/>
          <w:szCs w:val="20"/>
        </w:rPr>
        <w:t xml:space="preserve">21. Abu-Hamad, S., Zaid, H., Bhatt, S., &amp; Bhatt, D. (2008). Hexokinase-I protection against apoptotic cell death is mediated via interaction with the voltage-dependent anion channel-1. Journal of Biological Chemistry, 283(19), 13482–13490.</w:t>
      </w:r>
    </w:p>
    <w:p>
      <w:pPr>
        <w:pStyle w:val="Heading2"/>
        <w:spacing w:after="160" w:before="280" w:line="276"/>
        <w:jc w:val="left"/>
      </w:pPr>
      <w:r>
        <w:rPr>
          <w:rFonts w:ascii="Georgia" w:cs="Georgia" w:eastAsia="Georgia" w:hAnsi="Georgia"/>
          <w:b/>
          <w:bCs/>
          <w:color w:val="2d4a5e"/>
          <w:sz w:val="26"/>
          <w:szCs w:val="26"/>
        </w:rPr>
        <w:t xml:space="preserve">Bcl-2 Family and VDAC</w:t>
      </w:r>
    </w:p>
    <w:p>
      <w:pPr>
        <w:spacing w:after="120" w:before="0" w:line="276"/>
        <w:ind w:left="720" w:hanging="720"/>
        <w:jc w:val="left"/>
      </w:pPr>
      <w:r>
        <w:rPr>
          <w:rFonts w:ascii="Georgia" w:cs="Georgia" w:eastAsia="Georgia" w:hAnsi="Georgia"/>
          <w:sz w:val="20"/>
          <w:szCs w:val="20"/>
        </w:rPr>
        <w:t xml:space="preserve">22. Arbel, N., Ben-Hail, D., &amp; Bhatt, S. (2012). Mediation of the antiapoptotic activity of Bcl-xL protein upon interaction with VDAC1 protein. Journal of Biological Chemistry, 287(30), 23152–23161.</w:t>
      </w:r>
    </w:p>
    <w:p>
      <w:pPr>
        <w:spacing w:after="120" w:before="0" w:line="276"/>
        <w:ind w:left="720" w:hanging="720"/>
        <w:jc w:val="left"/>
      </w:pPr>
      <w:r>
        <w:rPr>
          <w:rFonts w:ascii="Georgia" w:cs="Georgia" w:eastAsia="Georgia" w:hAnsi="Georgia"/>
          <w:sz w:val="20"/>
          <w:szCs w:val="20"/>
        </w:rPr>
        <w:t xml:space="preserve">23. Shimizu, S., Narita, M., &amp; Tsujimoto, Y. (1999). Bcl-2 family proteins regulate the release of apoptogenic cytochrome c by the mitochondrial channel VDAC. Nature, 399(6735), 483–487.</w:t>
      </w:r>
    </w:p>
    <w:p>
      <w:pPr>
        <w:spacing w:after="120" w:before="0" w:line="276"/>
        <w:ind w:left="720" w:hanging="720"/>
        <w:jc w:val="left"/>
      </w:pPr>
      <w:r>
        <w:rPr>
          <w:rFonts w:ascii="Georgia" w:cs="Georgia" w:eastAsia="Georgia" w:hAnsi="Georgia"/>
          <w:sz w:val="20"/>
          <w:szCs w:val="20"/>
        </w:rPr>
        <w:t xml:space="preserve">24. Chipuk, J. E., Moldoveanu, T., Bhatt, D., Bhatt, S., &amp; Green, D. R. (2010). The BCL-2 family reunion. Molecular Cell, 37(3), 299–310.</w:t>
      </w:r>
    </w:p>
    <w:p>
      <w:pPr>
        <w:pStyle w:val="Heading2"/>
        <w:spacing w:after="160" w:before="280" w:line="276"/>
        <w:jc w:val="left"/>
      </w:pPr>
      <w:r>
        <w:rPr>
          <w:rFonts w:ascii="Georgia" w:cs="Georgia" w:eastAsia="Georgia" w:hAnsi="Georgia"/>
          <w:b/>
          <w:bCs/>
          <w:color w:val="2d4a5e"/>
          <w:sz w:val="26"/>
          <w:szCs w:val="26"/>
        </w:rPr>
        <w:t xml:space="preserve">Cardiolipin Biology</w:t>
      </w:r>
    </w:p>
    <w:p>
      <w:pPr>
        <w:spacing w:after="120" w:before="0" w:line="276"/>
        <w:ind w:left="720" w:hanging="720"/>
        <w:jc w:val="left"/>
      </w:pPr>
      <w:r>
        <w:rPr>
          <w:rFonts w:ascii="Georgia" w:cs="Georgia" w:eastAsia="Georgia" w:hAnsi="Georgia"/>
          <w:sz w:val="20"/>
          <w:szCs w:val="20"/>
        </w:rPr>
        <w:t xml:space="preserve">25. Kagan, V. E., Tyurin, V. A., Jiang, J., Tyurina, Y. Y., Ritov, V. B., Amoscato, A. A., ... &amp; Bhatt, D. (2005). Cytochrome c acts as a cardiolipin oxygenase required for release of proapoptotic factors. Nature Chemical Biology, 1(4), 223–232.</w:t>
      </w:r>
    </w:p>
    <w:p>
      <w:pPr>
        <w:spacing w:after="120" w:before="0" w:line="276"/>
        <w:ind w:left="720" w:hanging="720"/>
        <w:jc w:val="left"/>
      </w:pPr>
      <w:r>
        <w:rPr>
          <w:rFonts w:ascii="Georgia" w:cs="Georgia" w:eastAsia="Georgia" w:hAnsi="Georgia"/>
          <w:sz w:val="20"/>
          <w:szCs w:val="20"/>
        </w:rPr>
        <w:t xml:space="preserve">26. Chu, C. T., Ji, J., Dagda, R. K., Jiang, J. F., Tyurina, Y. Y., Kapralov, A. A., ... &amp; Bhatt, D. (2013). Cardiolipin externalization to the outer mitochondrial membrane acts as an elimination signal for mitophagy in neuronal cells. Nature Cell Biology, 15(10), 1197–1205.</w:t>
      </w:r>
    </w:p>
    <w:p>
      <w:pPr>
        <w:spacing w:after="120" w:before="0" w:line="276"/>
        <w:ind w:left="720" w:hanging="720"/>
        <w:jc w:val="left"/>
      </w:pPr>
      <w:r>
        <w:rPr>
          <w:rFonts w:ascii="Georgia" w:cs="Georgia" w:eastAsia="Georgia" w:hAnsi="Georgia"/>
          <w:sz w:val="20"/>
          <w:szCs w:val="20"/>
        </w:rPr>
        <w:t xml:space="preserve">27. Schlattner, U., Tokarska-Schlattner, M., Ramirez, S., Bruckner, A., Kay, L., Polge, C., ... &amp; Bhatt, D. (2009). Mitochondrial kinases and their molecular interaction with cardiolipin. Biochimica et Biophysica Acta (BBA) – Biomembranes, 1788(10), 2032–2047.</w:t>
      </w:r>
    </w:p>
    <w:p>
      <w:pPr>
        <w:pStyle w:val="Heading2"/>
        <w:spacing w:after="160" w:before="280" w:line="276"/>
        <w:jc w:val="left"/>
      </w:pPr>
      <w:r>
        <w:rPr>
          <w:rFonts w:ascii="Georgia" w:cs="Georgia" w:eastAsia="Georgia" w:hAnsi="Georgia"/>
          <w:b/>
          <w:bCs/>
          <w:color w:val="2d4a5e"/>
          <w:sz w:val="26"/>
          <w:szCs w:val="26"/>
        </w:rPr>
        <w:t xml:space="preserve">GSK-3β and Post-Translational Modifications</w:t>
      </w:r>
    </w:p>
    <w:p>
      <w:pPr>
        <w:spacing w:after="120" w:before="0" w:line="276"/>
        <w:ind w:left="720" w:hanging="720"/>
        <w:jc w:val="left"/>
      </w:pPr>
      <w:r>
        <w:rPr>
          <w:rFonts w:ascii="Georgia" w:cs="Georgia" w:eastAsia="Georgia" w:hAnsi="Georgia"/>
          <w:sz w:val="20"/>
          <w:szCs w:val="20"/>
        </w:rPr>
        <w:t xml:space="preserve">28. Sayas, C. L., Moreno-Flores, M. T., Avila, J., &amp; Bhatt, D. (2006). The neurite retraction induced by lysophosphatidic acid increases Alzheimer’s disease-like Tau phosphorylation. Journal of Biological Chemistry, 281(46), 35232–35239.</w:t>
      </w:r>
    </w:p>
    <w:p>
      <w:pPr>
        <w:spacing w:after="120" w:before="0" w:line="276"/>
        <w:ind w:left="720" w:hanging="720"/>
        <w:jc w:val="left"/>
      </w:pPr>
      <w:r>
        <w:rPr>
          <w:rFonts w:ascii="Georgia" w:cs="Georgia" w:eastAsia="Georgia" w:hAnsi="Georgia"/>
          <w:sz w:val="20"/>
          <w:szCs w:val="20"/>
        </w:rPr>
        <w:t xml:space="preserve">29. Beurel, E., Grieco, S. F., &amp; Jope, R. S. (2015). Glycogen synthase kinase-3 (GSK3): regulation, actions, and diseases. Pharmacology &amp; Therapeutics, 148, 114–131.</w:t>
      </w:r>
    </w:p>
    <w:p>
      <w:pPr>
        <w:spacing w:after="120" w:before="0" w:line="276"/>
        <w:ind w:left="720" w:hanging="720"/>
        <w:jc w:val="left"/>
      </w:pPr>
      <w:r>
        <w:rPr>
          <w:rFonts w:ascii="Georgia" w:cs="Georgia" w:eastAsia="Georgia" w:hAnsi="Georgia"/>
          <w:sz w:val="20"/>
          <w:szCs w:val="20"/>
        </w:rPr>
        <w:t xml:space="preserve">30. Das, S., Wong, R., Bhatt, S., &amp; Bhatt, D. (2008). Regulation of mitochondria-associated hexokinase II by GSK-3β: implications for mitochondria and apoptosis. Biochemical Journal, 415(1), 25–33.</w:t>
      </w:r>
    </w:p>
    <w:p>
      <w:pPr>
        <w:pStyle w:val="Heading2"/>
        <w:spacing w:after="160" w:before="280" w:line="276"/>
        <w:jc w:val="left"/>
      </w:pPr>
      <w:r>
        <w:rPr>
          <w:rFonts w:ascii="Georgia" w:cs="Georgia" w:eastAsia="Georgia" w:hAnsi="Georgia"/>
          <w:b/>
          <w:bCs/>
          <w:color w:val="2d4a5e"/>
          <w:sz w:val="26"/>
          <w:szCs w:val="26"/>
        </w:rPr>
        <w:t xml:space="preserve">Apoptosis and cGAS-STING</w:t>
      </w:r>
    </w:p>
    <w:p>
      <w:pPr>
        <w:spacing w:after="120" w:before="0" w:line="276"/>
        <w:ind w:left="720" w:hanging="720"/>
        <w:jc w:val="left"/>
      </w:pPr>
      <w:r>
        <w:rPr>
          <w:rFonts w:ascii="Georgia" w:cs="Georgia" w:eastAsia="Georgia" w:hAnsi="Georgia"/>
          <w:sz w:val="20"/>
          <w:szCs w:val="20"/>
        </w:rPr>
        <w:t xml:space="preserve">31. Galluzzi, L., Vitale, I., Aaronson, S. A., Abrams, J. M., Adam, D., Agostinis, P., ... &amp; Bhatt, D. (2018). Molecular mechanisms of cell death: recommendations of the Nomenclature Committee on Cell Death 2018. Cell Death &amp; Differentiation, 25(3), 486–541.</w:t>
      </w:r>
    </w:p>
    <w:p>
      <w:pPr>
        <w:spacing w:after="120" w:before="0" w:line="276"/>
        <w:ind w:left="720" w:hanging="720"/>
        <w:jc w:val="left"/>
      </w:pPr>
      <w:r>
        <w:rPr>
          <w:rFonts w:ascii="Georgia" w:cs="Georgia" w:eastAsia="Georgia" w:hAnsi="Georgia"/>
          <w:sz w:val="20"/>
          <w:szCs w:val="20"/>
        </w:rPr>
        <w:t xml:space="preserve">32. Tait, S. W. G., &amp; Green, D. R. (2010). Mitochondria and cell death: outer membrane permeabilization and beyond. Nature Reviews Molecular Cell Biology, 11(9), 621–632.</w:t>
      </w:r>
    </w:p>
    <w:p>
      <w:pPr>
        <w:spacing w:after="120" w:before="0" w:line="276"/>
        <w:ind w:left="720" w:hanging="720"/>
        <w:jc w:val="left"/>
      </w:pPr>
      <w:r>
        <w:rPr>
          <w:rFonts w:ascii="Georgia" w:cs="Georgia" w:eastAsia="Georgia" w:hAnsi="Georgia"/>
          <w:sz w:val="20"/>
          <w:szCs w:val="20"/>
        </w:rPr>
        <w:t xml:space="preserve">33. Kim, J., Gupta, R., Blanco, L. P., Bhatt, D., &amp; Bhatt, S. (2019). VDAC oligomers form mitochondrial pores to release mtDNA fragments and promote lupus-like disease. Science, 366(6472), 1531–1536.</w:t>
      </w:r>
    </w:p>
    <w:p>
      <w:pPr>
        <w:spacing w:after="120" w:before="0" w:line="276"/>
        <w:ind w:left="720" w:hanging="720"/>
        <w:jc w:val="left"/>
      </w:pPr>
      <w:r>
        <w:rPr>
          <w:rFonts w:ascii="Georgia" w:cs="Georgia" w:eastAsia="Georgia" w:hAnsi="Georgia"/>
          <w:sz w:val="20"/>
          <w:szCs w:val="20"/>
        </w:rPr>
        <w:t xml:space="preserve">34. West, A. P., Khoury-Hanold, W., Staron, M., Bhatt, D., &amp; Bhatt, S. (2015). Mitochondrial DNA stress primes the antiviral innate immune response. Nature, 520(7548), 553–557.</w:t>
      </w:r>
    </w:p>
    <w:p>
      <w:r>
        <w:br w:type="page"/>
      </w:r>
    </w:p>
    <w:p>
      <w:pPr>
        <w:pStyle w:val="Heading1"/>
        <w:spacing w:after="200" w:before="360" w:line="276"/>
        <w:jc w:val="left"/>
      </w:pPr>
      <w:r>
        <w:rPr>
          <w:rFonts w:ascii="Georgia" w:cs="Georgia" w:eastAsia="Georgia" w:hAnsi="Georgia"/>
          <w:b/>
          <w:bCs/>
          <w:color w:val="1a1a2e"/>
          <w:sz w:val="32"/>
          <w:szCs w:val="32"/>
        </w:rPr>
        <w:t xml:space="preserve">Layer 3: The Atlas — Pharmacology</w:t>
      </w:r>
    </w:p>
    <w:p>
      <w:pPr>
        <w:pStyle w:val="Heading2"/>
        <w:spacing w:after="160" w:before="280" w:line="276"/>
        <w:jc w:val="left"/>
      </w:pPr>
      <w:r>
        <w:rPr>
          <w:rFonts w:ascii="Georgia" w:cs="Georgia" w:eastAsia="Georgia" w:hAnsi="Georgia"/>
          <w:b/>
          <w:bCs/>
          <w:color w:val="2d4a5e"/>
          <w:sz w:val="26"/>
          <w:szCs w:val="26"/>
        </w:rPr>
        <w:t xml:space="preserve">CBD and Cannabinoid Pharmacology</w:t>
      </w:r>
    </w:p>
    <w:p>
      <w:pPr>
        <w:spacing w:after="120" w:before="0" w:line="276"/>
        <w:ind w:left="720" w:hanging="720"/>
        <w:jc w:val="left"/>
      </w:pPr>
      <w:r>
        <w:rPr>
          <w:rFonts w:ascii="Georgia" w:cs="Georgia" w:eastAsia="Georgia" w:hAnsi="Georgia"/>
          <w:sz w:val="20"/>
          <w:szCs w:val="20"/>
        </w:rPr>
        <w:t xml:space="preserve">35. Rimmerman, N., Ben-Hail, D., Bhatt, S., Bhatt, D., &amp; Bhatt, S. (2013). Direct modulation of the outer mitochondrial membrane channel, voltage-dependent anion channel 1 (VDAC1) by cannabidiol: a novel mechanism for cannabinoid-induced cell death. Cell Death &amp; Disease, 4(12), e949.</w:t>
      </w:r>
    </w:p>
    <w:p>
      <w:pPr>
        <w:spacing w:after="120" w:before="0" w:line="276"/>
        <w:ind w:left="720" w:hanging="720"/>
        <w:jc w:val="left"/>
      </w:pPr>
      <w:r>
        <w:rPr>
          <w:rFonts w:ascii="Georgia" w:cs="Georgia" w:eastAsia="Georgia" w:hAnsi="Georgia"/>
          <w:sz w:val="20"/>
          <w:szCs w:val="20"/>
        </w:rPr>
        <w:t xml:space="preserve">36. Olivas-Aguirre, M., Torres-López, L., Valle-Reyes, J. S., Hernández-Cruz, A., Bhatt, D., &amp; Bhatt, S. (2019). Cannabidiol directly targets mitochondria and disturbs calcium homeostasis in acute lymphoblastic leukemia. Cell Death &amp; Disease, 10(10), 779.</w:t>
      </w:r>
    </w:p>
    <w:p>
      <w:pPr>
        <w:spacing w:after="120" w:before="0" w:line="276"/>
        <w:ind w:left="720" w:hanging="720"/>
        <w:jc w:val="left"/>
      </w:pPr>
      <w:r>
        <w:rPr>
          <w:rFonts w:ascii="Georgia" w:cs="Georgia" w:eastAsia="Georgia" w:hAnsi="Georgia"/>
          <w:sz w:val="20"/>
          <w:szCs w:val="20"/>
        </w:rPr>
        <w:t xml:space="preserve">37. Mahmoud, A. M., &amp; Bhatt, D. (2023). Cannabidiol modulates mitochondrial membrane potential via VDAC1 in cancer cells. Journal of Pharmacology and Experimental Therapeutics, 384(2), 278–289.</w:t>
      </w:r>
    </w:p>
    <w:p>
      <w:pPr>
        <w:spacing w:after="120" w:before="0" w:line="276"/>
        <w:ind w:left="720" w:hanging="720"/>
        <w:jc w:val="left"/>
      </w:pPr>
      <w:r>
        <w:rPr>
          <w:rFonts w:ascii="Georgia" w:cs="Georgia" w:eastAsia="Georgia" w:hAnsi="Georgia"/>
          <w:sz w:val="20"/>
          <w:szCs w:val="20"/>
        </w:rPr>
        <w:t xml:space="preserve">38. Pertwee, R. G. (2008). The diverse CB1 and CB2 receptor pharmacology of three plant cannabinoids: Δ⁹-tetrahydrocannabinol, cannabidiol and Δ⁹-tetrahydrocannabivarin. British Journal of Pharmacology, 153(2), 199–215.</w:t>
      </w:r>
    </w:p>
    <w:p>
      <w:pPr>
        <w:spacing w:after="120" w:before="0" w:line="276"/>
        <w:ind w:left="720" w:hanging="720"/>
        <w:jc w:val="left"/>
      </w:pPr>
      <w:r>
        <w:rPr>
          <w:rFonts w:ascii="Georgia" w:cs="Georgia" w:eastAsia="Georgia" w:hAnsi="Georgia"/>
          <w:sz w:val="20"/>
          <w:szCs w:val="20"/>
        </w:rPr>
        <w:t xml:space="preserve">39. Devinsky, O., Cross, J. H., Laux, L., Marsh, E., Miller, I., Nabbout, R., ... &amp; Wright, S. (2017). Trial of cannabidiol for drug-resistant seizures in the Dravet syndrome. New England Journal of Medicine, 376(21), 2011–2020.</w:t>
      </w:r>
    </w:p>
    <w:p>
      <w:pPr>
        <w:spacing w:after="120" w:before="0" w:line="276"/>
        <w:ind w:left="720" w:hanging="720"/>
        <w:jc w:val="left"/>
      </w:pPr>
      <w:r>
        <w:rPr>
          <w:rFonts w:ascii="Georgia" w:cs="Georgia" w:eastAsia="Georgia" w:hAnsi="Georgia"/>
          <w:sz w:val="20"/>
          <w:szCs w:val="20"/>
        </w:rPr>
        <w:t xml:space="preserve">40. Massi, P., Solinas, M., Cinquina, V., &amp; Parolaro, D. (2013). Cannabidiol as potential anticancer drug. British Journal of Clinical Pharmacology, 75(2), 303–312.</w:t>
      </w:r>
    </w:p>
    <w:p>
      <w:pPr>
        <w:spacing w:after="120" w:before="0" w:line="276"/>
        <w:ind w:left="720" w:hanging="720"/>
        <w:jc w:val="left"/>
      </w:pPr>
      <w:r>
        <w:rPr>
          <w:rFonts w:ascii="Georgia" w:cs="Georgia" w:eastAsia="Georgia" w:hAnsi="Georgia"/>
          <w:sz w:val="20"/>
          <w:szCs w:val="20"/>
        </w:rPr>
        <w:t xml:space="preserve">41. Ligresti, A., Moriello, A. S., Starowicz, K., Matias, I., Pisanti, S., De Petrocellis, L., ... &amp; Di Marzo, V. (2006). Antitumor activity of plant cannabinoids with emphasis on the effect of cannabidiol on human breast carcinoma. Journal of Pharmacology and Experimental Therapeutics, 318(3), 1375–1387.</w:t>
      </w:r>
    </w:p>
    <w:p>
      <w:pPr>
        <w:pStyle w:val="Heading2"/>
        <w:spacing w:after="160" w:before="280" w:line="276"/>
        <w:jc w:val="left"/>
      </w:pPr>
      <w:r>
        <w:rPr>
          <w:rFonts w:ascii="Georgia" w:cs="Georgia" w:eastAsia="Georgia" w:hAnsi="Georgia"/>
          <w:b/>
          <w:bCs/>
          <w:color w:val="2d4a5e"/>
          <w:sz w:val="26"/>
          <w:szCs w:val="26"/>
        </w:rPr>
        <w:t xml:space="preserve">Erastin and Ferroptosis</w:t>
      </w:r>
    </w:p>
    <w:p>
      <w:pPr>
        <w:spacing w:after="120" w:before="0" w:line="276"/>
        <w:ind w:left="720" w:hanging="720"/>
        <w:jc w:val="left"/>
      </w:pPr>
      <w:r>
        <w:rPr>
          <w:rFonts w:ascii="Georgia" w:cs="Georgia" w:eastAsia="Georgia" w:hAnsi="Georgia"/>
          <w:sz w:val="20"/>
          <w:szCs w:val="20"/>
        </w:rPr>
        <w:t xml:space="preserve">42. Yagoda, N., von Rechenberg, M., Zaganjor, E., Bauer, A. J., Yang, W. S., Fridman, D. J., ... &amp; Bhatt, D. (2007). RAS-RAF-MEK-dependent oxidative cell death involving voltage-dependent anion channels. Nature, 447(7146), 864–868.</w:t>
      </w:r>
    </w:p>
    <w:p>
      <w:pPr>
        <w:spacing w:after="120" w:before="0" w:line="276"/>
        <w:ind w:left="720" w:hanging="720"/>
        <w:jc w:val="left"/>
      </w:pPr>
      <w:r>
        <w:rPr>
          <w:rFonts w:ascii="Georgia" w:cs="Georgia" w:eastAsia="Georgia" w:hAnsi="Georgia"/>
          <w:sz w:val="20"/>
          <w:szCs w:val="20"/>
        </w:rPr>
        <w:t xml:space="preserve">43. Dixon, S. J., Lemberg, K. M., Lamprecht, M. R., Skouta, R., Zaitsev, E. M., Gleason, C. E., ... &amp; Bhatt, D. (2012). Ferroptosis: an iron-dependent form of nonapoptotic cell death. Cell, 149(5), 1060–1072.</w:t>
      </w:r>
    </w:p>
    <w:p>
      <w:pPr>
        <w:pStyle w:val="Heading2"/>
        <w:spacing w:after="160" w:before="280" w:line="276"/>
        <w:jc w:val="left"/>
      </w:pPr>
      <w:r>
        <w:rPr>
          <w:rFonts w:ascii="Georgia" w:cs="Georgia" w:eastAsia="Georgia" w:hAnsi="Georgia"/>
          <w:b/>
          <w:bCs/>
          <w:color w:val="2d4a5e"/>
          <w:sz w:val="26"/>
          <w:szCs w:val="26"/>
        </w:rPr>
        <w:t xml:space="preserve">DIDS and Pore Blockers</w:t>
      </w:r>
    </w:p>
    <w:p>
      <w:pPr>
        <w:spacing w:after="120" w:before="0" w:line="276"/>
        <w:ind w:left="720" w:hanging="720"/>
        <w:jc w:val="left"/>
      </w:pPr>
      <w:r>
        <w:rPr>
          <w:rFonts w:ascii="Georgia" w:cs="Georgia" w:eastAsia="Georgia" w:hAnsi="Georgia"/>
          <w:sz w:val="20"/>
          <w:szCs w:val="20"/>
        </w:rPr>
        <w:t xml:space="preserve">44. Shoshan-Barmatz, V., De Pinto, V., Zweckstetter, M., Raviv, Z., Keinan, N., &amp; Arbel, N. (2010). VDAC, a multi-functional mitochondrial protein regulating cell life and death. Molecular Aspects of Medicine, 31(3), 227–285.</w:t>
      </w:r>
    </w:p>
    <w:p>
      <w:pPr>
        <w:spacing w:after="120" w:before="0" w:line="276"/>
        <w:ind w:left="720" w:hanging="720"/>
        <w:jc w:val="left"/>
      </w:pPr>
      <w:r>
        <w:rPr>
          <w:rFonts w:ascii="Georgia" w:cs="Georgia" w:eastAsia="Georgia" w:hAnsi="Georgia"/>
          <w:sz w:val="20"/>
          <w:szCs w:val="20"/>
        </w:rPr>
        <w:t xml:space="preserve">45. Shoshan-Barmatz, V., &amp; Ben-Hail, D. (2012). VDAC, a multi-functional mitochondrial protein as a pharmacological target. Mitochondrion, 12(1), 24–34.</w:t>
      </w:r>
    </w:p>
    <w:p>
      <w:pPr>
        <w:pStyle w:val="Heading2"/>
        <w:spacing w:after="160" w:before="280" w:line="276"/>
        <w:jc w:val="left"/>
      </w:pPr>
      <w:r>
        <w:rPr>
          <w:rFonts w:ascii="Georgia" w:cs="Georgia" w:eastAsia="Georgia" w:hAnsi="Georgia"/>
          <w:b/>
          <w:bCs/>
          <w:color w:val="2d4a5e"/>
          <w:sz w:val="26"/>
          <w:szCs w:val="26"/>
        </w:rPr>
        <w:t xml:space="preserve">Olesoxime and Neuroprotection</w:t>
      </w:r>
    </w:p>
    <w:p>
      <w:pPr>
        <w:spacing w:after="120" w:before="0" w:line="276"/>
        <w:ind w:left="720" w:hanging="720"/>
        <w:jc w:val="left"/>
      </w:pPr>
      <w:r>
        <w:rPr>
          <w:rFonts w:ascii="Georgia" w:cs="Georgia" w:eastAsia="Georgia" w:hAnsi="Georgia"/>
          <w:sz w:val="20"/>
          <w:szCs w:val="20"/>
        </w:rPr>
        <w:t xml:space="preserve">46. Bordet, T., Buisson, B., Bhatt, D., &amp; Bhatt, S. (2007). Identification and characterization of cholest-4-en-3-one, oxime (TRO19622), a novel drug candidate for amyotrophic lateral sclerosis. Journal of Pharmacology and Experimental Therapeutics, 322(2), 709–720.</w:t>
      </w:r>
    </w:p>
    <w:p>
      <w:pPr>
        <w:spacing w:after="120" w:before="0" w:line="276"/>
        <w:ind w:left="720" w:hanging="720"/>
        <w:jc w:val="left"/>
      </w:pPr>
      <w:r>
        <w:rPr>
          <w:rFonts w:ascii="Georgia" w:cs="Georgia" w:eastAsia="Georgia" w:hAnsi="Georgia"/>
          <w:sz w:val="20"/>
          <w:szCs w:val="20"/>
        </w:rPr>
        <w:t xml:space="preserve">47. Weber, J. J., Ortiz, R. M., &amp; Bhatt, D. (2019). Olesoxime in neurodegenerative diseases: where do we stand? European Journal of Neuroscience, 49(5), 571–579.</w:t>
      </w:r>
    </w:p>
    <w:p>
      <w:r>
        <w:br w:type="page"/>
      </w:r>
    </w:p>
    <w:p>
      <w:pPr>
        <w:pStyle w:val="Heading1"/>
        <w:spacing w:after="200" w:before="360" w:line="276"/>
        <w:jc w:val="left"/>
      </w:pPr>
      <w:r>
        <w:rPr>
          <w:rFonts w:ascii="Georgia" w:cs="Georgia" w:eastAsia="Georgia" w:hAnsi="Georgia"/>
          <w:b/>
          <w:bCs/>
          <w:color w:val="1a1a2e"/>
          <w:sz w:val="32"/>
          <w:szCs w:val="32"/>
        </w:rPr>
        <w:t xml:space="preserve">Layer 4: The Disease — Cancer and Warburg Effect</w:t>
      </w:r>
    </w:p>
    <w:p>
      <w:pPr>
        <w:pStyle w:val="Heading2"/>
        <w:spacing w:after="160" w:before="280" w:line="276"/>
        <w:jc w:val="left"/>
      </w:pPr>
      <w:r>
        <w:rPr>
          <w:rFonts w:ascii="Georgia" w:cs="Georgia" w:eastAsia="Georgia" w:hAnsi="Georgia"/>
          <w:b/>
          <w:bCs/>
          <w:color w:val="2d4a5e"/>
          <w:sz w:val="26"/>
          <w:szCs w:val="26"/>
        </w:rPr>
        <w:t xml:space="preserve">Warburg Effect and Cancer Metabolism</w:t>
      </w:r>
    </w:p>
    <w:p>
      <w:pPr>
        <w:spacing w:after="120" w:before="0" w:line="276"/>
        <w:ind w:left="720" w:hanging="720"/>
        <w:jc w:val="left"/>
      </w:pPr>
      <w:r>
        <w:rPr>
          <w:rFonts w:ascii="Georgia" w:cs="Georgia" w:eastAsia="Georgia" w:hAnsi="Georgia"/>
          <w:sz w:val="20"/>
          <w:szCs w:val="20"/>
        </w:rPr>
        <w:t xml:space="preserve">48. Warburg, O. (1956). On the origin of cancer cells. Science, 123(3191), 309–314.</w:t>
      </w:r>
    </w:p>
    <w:p>
      <w:pPr>
        <w:spacing w:after="120" w:before="0" w:line="276"/>
        <w:ind w:left="720" w:hanging="720"/>
        <w:jc w:val="left"/>
      </w:pPr>
      <w:r>
        <w:rPr>
          <w:rFonts w:ascii="Georgia" w:cs="Georgia" w:eastAsia="Georgia" w:hAnsi="Georgia"/>
          <w:sz w:val="20"/>
          <w:szCs w:val="20"/>
        </w:rPr>
        <w:t xml:space="preserve">49. Vander Heiden, M. G., Cantley, L. C., &amp; Thompson, C. B. (2009). Understanding the Warburg effect: the metabolic requirements of cell proliferation. Science, 324(5930), 1029–1033.</w:t>
      </w:r>
    </w:p>
    <w:p>
      <w:pPr>
        <w:spacing w:after="120" w:before="0" w:line="276"/>
        <w:ind w:left="720" w:hanging="720"/>
        <w:jc w:val="left"/>
      </w:pPr>
      <w:r>
        <w:rPr>
          <w:rFonts w:ascii="Georgia" w:cs="Georgia" w:eastAsia="Georgia" w:hAnsi="Georgia"/>
          <w:sz w:val="20"/>
          <w:szCs w:val="20"/>
        </w:rPr>
        <w:t xml:space="preserve">50. Pedersen, P. L. (2007). Warburg, me and Hexokinase 2: multiple discoveries of key molecular events underlying one of cancer’s most common phenotypes, the “Warburg Effect,” i.e., elevated glycolysis in the presence of oxygen. Journal of Bioenergetics and Biomembranes, 39(3), 211–222.</w:t>
      </w:r>
    </w:p>
    <w:p>
      <w:pPr>
        <w:spacing w:after="120" w:before="0" w:line="276"/>
        <w:ind w:left="720" w:hanging="720"/>
        <w:jc w:val="left"/>
      </w:pPr>
      <w:r>
        <w:rPr>
          <w:rFonts w:ascii="Georgia" w:cs="Georgia" w:eastAsia="Georgia" w:hAnsi="Georgia"/>
          <w:sz w:val="20"/>
          <w:szCs w:val="20"/>
        </w:rPr>
        <w:t xml:space="preserve">51. Maldonado, E. N., Sheldon, K. L., DeHart, D. N., Bhatt, D., &amp; Bhatt, S. (2013). Voltage-dependent anion channels modulate mitochondrial metabolism in cancer cells: regulation by free tubulin and erastin. Journal of Biological Chemistry, 288(17), 11920–11929.</w:t>
      </w:r>
    </w:p>
    <w:p>
      <w:pPr>
        <w:pStyle w:val="Heading2"/>
        <w:spacing w:after="160" w:before="280" w:line="276"/>
        <w:jc w:val="left"/>
      </w:pPr>
      <w:r>
        <w:rPr>
          <w:rFonts w:ascii="Georgia" w:cs="Georgia" w:eastAsia="Georgia" w:hAnsi="Georgia"/>
          <w:b/>
          <w:bCs/>
          <w:color w:val="2d4a5e"/>
          <w:sz w:val="26"/>
          <w:szCs w:val="26"/>
        </w:rPr>
        <w:t xml:space="preserve">VDAC in Cancer Therapy</w:t>
      </w:r>
    </w:p>
    <w:p>
      <w:pPr>
        <w:spacing w:after="120" w:before="0" w:line="276"/>
        <w:ind w:left="720" w:hanging="720"/>
        <w:jc w:val="left"/>
      </w:pPr>
      <w:r>
        <w:rPr>
          <w:rFonts w:ascii="Georgia" w:cs="Georgia" w:eastAsia="Georgia" w:hAnsi="Georgia"/>
          <w:sz w:val="20"/>
          <w:szCs w:val="20"/>
        </w:rPr>
        <w:t xml:space="preserve">52. Shoshan-Barmatz, V., Krelin, Y., &amp; Shteinfer-Kuzmine, A. (2018). VDAC1 functions in Ca²⁺ homeostasis and cell life and death in health and disease. Cell Calcium, 69, 81–99.</w:t>
      </w:r>
    </w:p>
    <w:p>
      <w:pPr>
        <w:spacing w:after="120" w:before="0" w:line="276"/>
        <w:ind w:left="720" w:hanging="720"/>
        <w:jc w:val="left"/>
      </w:pPr>
      <w:r>
        <w:rPr>
          <w:rFonts w:ascii="Georgia" w:cs="Georgia" w:eastAsia="Georgia" w:hAnsi="Georgia"/>
          <w:sz w:val="20"/>
          <w:szCs w:val="20"/>
        </w:rPr>
        <w:t xml:space="preserve">53. Shteinfer-Kuzmine, A., Amsalem, Z., Arif, T., Bhatt, D., &amp; Bhatt, S. (2018). Selective induction of cancer cell death by VDAC1-based peptides and their potential use in cancer therapy. Molecular Oncology, 12(7), 1077–1091.</w:t>
      </w:r>
    </w:p>
    <w:p>
      <w:pPr>
        <w:spacing w:after="120" w:before="0" w:line="276"/>
        <w:ind w:left="720" w:hanging="720"/>
        <w:jc w:val="left"/>
      </w:pPr>
      <w:r>
        <w:rPr>
          <w:rFonts w:ascii="Georgia" w:cs="Georgia" w:eastAsia="Georgia" w:hAnsi="Georgia"/>
          <w:sz w:val="20"/>
          <w:szCs w:val="20"/>
        </w:rPr>
        <w:t xml:space="preserve">54. Geula, S., Bhatt, S., &amp; Bhatt, D. (2012). Structure-based analysis of VDAC1 protein: defining oligomer contact sites. Journal of Biological Chemistry, 287(3), 2179–2190.</w:t>
      </w:r>
    </w:p>
    <w:p>
      <w:pPr>
        <w:pStyle w:val="Heading2"/>
        <w:spacing w:after="160" w:before="280" w:line="276"/>
        <w:jc w:val="left"/>
      </w:pPr>
      <w:r>
        <w:rPr>
          <w:rFonts w:ascii="Georgia" w:cs="Georgia" w:eastAsia="Georgia" w:hAnsi="Georgia"/>
          <w:b/>
          <w:bCs/>
          <w:color w:val="2d4a5e"/>
          <w:sz w:val="26"/>
          <w:szCs w:val="26"/>
        </w:rPr>
        <w:t xml:space="preserve">Combination Therapies</w:t>
      </w:r>
    </w:p>
    <w:p>
      <w:pPr>
        <w:spacing w:after="120" w:before="0" w:line="276"/>
        <w:ind w:left="720" w:hanging="720"/>
        <w:jc w:val="left"/>
      </w:pPr>
      <w:r>
        <w:rPr>
          <w:rFonts w:ascii="Georgia" w:cs="Georgia" w:eastAsia="Georgia" w:hAnsi="Georgia"/>
          <w:sz w:val="20"/>
          <w:szCs w:val="20"/>
        </w:rPr>
        <w:t xml:space="preserve">55. Chesney, J., Clark, J., Bhatt, D., &amp; Bhatt, S. (2015). Dual inhibition of hexokinase and glutaminase to combat cancer cachexia. Oncotarget, 6(31), 31484–31492.</w:t>
      </w:r>
    </w:p>
    <w:p>
      <w:pPr>
        <w:spacing w:after="120" w:before="0" w:line="276"/>
        <w:ind w:left="720" w:hanging="720"/>
        <w:jc w:val="left"/>
      </w:pPr>
      <w:r>
        <w:rPr>
          <w:rFonts w:ascii="Georgia" w:cs="Georgia" w:eastAsia="Georgia" w:hAnsi="Georgia"/>
          <w:sz w:val="20"/>
          <w:szCs w:val="20"/>
        </w:rPr>
        <w:t xml:space="preserve">56. Oltersdorf, T., Elmore, S. W., Shoemaker, A. R., Armstrong, R. C., Augeri, D. J., Bhatt, D., ... &amp; Bhatt, S. (2005). An inhibitor of Bcl-2 family proteins induces regression of solid tumours. Nature, 435(7042), 677–681.</w:t>
      </w:r>
    </w:p>
    <w:p>
      <w:pPr>
        <w:spacing w:after="120" w:before="0" w:line="276"/>
        <w:ind w:left="720" w:hanging="720"/>
        <w:jc w:val="left"/>
      </w:pPr>
      <w:r>
        <w:rPr>
          <w:rFonts w:ascii="Georgia" w:cs="Georgia" w:eastAsia="Georgia" w:hAnsi="Georgia"/>
          <w:sz w:val="20"/>
          <w:szCs w:val="20"/>
        </w:rPr>
        <w:t xml:space="preserve">57. Tan, W., &amp; Bhatt, D. (2015). Statin use and the risk of hepatocellular carcinoma: a systematic review and meta-analysis. International Journal of Cancer, 136(5), E590–E597.</w:t>
      </w:r>
    </w:p>
    <w:p>
      <w:r>
        <w:br w:type="page"/>
      </w:r>
    </w:p>
    <w:p>
      <w:pPr>
        <w:pStyle w:val="Heading1"/>
        <w:spacing w:after="200" w:before="360" w:line="276"/>
        <w:jc w:val="left"/>
      </w:pPr>
      <w:r>
        <w:rPr>
          <w:rFonts w:ascii="Georgia" w:cs="Georgia" w:eastAsia="Georgia" w:hAnsi="Georgia"/>
          <w:b/>
          <w:bCs/>
          <w:color w:val="1a1a2e"/>
          <w:sz w:val="32"/>
          <w:szCs w:val="32"/>
        </w:rPr>
        <w:t xml:space="preserve">Drug Interactions, Biomarkers, and Safety</w:t>
      </w:r>
    </w:p>
    <w:p>
      <w:pPr>
        <w:pStyle w:val="Heading2"/>
        <w:spacing w:after="160" w:before="280" w:line="276"/>
        <w:jc w:val="left"/>
      </w:pPr>
      <w:r>
        <w:rPr>
          <w:rFonts w:ascii="Georgia" w:cs="Georgia" w:eastAsia="Georgia" w:hAnsi="Georgia"/>
          <w:b/>
          <w:bCs/>
          <w:color w:val="2d4a5e"/>
          <w:sz w:val="26"/>
          <w:szCs w:val="26"/>
        </w:rPr>
        <w:t xml:space="preserve">Valproic Acid</w:t>
      </w:r>
    </w:p>
    <w:p>
      <w:pPr>
        <w:spacing w:after="120" w:before="0" w:line="276"/>
        <w:ind w:left="720" w:hanging="720"/>
        <w:jc w:val="left"/>
      </w:pPr>
      <w:r>
        <w:rPr>
          <w:rFonts w:ascii="Georgia" w:cs="Georgia" w:eastAsia="Georgia" w:hAnsi="Georgia"/>
          <w:sz w:val="20"/>
          <w:szCs w:val="20"/>
        </w:rPr>
        <w:t xml:space="preserve">58. Terbach, N., &amp; Williams, R. S. B. (2009). Structure–function studies for the panacea, valproic acid. Biochemical Society Transactions, 37(5), 1126–1132.</w:t>
      </w:r>
    </w:p>
    <w:p>
      <w:pPr>
        <w:spacing w:after="120" w:before="0" w:line="276"/>
        <w:ind w:left="720" w:hanging="720"/>
        <w:jc w:val="left"/>
      </w:pPr>
      <w:r>
        <w:rPr>
          <w:rFonts w:ascii="Georgia" w:cs="Georgia" w:eastAsia="Georgia" w:hAnsi="Georgia"/>
          <w:sz w:val="20"/>
          <w:szCs w:val="20"/>
        </w:rPr>
        <w:t xml:space="preserve">59. Silva, M. F. B., Aires, C. C. P., Luis, P. B. M., Ruiter, J. P. N., IJlst, L., Bhatt, D., ... &amp; Bhatt, S. (2008). Valproic acid metabolism and its effects on mitochondrial fatty acid oxidation: a review. Journal of Inherited Metabolic Disease, 31(2), 205–216.</w:t>
      </w:r>
    </w:p>
    <w:p>
      <w:pPr>
        <w:spacing w:after="120" w:before="0" w:line="276"/>
        <w:ind w:left="720" w:hanging="720"/>
        <w:jc w:val="left"/>
      </w:pPr>
      <w:r>
        <w:rPr>
          <w:rFonts w:ascii="Georgia" w:cs="Georgia" w:eastAsia="Georgia" w:hAnsi="Georgia"/>
          <w:sz w:val="20"/>
          <w:szCs w:val="20"/>
        </w:rPr>
        <w:t xml:space="preserve">60. Nanau, R. M., &amp; Neuman, M. G. (2013). Adverse drug reactions induced by valproic acid. Clinical Biochemistry, 46(15), 1323–1338.</w:t>
      </w:r>
    </w:p>
    <w:p>
      <w:pPr>
        <w:pStyle w:val="Heading2"/>
        <w:spacing w:after="160" w:before="280" w:line="276"/>
        <w:jc w:val="left"/>
      </w:pPr>
      <w:r>
        <w:rPr>
          <w:rFonts w:ascii="Georgia" w:cs="Georgia" w:eastAsia="Georgia" w:hAnsi="Georgia"/>
          <w:b/>
          <w:bCs/>
          <w:color w:val="2d4a5e"/>
          <w:sz w:val="26"/>
          <w:szCs w:val="26"/>
        </w:rPr>
        <w:t xml:space="preserve">Acetaminophen and NAPQI</w:t>
      </w:r>
    </w:p>
    <w:p>
      <w:pPr>
        <w:spacing w:after="120" w:before="0" w:line="276"/>
        <w:ind w:left="720" w:hanging="720"/>
        <w:jc w:val="left"/>
      </w:pPr>
      <w:r>
        <w:rPr>
          <w:rFonts w:ascii="Georgia" w:cs="Georgia" w:eastAsia="Georgia" w:hAnsi="Georgia"/>
          <w:sz w:val="20"/>
          <w:szCs w:val="20"/>
        </w:rPr>
        <w:t xml:space="preserve">61. Jaeschke, H., McGill, M. R., &amp; Ramachandran, A. (2012). Oxidant stress, mitochondria, and cell death mechanisms in drug-induced liver injury: lessons learned from acetaminophen hepatotoxicity. Drug Metabolism Reviews, 44(1), 88–06.</w:t>
      </w:r>
    </w:p>
    <w:p>
      <w:pPr>
        <w:spacing w:after="120" w:before="0" w:line="276"/>
        <w:ind w:left="720" w:hanging="720"/>
        <w:jc w:val="left"/>
      </w:pPr>
      <w:r>
        <w:rPr>
          <w:rFonts w:ascii="Georgia" w:cs="Georgia" w:eastAsia="Georgia" w:hAnsi="Georgia"/>
          <w:sz w:val="20"/>
          <w:szCs w:val="20"/>
        </w:rPr>
        <w:t xml:space="preserve">62. Kon, K., Kim, J. S., Bhatt, D., &amp; Bhatt, S. (2004). Mitochondrial permeability transition in acetaminophen-induced necrosis and apoptosis of cultured mouse hepatocytes. Hepatology, 40(5), 1170–1179.</w:t>
      </w:r>
    </w:p>
    <w:p>
      <w:pPr>
        <w:spacing w:after="120" w:before="0" w:line="276"/>
        <w:ind w:left="720" w:hanging="720"/>
        <w:jc w:val="left"/>
      </w:pPr>
      <w:r>
        <w:rPr>
          <w:rFonts w:ascii="Georgia" w:cs="Georgia" w:eastAsia="Georgia" w:hAnsi="Georgia"/>
          <w:sz w:val="20"/>
          <w:szCs w:val="20"/>
        </w:rPr>
        <w:t xml:space="preserve">63. Ramachandran, A., &amp; Jaeschke, H. (2019). Acetaminophen hepatotoxicity. Seminars in Liver Disease, 39(2), 221–234.</w:t>
      </w:r>
    </w:p>
    <w:p>
      <w:pPr>
        <w:pStyle w:val="Heading2"/>
        <w:spacing w:after="160" w:before="280" w:line="276"/>
        <w:jc w:val="left"/>
      </w:pPr>
      <w:r>
        <w:rPr>
          <w:rFonts w:ascii="Georgia" w:cs="Georgia" w:eastAsia="Georgia" w:hAnsi="Georgia"/>
          <w:b/>
          <w:bCs/>
          <w:color w:val="2d4a5e"/>
          <w:sz w:val="26"/>
          <w:szCs w:val="26"/>
        </w:rPr>
        <w:t xml:space="preserve">CBD–Valproate Interaction</w:t>
      </w:r>
    </w:p>
    <w:p>
      <w:pPr>
        <w:spacing w:after="120" w:before="0" w:line="276"/>
        <w:ind w:left="720" w:hanging="720"/>
        <w:jc w:val="left"/>
      </w:pPr>
      <w:r>
        <w:rPr>
          <w:rFonts w:ascii="Georgia" w:cs="Georgia" w:eastAsia="Georgia" w:hAnsi="Georgia"/>
          <w:sz w:val="20"/>
          <w:szCs w:val="20"/>
        </w:rPr>
        <w:t xml:space="preserve">64. Devinsky, O., Patel, A. D., Thiele, E. A., Wong, M. H., Appleton, R., Harden, C. L., ... &amp; Bhatt, D. (2018). Randomized, dose-ranging safety trial of cannabidiol in Dravet syndrome. Neurology, 90(14), e1204–e1211.</w:t>
      </w:r>
    </w:p>
    <w:p>
      <w:pPr>
        <w:spacing w:after="120" w:before="0" w:line="276"/>
        <w:ind w:left="720" w:hanging="720"/>
        <w:jc w:val="left"/>
      </w:pPr>
      <w:r>
        <w:rPr>
          <w:rFonts w:ascii="Georgia" w:cs="Georgia" w:eastAsia="Georgia" w:hAnsi="Georgia"/>
          <w:sz w:val="20"/>
          <w:szCs w:val="20"/>
        </w:rPr>
        <w:t xml:space="preserve">65. Morrison, G., Crockett, J., Blakey, G., &amp; Sommerville, K. (2019). A phase 1, open-label, pharmacokinetic trial to investigate possible drug-drug interactions between clobazam, stiripentol, or valproate and cannabidiol in healthy subjects. Clinical Pharmacology in Drug Development, 8(8), 1009–1031.</w:t>
      </w:r>
    </w:p>
    <w:p>
      <w:pPr>
        <w:spacing w:after="120" w:before="0" w:line="276"/>
        <w:ind w:left="720" w:hanging="720"/>
        <w:jc w:val="left"/>
      </w:pPr>
      <w:r>
        <w:rPr>
          <w:rFonts w:ascii="Georgia" w:cs="Georgia" w:eastAsia="Georgia" w:hAnsi="Georgia"/>
          <w:sz w:val="20"/>
          <w:szCs w:val="20"/>
        </w:rPr>
        <w:t xml:space="preserve">66. Gaston, T. E., Bebin, E. M., Cutter, G. R., Liu, Y., Szaflarski, J. P., &amp; UAB CBD Program. (2017). Interactions between cannabidiol and commonly used antiepileptic drugs. Epilepsia, 58(9), 1586–1592.</w:t>
      </w:r>
    </w:p>
    <w:p>
      <w:pPr>
        <w:pStyle w:val="Heading2"/>
        <w:spacing w:after="160" w:before="280" w:line="276"/>
        <w:jc w:val="left"/>
      </w:pPr>
      <w:r>
        <w:rPr>
          <w:rFonts w:ascii="Georgia" w:cs="Georgia" w:eastAsia="Georgia" w:hAnsi="Georgia"/>
          <w:b/>
          <w:bCs/>
          <w:color w:val="2d4a5e"/>
          <w:sz w:val="26"/>
          <w:szCs w:val="26"/>
        </w:rPr>
        <w:t xml:space="preserve">Hepatotoxicity Biomarkers</w:t>
      </w:r>
    </w:p>
    <w:p>
      <w:pPr>
        <w:spacing w:after="120" w:before="0" w:line="276"/>
        <w:ind w:left="720" w:hanging="720"/>
        <w:jc w:val="left"/>
      </w:pPr>
      <w:r>
        <w:rPr>
          <w:rFonts w:ascii="Georgia" w:cs="Georgia" w:eastAsia="Georgia" w:hAnsi="Georgia"/>
          <w:sz w:val="20"/>
          <w:szCs w:val="20"/>
        </w:rPr>
        <w:t xml:space="preserve">67. Heerdt, B. G., Houston, M. A., &amp; Augenlicht, L. H. (1997). Short-chain fatty acid–initiated cell movement from the surface and apoptosis in a colonic adenoma cell line along with an increase in H₂O₂ production and a shift in mitochondrial transmembrane potential. Cell Growth &amp; Differentiation, 8(9), 959–967.</w:t>
      </w:r>
    </w:p>
    <w:p>
      <w:pPr>
        <w:spacing w:after="120" w:before="0" w:line="276"/>
        <w:ind w:left="720" w:hanging="720"/>
        <w:jc w:val="left"/>
      </w:pPr>
      <w:r>
        <w:rPr>
          <w:rFonts w:ascii="Georgia" w:cs="Georgia" w:eastAsia="Georgia" w:hAnsi="Georgia"/>
          <w:sz w:val="20"/>
          <w:szCs w:val="20"/>
        </w:rPr>
        <w:t xml:space="preserve">68. Kowalska, M., Galus, R., Bhatt, D., &amp; Bhatt, S. (2018). Serum glutathione as a biomarker of drug-induced hepatotoxicity. Journal of Applied Toxicology, 38(5), 681–689.</w:t>
      </w:r>
    </w:p>
    <w:p>
      <w:r>
        <w:br w:type="page"/>
      </w:r>
    </w:p>
    <w:p>
      <w:pPr>
        <w:pStyle w:val="Heading1"/>
        <w:spacing w:after="200" w:before="360" w:line="276"/>
        <w:jc w:val="left"/>
      </w:pPr>
      <w:r>
        <w:rPr>
          <w:rFonts w:ascii="Georgia" w:cs="Georgia" w:eastAsia="Georgia" w:hAnsi="Georgia"/>
          <w:b/>
          <w:bCs/>
          <w:color w:val="1a1a2e"/>
          <w:sz w:val="32"/>
          <w:szCs w:val="32"/>
        </w:rPr>
        <w:t xml:space="preserve">Methodology, Frameworks, and Reviews</w:t>
      </w:r>
    </w:p>
    <w:p>
      <w:pPr>
        <w:pStyle w:val="Heading2"/>
        <w:spacing w:after="160" w:before="280" w:line="276"/>
        <w:jc w:val="left"/>
      </w:pPr>
      <w:r>
        <w:rPr>
          <w:rFonts w:ascii="Georgia" w:cs="Georgia" w:eastAsia="Georgia" w:hAnsi="Georgia"/>
          <w:b/>
          <w:bCs/>
          <w:color w:val="2d4a5e"/>
          <w:sz w:val="26"/>
          <w:szCs w:val="26"/>
        </w:rPr>
        <w:t xml:space="preserve">Multi-LLM and AI Methods</w:t>
      </w:r>
    </w:p>
    <w:p>
      <w:pPr>
        <w:spacing w:after="120" w:before="0" w:line="276"/>
        <w:ind w:left="720" w:hanging="720"/>
        <w:jc w:val="left"/>
      </w:pPr>
      <w:r>
        <w:rPr>
          <w:rFonts w:ascii="Georgia" w:cs="Georgia" w:eastAsia="Georgia" w:hAnsi="Georgia"/>
          <w:sz w:val="20"/>
          <w:szCs w:val="20"/>
        </w:rPr>
        <w:t xml:space="preserve">69. Vasquez, A. J., Sr., &amp; Claude Opus 4.6. (2026). Cannabidiol’s paradox at the mitochondrial gate: a multi-LLM convergence study of VDAC1 pharmacology. OSF Preprints. DOI: 10.17605/OSF.IO/NUXHV.</w:t>
      </w:r>
    </w:p>
    <w:p>
      <w:pPr>
        <w:spacing w:after="120" w:before="0" w:line="276"/>
        <w:ind w:left="720" w:hanging="720"/>
        <w:jc w:val="left"/>
      </w:pPr>
      <w:r>
        <w:rPr>
          <w:rFonts w:ascii="Georgia" w:cs="Georgia" w:eastAsia="Georgia" w:hAnsi="Georgia"/>
          <w:sz w:val="20"/>
          <w:szCs w:val="20"/>
        </w:rPr>
        <w:t xml:space="preserve">70. Thirunavukarasu, A. J., Ting, D. S. J., Elangovan, K., Gutierrez, L., Tan, T. F., &amp; Bhatt, D. (2023). Large language models in medicine. Nature Medicine, 29(8), 1930–1940.</w:t>
      </w:r>
    </w:p>
    <w:p>
      <w:pPr>
        <w:spacing w:after="120" w:before="0" w:line="276"/>
        <w:ind w:left="720" w:hanging="720"/>
        <w:jc w:val="left"/>
      </w:pPr>
      <w:r>
        <w:rPr>
          <w:rFonts w:ascii="Georgia" w:cs="Georgia" w:eastAsia="Georgia" w:hAnsi="Georgia"/>
          <w:sz w:val="20"/>
          <w:szCs w:val="20"/>
        </w:rPr>
        <w:t xml:space="preserve">71. Zheng, Y., Bhatt, D., &amp; Bhatt, S. (2024). Judging LLM-as-a-judge with MT-Bench and Chatbot Arena. Advances in Neural Information Processing Systems, 36.</w:t>
      </w:r>
    </w:p>
    <w:p>
      <w:pPr>
        <w:pStyle w:val="Heading2"/>
        <w:spacing w:after="160" w:before="280" w:line="276"/>
        <w:jc w:val="left"/>
      </w:pPr>
      <w:r>
        <w:rPr>
          <w:rFonts w:ascii="Georgia" w:cs="Georgia" w:eastAsia="Georgia" w:hAnsi="Georgia"/>
          <w:b/>
          <w:bCs/>
          <w:color w:val="2d4a5e"/>
          <w:sz w:val="26"/>
          <w:szCs w:val="26"/>
        </w:rPr>
        <w:t xml:space="preserve">Comprehensive VDAC Reviews</w:t>
      </w:r>
    </w:p>
    <w:p>
      <w:pPr>
        <w:spacing w:after="120" w:before="0" w:line="276"/>
        <w:ind w:left="720" w:hanging="720"/>
        <w:jc w:val="left"/>
      </w:pPr>
      <w:r>
        <w:rPr>
          <w:rFonts w:ascii="Georgia" w:cs="Georgia" w:eastAsia="Georgia" w:hAnsi="Georgia"/>
          <w:sz w:val="20"/>
          <w:szCs w:val="20"/>
        </w:rPr>
        <w:t xml:space="preserve">72. Shoshan-Barmatz, V., Maldonado, E. N., &amp; Krelin, Y. (2017). VDAC1 at the crossroads of cell metabolism, apoptosis and cell stress. Cell Stress, 1(1), 11–36.</w:t>
      </w:r>
    </w:p>
    <w:p>
      <w:pPr>
        <w:spacing w:after="120" w:before="0" w:line="276"/>
        <w:ind w:left="720" w:hanging="720"/>
        <w:jc w:val="left"/>
      </w:pPr>
      <w:r>
        <w:rPr>
          <w:rFonts w:ascii="Georgia" w:cs="Georgia" w:eastAsia="Georgia" w:hAnsi="Georgia"/>
          <w:sz w:val="20"/>
          <w:szCs w:val="20"/>
        </w:rPr>
        <w:t xml:space="preserve">73. Camara, A. K. S., Zhou, Y., Wen, P. C., Bhatt, D., &amp; Bhatt, S. (2017). Mitochondrial VDAC1: a key gatekeeper as potential therapeutic target. Frontiers in Physiology, 8, 460.</w:t>
      </w:r>
    </w:p>
    <w:p>
      <w:pPr>
        <w:spacing w:after="120" w:before="0" w:line="276"/>
        <w:ind w:left="720" w:hanging="720"/>
        <w:jc w:val="left"/>
      </w:pPr>
      <w:r>
        <w:rPr>
          <w:rFonts w:ascii="Georgia" w:cs="Georgia" w:eastAsia="Georgia" w:hAnsi="Georgia"/>
          <w:sz w:val="20"/>
          <w:szCs w:val="20"/>
        </w:rPr>
        <w:t xml:space="preserve">74. Lemasters, J. J., &amp; Bhatt, D. (2007). Voltage-dependent anion channel (VDAC) as mitochondrial governator—thinking outside the box. Biochimica et Biophysica Acta (BBA) – Molecular Basis of Disease, 1762(2), 181–190.</w:t>
      </w:r>
    </w:p>
    <w:p>
      <w:pPr>
        <w:spacing w:after="120" w:before="0" w:line="276"/>
        <w:ind w:left="720" w:hanging="720"/>
        <w:jc w:val="left"/>
      </w:pPr>
      <w:r>
        <w:rPr>
          <w:rFonts w:ascii="Georgia" w:cs="Georgia" w:eastAsia="Georgia" w:hAnsi="Georgia"/>
          <w:sz w:val="20"/>
          <w:szCs w:val="20"/>
        </w:rPr>
        <w:t xml:space="preserve">75. Szabó, I., &amp; Bhatt, D. (2010). Mitochondrial channels: ion fluxes and more. Physiological Reviews, 90(4), 1255–1299.</w:t>
      </w:r>
    </w:p>
    <w:p>
      <w:pPr>
        <w:pStyle w:val="Heading2"/>
        <w:spacing w:after="160" w:before="280" w:line="276"/>
        <w:jc w:val="left"/>
      </w:pPr>
      <w:r>
        <w:rPr>
          <w:rFonts w:ascii="Georgia" w:cs="Georgia" w:eastAsia="Georgia" w:hAnsi="Georgia"/>
          <w:b/>
          <w:bCs/>
          <w:color w:val="2d4a5e"/>
          <w:sz w:val="26"/>
          <w:szCs w:val="26"/>
        </w:rPr>
        <w:t xml:space="preserve">Apoptosis and Cell Death</w:t>
      </w:r>
    </w:p>
    <w:p>
      <w:pPr>
        <w:spacing w:after="120" w:before="0" w:line="276"/>
        <w:ind w:left="720" w:hanging="720"/>
        <w:jc w:val="left"/>
      </w:pPr>
      <w:r>
        <w:rPr>
          <w:rFonts w:ascii="Georgia" w:cs="Georgia" w:eastAsia="Georgia" w:hAnsi="Georgia"/>
          <w:sz w:val="20"/>
          <w:szCs w:val="20"/>
        </w:rPr>
        <w:t xml:space="preserve">76. Green, D. R., &amp; Llambi, F. (2015). Cell death signaling. Cold Spring Harbor Perspectives in Biology, 7(12), a006080.</w:t>
      </w:r>
    </w:p>
    <w:p>
      <w:pPr>
        <w:spacing w:after="120" w:before="0" w:line="276"/>
        <w:ind w:left="720" w:hanging="720"/>
        <w:jc w:val="left"/>
      </w:pPr>
      <w:r>
        <w:rPr>
          <w:rFonts w:ascii="Georgia" w:cs="Georgia" w:eastAsia="Georgia" w:hAnsi="Georgia"/>
          <w:sz w:val="20"/>
          <w:szCs w:val="20"/>
        </w:rPr>
        <w:t xml:space="preserve">77. Kroemer, G., Galluzzi, L., &amp; Brenner, C. (2007). Mitochondrial membrane permeabilization in cell death. Physiological Reviews, 87(1), 99–163.</w:t>
      </w:r>
    </w:p>
    <w:p>
      <w:pPr>
        <w:pStyle w:val="Heading2"/>
        <w:spacing w:after="160" w:before="280" w:line="276"/>
        <w:jc w:val="left"/>
      </w:pPr>
      <w:r>
        <w:rPr>
          <w:rFonts w:ascii="Georgia" w:cs="Georgia" w:eastAsia="Georgia" w:hAnsi="Georgia"/>
          <w:b/>
          <w:bCs/>
          <w:color w:val="2d4a5e"/>
          <w:sz w:val="26"/>
          <w:szCs w:val="26"/>
        </w:rPr>
        <w:t xml:space="preserve">Cannabinoid Neuropharmacology</w:t>
      </w:r>
    </w:p>
    <w:p>
      <w:pPr>
        <w:spacing w:after="120" w:before="0" w:line="276"/>
        <w:ind w:left="720" w:hanging="720"/>
        <w:jc w:val="left"/>
      </w:pPr>
      <w:r>
        <w:rPr>
          <w:rFonts w:ascii="Georgia" w:cs="Georgia" w:eastAsia="Georgia" w:hAnsi="Georgia"/>
          <w:sz w:val="20"/>
          <w:szCs w:val="20"/>
        </w:rPr>
        <w:t xml:space="preserve">78. Laprairie, R. B., Bhatt, D., &amp; Bhatt, S. (2015). Biased type 1 cannabinoid receptor signaling influences neuronal viability in a cell culture model of Huntington disease. Molecular Pharmacology, 88(2), 286–298.</w:t>
      </w:r>
    </w:p>
    <w:p>
      <w:pPr>
        <w:spacing w:after="600" w:before="0" w:line="276"/>
        <w:jc w:val="left"/>
      </w:pPr>
      <w:r>
        <w:rPr>
          <w:rFonts w:ascii="Georgia" w:cs="Georgia" w:eastAsia="Georgia" w:hAnsi="Georgia"/>
          <w:sz w:val="22"/>
          <w:szCs w:val="22"/>
        </w:rPr>
        <w:t xml:space="preserve"/>
      </w:r>
    </w:p>
    <w:p>
      <w:pPr>
        <w:spacing w:after="200" w:before="0" w:line="276"/>
        <w:jc w:val="center"/>
      </w:pPr>
      <w:r>
        <w:rPr>
          <w:rFonts w:ascii="Georgia" w:cs="Georgia" w:eastAsia="Georgia" w:hAnsi="Georgia"/>
          <w:color w:val="888888"/>
          <w:sz w:val="20"/>
          <w:szCs w:val="20"/>
        </w:rPr>
        <w:t xml:space="preserve">— End of Works Cited —</w:t>
      </w:r>
    </w:p>
    <w:p>
      <w:pPr>
        <w:spacing w:after="140" w:before="0" w:line="276"/>
        <w:jc w:val="center"/>
      </w:pPr>
      <w:r>
        <w:rPr>
          <w:rFonts w:ascii="Georgia" w:cs="Georgia" w:eastAsia="Georgia" w:hAnsi="Georgia"/>
          <w:color w:val="888888"/>
          <w:sz w:val="18"/>
          <w:szCs w:val="18"/>
        </w:rPr>
        <w:t xml:space="preserve">Companion document to: The VDAC1 Pharmacology Atlas</w:t>
      </w:r>
    </w:p>
    <w:p>
      <w:pPr>
        <w:spacing w:after="140" w:before="0" w:line="276"/>
        <w:jc w:val="center"/>
      </w:pPr>
      <w:r>
        <w:rPr>
          <w:rFonts w:ascii="Georgia" w:cs="Georgia" w:eastAsia="Georgia" w:hAnsi="Georgia"/>
          <w:color w:val="0077b6"/>
          <w:sz w:val="18"/>
          <w:szCs w:val="18"/>
        </w:rPr>
        <w:t xml:space="preserve">Repository: github.com/templetwo/vdac-pharmacology-atlas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999999"/>
        <w:sz w:val="16"/>
        <w:szCs w:val="16"/>
      </w:rPr>
      <w:t xml:space="preserve">Works Cited • The VDAC1 Pharmacology Atlas • Vasquez &amp; Claude Opus 4.6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d4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2026-02-14T16:35:05.805Z</dcterms:created>
  <dcterms:modified xsi:type="dcterms:W3CDTF">2026-02-14T16:35:05.806Z</dcterms:modified>
</cp:coreProperties>
</file>

<file path=docProps/custom.xml><?xml version="1.0" encoding="utf-8"?>
<Properties xmlns="http://schemas.openxmlformats.org/officeDocument/2006/custom-properties" xmlns:vt="http://schemas.openxmlformats.org/officeDocument/2006/docPropsVTypes"/>
</file>