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7CC18B" w14:textId="77777777" w:rsidR="00F8115A" w:rsidRPr="00DE420F" w:rsidRDefault="00F8115A">
      <w:pPr>
        <w:spacing w:after="100"/>
        <w:rPr>
          <w:rFonts w:ascii="Times New Roman" w:hAnsi="Times New Roman" w:cs="Times New Roman"/>
        </w:rPr>
      </w:pPr>
    </w:p>
    <w:p w14:paraId="2F19C8F0" w14:textId="77777777" w:rsidR="00F8115A" w:rsidRPr="00DE420F" w:rsidRDefault="00000000">
      <w:pPr>
        <w:spacing w:after="120" w:line="320" w:lineRule="auto"/>
        <w:jc w:val="center"/>
        <w:rPr>
          <w:rFonts w:ascii="Times New Roman" w:hAnsi="Times New Roman" w:cs="Times New Roman"/>
        </w:rPr>
      </w:pPr>
      <w:r w:rsidRPr="00DE420F">
        <w:rPr>
          <w:rFonts w:ascii="Times New Roman" w:eastAsia="Calibri" w:hAnsi="Times New Roman" w:cs="Times New Roman"/>
          <w:b/>
          <w:bCs/>
          <w:color w:val="2C3E6B"/>
          <w:sz w:val="32"/>
          <w:szCs w:val="32"/>
        </w:rPr>
        <w:t>Context-Specific Innate Immune Evasion via VDAC1 Gate-Jamming in Microsatellite-Stable Colorectal Cancer</w:t>
      </w:r>
    </w:p>
    <w:p w14:paraId="0B3E780E" w14:textId="77777777" w:rsidR="00F8115A" w:rsidRPr="00DE420F" w:rsidRDefault="00000000">
      <w:pPr>
        <w:spacing w:after="60"/>
        <w:jc w:val="center"/>
        <w:rPr>
          <w:rFonts w:ascii="Times New Roman" w:hAnsi="Times New Roman" w:cs="Times New Roman"/>
        </w:rPr>
      </w:pPr>
      <w:r w:rsidRPr="00DE420F">
        <w:rPr>
          <w:rFonts w:ascii="Times New Roman" w:eastAsia="Calibri" w:hAnsi="Times New Roman" w:cs="Times New Roman"/>
          <w:i/>
          <w:iCs/>
          <w:color w:val="546E7A"/>
          <w:sz w:val="24"/>
          <w:szCs w:val="24"/>
        </w:rPr>
        <w:t>A Three-Cohort Transcriptomic Analysis</w:t>
      </w:r>
    </w:p>
    <w:p w14:paraId="769074E5" w14:textId="77777777" w:rsidR="00F8115A" w:rsidRPr="00DE420F" w:rsidRDefault="00F8115A">
      <w:pPr>
        <w:spacing w:after="60"/>
        <w:rPr>
          <w:rFonts w:ascii="Times New Roman" w:hAnsi="Times New Roman" w:cs="Times New Roman"/>
        </w:rPr>
      </w:pPr>
    </w:p>
    <w:p w14:paraId="1EE15DCB" w14:textId="77777777" w:rsidR="00F8115A" w:rsidRPr="00DE420F" w:rsidRDefault="00000000">
      <w:pPr>
        <w:spacing w:after="40"/>
        <w:jc w:val="center"/>
        <w:rPr>
          <w:rFonts w:ascii="Times New Roman" w:hAnsi="Times New Roman" w:cs="Times New Roman"/>
        </w:rPr>
      </w:pPr>
      <w:r w:rsidRPr="00DE420F">
        <w:rPr>
          <w:rFonts w:ascii="Times New Roman" w:eastAsia="Calibri" w:hAnsi="Times New Roman" w:cs="Times New Roman"/>
          <w:b/>
          <w:bCs/>
          <w:sz w:val="24"/>
          <w:szCs w:val="24"/>
        </w:rPr>
        <w:t>Anthony J. Vasquez Sr.</w:t>
      </w:r>
    </w:p>
    <w:p w14:paraId="46D7FE1A" w14:textId="77777777" w:rsidR="00F8115A" w:rsidRPr="00DE420F" w:rsidRDefault="00000000">
      <w:pPr>
        <w:spacing w:after="40"/>
        <w:jc w:val="center"/>
        <w:rPr>
          <w:rFonts w:ascii="Times New Roman" w:hAnsi="Times New Roman" w:cs="Times New Roman"/>
        </w:rPr>
      </w:pPr>
      <w:r w:rsidRPr="00DE420F">
        <w:rPr>
          <w:rFonts w:ascii="Times New Roman" w:eastAsia="Calibri" w:hAnsi="Times New Roman" w:cs="Times New Roman"/>
          <w:i/>
          <w:iCs/>
          <w:color w:val="546E7A"/>
          <w:sz w:val="20"/>
          <w:szCs w:val="20"/>
        </w:rPr>
        <w:t>Delaware Valley University, Doylestown, PA, USA</w:t>
      </w:r>
    </w:p>
    <w:p w14:paraId="673BFE9D" w14:textId="77777777" w:rsidR="00F8115A" w:rsidRPr="00DE420F" w:rsidRDefault="00000000">
      <w:pPr>
        <w:spacing w:after="120"/>
        <w:jc w:val="center"/>
        <w:rPr>
          <w:rFonts w:ascii="Times New Roman" w:hAnsi="Times New Roman" w:cs="Times New Roman"/>
        </w:rPr>
      </w:pPr>
      <w:r w:rsidRPr="00DE420F">
        <w:rPr>
          <w:rFonts w:ascii="Times New Roman" w:eastAsia="Calibri" w:hAnsi="Times New Roman" w:cs="Times New Roman"/>
          <w:color w:val="2C3E6B"/>
          <w:sz w:val="20"/>
          <w:szCs w:val="20"/>
        </w:rPr>
        <w:t>vasquezaj3921@delval.edu</w:t>
      </w:r>
    </w:p>
    <w:p w14:paraId="03A3BEB5" w14:textId="77777777" w:rsidR="00F8115A" w:rsidRPr="00DE420F" w:rsidRDefault="00F8115A">
      <w:pPr>
        <w:pBdr>
          <w:bottom w:val="single" w:sz="4" w:space="8" w:color="CFD8DC"/>
        </w:pBdr>
        <w:spacing w:before="200" w:after="200"/>
        <w:rPr>
          <w:rFonts w:ascii="Times New Roman" w:hAnsi="Times New Roman" w:cs="Times New Roman"/>
        </w:rPr>
      </w:pPr>
    </w:p>
    <w:p w14:paraId="52B0A8D8" w14:textId="77777777" w:rsidR="00CF44FC" w:rsidRDefault="00CF44FC" w:rsidP="00DE420F">
      <w:pPr>
        <w:spacing w:before="100" w:after="80"/>
        <w:jc w:val="center"/>
        <w:rPr>
          <w:rFonts w:ascii="Times New Roman" w:eastAsia="Calibri" w:hAnsi="Times New Roman" w:cs="Times New Roman"/>
          <w:b/>
          <w:bCs/>
          <w:color w:val="2C3E6B"/>
          <w:sz w:val="24"/>
          <w:szCs w:val="24"/>
        </w:rPr>
      </w:pPr>
    </w:p>
    <w:p w14:paraId="3BD7C7EC" w14:textId="5B5B253E" w:rsidR="00F8115A" w:rsidRDefault="00000000" w:rsidP="00DE420F">
      <w:pPr>
        <w:spacing w:before="100" w:after="80"/>
        <w:jc w:val="center"/>
        <w:rPr>
          <w:rFonts w:ascii="Times New Roman" w:eastAsia="Calibri" w:hAnsi="Times New Roman" w:cs="Times New Roman"/>
          <w:b/>
          <w:bCs/>
          <w:color w:val="2C3E6B"/>
          <w:sz w:val="24"/>
          <w:szCs w:val="24"/>
        </w:rPr>
      </w:pPr>
      <w:r w:rsidRPr="00DE420F">
        <w:rPr>
          <w:rFonts w:ascii="Times New Roman" w:eastAsia="Calibri" w:hAnsi="Times New Roman" w:cs="Times New Roman"/>
          <w:b/>
          <w:bCs/>
          <w:color w:val="2C3E6B"/>
          <w:sz w:val="24"/>
          <w:szCs w:val="24"/>
        </w:rPr>
        <w:t>Abstract</w:t>
      </w:r>
    </w:p>
    <w:p w14:paraId="3F185B6F" w14:textId="77777777" w:rsidR="00CF44FC" w:rsidRPr="00DE420F" w:rsidRDefault="00CF44FC" w:rsidP="00DE420F">
      <w:pPr>
        <w:spacing w:before="100" w:after="80"/>
        <w:jc w:val="center"/>
        <w:rPr>
          <w:rFonts w:ascii="Times New Roman" w:hAnsi="Times New Roman" w:cs="Times New Roman"/>
        </w:rPr>
      </w:pPr>
    </w:p>
    <w:p w14:paraId="601D7BFA" w14:textId="77777777" w:rsidR="00F8115A" w:rsidRDefault="00000000">
      <w:pPr>
        <w:spacing w:after="160" w:line="300" w:lineRule="auto"/>
        <w:jc w:val="both"/>
        <w:rPr>
          <w:rFonts w:ascii="Times New Roman" w:hAnsi="Times New Roman" w:cs="Times New Roman"/>
        </w:rPr>
      </w:pPr>
      <w:r w:rsidRPr="00DE420F">
        <w:rPr>
          <w:rFonts w:ascii="Times New Roman" w:hAnsi="Times New Roman" w:cs="Times New Roman"/>
        </w:rPr>
        <w:t>Immune checkpoint inhibitors (ICIs) have transformed oncology for microsatellite instability-high (MSI-H) colorectal cancer, yet 85–95% of colorectal cancer patients carry microsatellite-stable (MSS) tumors and derive no benefit from current ICI regimens. We propose that VDAC1-mediated mitochondrial DNA (</w:t>
      </w:r>
      <w:proofErr w:type="spellStart"/>
      <w:r w:rsidRPr="00DE420F">
        <w:rPr>
          <w:rFonts w:ascii="Times New Roman" w:hAnsi="Times New Roman" w:cs="Times New Roman"/>
        </w:rPr>
        <w:t>mtDNA</w:t>
      </w:r>
      <w:proofErr w:type="spellEnd"/>
      <w:r w:rsidRPr="00DE420F">
        <w:rPr>
          <w:rFonts w:ascii="Times New Roman" w:hAnsi="Times New Roman" w:cs="Times New Roman"/>
        </w:rPr>
        <w:t xml:space="preserve">) gate-jamming — suppression of VDAC1 oligomerization by HK-II docking, </w:t>
      </w:r>
      <w:proofErr w:type="spellStart"/>
      <w:r w:rsidRPr="00DE420F">
        <w:rPr>
          <w:rFonts w:ascii="Times New Roman" w:hAnsi="Times New Roman" w:cs="Times New Roman"/>
        </w:rPr>
        <w:t>Bcl-xL</w:t>
      </w:r>
      <w:proofErr w:type="spellEnd"/>
      <w:r w:rsidRPr="00DE420F">
        <w:rPr>
          <w:rFonts w:ascii="Times New Roman" w:hAnsi="Times New Roman" w:cs="Times New Roman"/>
        </w:rPr>
        <w:t xml:space="preserve"> binding, and outer mitochondrial membrane cholesterol loading — explains this selectivity by silencing the </w:t>
      </w:r>
      <w:proofErr w:type="spellStart"/>
      <w:r w:rsidRPr="00DE420F">
        <w:rPr>
          <w:rFonts w:ascii="Times New Roman" w:hAnsi="Times New Roman" w:cs="Times New Roman"/>
        </w:rPr>
        <w:t>cGAS</w:t>
      </w:r>
      <w:proofErr w:type="spellEnd"/>
      <w:r w:rsidRPr="00DE420F">
        <w:rPr>
          <w:rFonts w:ascii="Times New Roman" w:hAnsi="Times New Roman" w:cs="Times New Roman"/>
        </w:rPr>
        <w:t>–STING innate immune signal required for spontaneous T cell priming. To test this hypothesis at scale, we computed a transcriptomic Gate-Jamming Score (</w:t>
      </w:r>
      <w:proofErr w:type="spellStart"/>
      <w:r w:rsidRPr="00DE420F">
        <w:rPr>
          <w:rFonts w:ascii="Times New Roman" w:hAnsi="Times New Roman" w:cs="Times New Roman"/>
        </w:rPr>
        <w:t>tGJS</w:t>
      </w:r>
      <w:proofErr w:type="spellEnd"/>
      <w:r w:rsidRPr="00DE420F">
        <w:rPr>
          <w:rFonts w:ascii="Times New Roman" w:hAnsi="Times New Roman" w:cs="Times New Roman"/>
        </w:rPr>
        <w:t xml:space="preserve"> = 0.4 × HK2 + 0.3 × BCL2L1 + 0.3 × TSPO, rank-normalized) and conducted three sequential analyses: (S1) pan-cancer TCGA (n = 10,071, 33 cancer types) — null result (ρ = +0.38 vs ICI response rate, p = 0.14); (S2) COADREAD MSS/TP53-wildtype clean room (n = 209) — five Bonferroni-significant inverse correlations between </w:t>
      </w:r>
      <w:proofErr w:type="spellStart"/>
      <w:r w:rsidRPr="00DE420F">
        <w:rPr>
          <w:rFonts w:ascii="Times New Roman" w:hAnsi="Times New Roman" w:cs="Times New Roman"/>
        </w:rPr>
        <w:t>tGJS</w:t>
      </w:r>
      <w:proofErr w:type="spellEnd"/>
      <w:r w:rsidRPr="00DE420F">
        <w:rPr>
          <w:rFonts w:ascii="Times New Roman" w:hAnsi="Times New Roman" w:cs="Times New Roman"/>
        </w:rPr>
        <w:t xml:space="preserve"> and immune markers including HAVCR2 (ρ = −0.349, </w:t>
      </w:r>
      <w:proofErr w:type="spellStart"/>
      <w:r w:rsidRPr="00DE420F">
        <w:rPr>
          <w:rFonts w:ascii="Times New Roman" w:hAnsi="Times New Roman" w:cs="Times New Roman"/>
        </w:rPr>
        <w:t>p_bonf</w:t>
      </w:r>
      <w:proofErr w:type="spellEnd"/>
      <w:r w:rsidRPr="00DE420F">
        <w:rPr>
          <w:rFonts w:ascii="Times New Roman" w:hAnsi="Times New Roman" w:cs="Times New Roman"/>
        </w:rPr>
        <w:t xml:space="preserve"> = 5 × 10⁻⁶), CXCL10 (ρ = −0.231, </w:t>
      </w:r>
      <w:proofErr w:type="spellStart"/>
      <w:r w:rsidRPr="00DE420F">
        <w:rPr>
          <w:rFonts w:ascii="Times New Roman" w:hAnsi="Times New Roman" w:cs="Times New Roman"/>
        </w:rPr>
        <w:t>p_bonf</w:t>
      </w:r>
      <w:proofErr w:type="spellEnd"/>
      <w:r w:rsidRPr="00DE420F">
        <w:rPr>
          <w:rFonts w:ascii="Times New Roman" w:hAnsi="Times New Roman" w:cs="Times New Roman"/>
        </w:rPr>
        <w:t xml:space="preserve"> = 0.015), and </w:t>
      </w:r>
      <w:proofErr w:type="spellStart"/>
      <w:r w:rsidRPr="00DE420F">
        <w:rPr>
          <w:rFonts w:ascii="Times New Roman" w:hAnsi="Times New Roman" w:cs="Times New Roman"/>
        </w:rPr>
        <w:t>cGAS</w:t>
      </w:r>
      <w:proofErr w:type="spellEnd"/>
      <w:r w:rsidRPr="00DE420F">
        <w:rPr>
          <w:rFonts w:ascii="Times New Roman" w:hAnsi="Times New Roman" w:cs="Times New Roman"/>
        </w:rPr>
        <w:t xml:space="preserve"> (ρ = −0.208, </w:t>
      </w:r>
      <w:proofErr w:type="spellStart"/>
      <w:r w:rsidRPr="00DE420F">
        <w:rPr>
          <w:rFonts w:ascii="Times New Roman" w:hAnsi="Times New Roman" w:cs="Times New Roman"/>
        </w:rPr>
        <w:t>p_bonf</w:t>
      </w:r>
      <w:proofErr w:type="spellEnd"/>
      <w:r w:rsidRPr="00DE420F">
        <w:rPr>
          <w:rFonts w:ascii="Times New Roman" w:hAnsi="Times New Roman" w:cs="Times New Roman"/>
        </w:rPr>
        <w:t xml:space="preserve"> = 0.049); (S3) IMvigor210 urothelial carcinoma atezolizumab cohort (n = 348) — null result (Wilcoxon p = 0.965, Cox HR = 0.898, p = 0.455). The flanking nulls (S1, S3) define the framework’s domain: the gate-jamming signal is detectable only when VDAC1-mediated </w:t>
      </w:r>
      <w:proofErr w:type="spellStart"/>
      <w:r w:rsidRPr="00DE420F">
        <w:rPr>
          <w:rFonts w:ascii="Times New Roman" w:hAnsi="Times New Roman" w:cs="Times New Roman"/>
        </w:rPr>
        <w:t>mtDNA</w:t>
      </w:r>
      <w:proofErr w:type="spellEnd"/>
      <w:r w:rsidRPr="00DE420F">
        <w:rPr>
          <w:rFonts w:ascii="Times New Roman" w:hAnsi="Times New Roman" w:cs="Times New Roman"/>
        </w:rPr>
        <w:t xml:space="preserve"> release is the dominant cytosolic DNA source and innate priming is the rate-limiting step. The S2 clean room results, combined with the three-layer therapeutic hypothesis (VDAC1 gate-opener + </w:t>
      </w:r>
      <w:proofErr w:type="spellStart"/>
      <w:r w:rsidRPr="00DE420F">
        <w:rPr>
          <w:rFonts w:ascii="Times New Roman" w:hAnsi="Times New Roman" w:cs="Times New Roman"/>
        </w:rPr>
        <w:t>cGAMP</w:t>
      </w:r>
      <w:proofErr w:type="spellEnd"/>
      <w:r w:rsidRPr="00DE420F">
        <w:rPr>
          <w:rFonts w:ascii="Times New Roman" w:hAnsi="Times New Roman" w:cs="Times New Roman"/>
        </w:rPr>
        <w:t>/DNA eraser inhibitor + checkpoint blockade) independently derived from the same data by three AI analytical systems, motivates protein-level validation in MSS colorectal cancer and combination ICI trials in this specific population.</w:t>
      </w:r>
    </w:p>
    <w:p w14:paraId="61A60777" w14:textId="77777777" w:rsidR="00CF44FC" w:rsidRPr="00CF44FC" w:rsidRDefault="00CF44FC" w:rsidP="00CF44FC">
      <w:pPr>
        <w:spacing w:after="160" w:line="300" w:lineRule="auto"/>
        <w:rPr>
          <w:rFonts w:ascii="Times New Roman" w:hAnsi="Times New Roman" w:cs="Times New Roman"/>
          <w:sz w:val="32"/>
          <w:szCs w:val="32"/>
        </w:rPr>
      </w:pPr>
    </w:p>
    <w:p w14:paraId="662A1E74" w14:textId="77777777" w:rsidR="00F8115A" w:rsidRPr="00CF44FC" w:rsidRDefault="00000000" w:rsidP="00CF44FC">
      <w:pPr>
        <w:spacing w:before="100" w:after="100"/>
        <w:rPr>
          <w:rFonts w:ascii="Times New Roman" w:hAnsi="Times New Roman" w:cs="Times New Roman"/>
          <w:sz w:val="32"/>
          <w:szCs w:val="32"/>
        </w:rPr>
      </w:pPr>
      <w:r w:rsidRPr="00CF44FC">
        <w:rPr>
          <w:rFonts w:ascii="Times New Roman" w:eastAsia="Calibri" w:hAnsi="Times New Roman" w:cs="Times New Roman"/>
          <w:b/>
          <w:bCs/>
          <w:color w:val="2C3E6B"/>
          <w:sz w:val="24"/>
          <w:szCs w:val="24"/>
        </w:rPr>
        <w:t xml:space="preserve">Keywords: </w:t>
      </w:r>
      <w:r w:rsidRPr="00CF44FC">
        <w:rPr>
          <w:rFonts w:ascii="Times New Roman" w:hAnsi="Times New Roman" w:cs="Times New Roman"/>
          <w:i/>
          <w:iCs/>
          <w:color w:val="546E7A"/>
          <w:sz w:val="24"/>
          <w:szCs w:val="24"/>
        </w:rPr>
        <w:t xml:space="preserve">VDAC1, gate-jamming, </w:t>
      </w:r>
      <w:proofErr w:type="spellStart"/>
      <w:r w:rsidRPr="00CF44FC">
        <w:rPr>
          <w:rFonts w:ascii="Times New Roman" w:hAnsi="Times New Roman" w:cs="Times New Roman"/>
          <w:i/>
          <w:iCs/>
          <w:color w:val="546E7A"/>
          <w:sz w:val="24"/>
          <w:szCs w:val="24"/>
        </w:rPr>
        <w:t>cGAS</w:t>
      </w:r>
      <w:proofErr w:type="spellEnd"/>
      <w:r w:rsidRPr="00CF44FC">
        <w:rPr>
          <w:rFonts w:ascii="Times New Roman" w:hAnsi="Times New Roman" w:cs="Times New Roman"/>
          <w:i/>
          <w:iCs/>
          <w:color w:val="546E7A"/>
          <w:sz w:val="24"/>
          <w:szCs w:val="24"/>
        </w:rPr>
        <w:t xml:space="preserve">–STING, microsatellite-stable colorectal cancer, innate immunity, immunotherapy resistance, </w:t>
      </w:r>
      <w:proofErr w:type="spellStart"/>
      <w:r w:rsidRPr="00CF44FC">
        <w:rPr>
          <w:rFonts w:ascii="Times New Roman" w:hAnsi="Times New Roman" w:cs="Times New Roman"/>
          <w:i/>
          <w:iCs/>
          <w:color w:val="546E7A"/>
          <w:sz w:val="24"/>
          <w:szCs w:val="24"/>
        </w:rPr>
        <w:t>tGJS</w:t>
      </w:r>
      <w:proofErr w:type="spellEnd"/>
    </w:p>
    <w:p w14:paraId="78DF32E9" w14:textId="77777777" w:rsidR="00F8115A" w:rsidRPr="00CF44FC" w:rsidRDefault="00000000" w:rsidP="00CF44FC">
      <w:pPr>
        <w:rPr>
          <w:rFonts w:ascii="Times New Roman" w:hAnsi="Times New Roman" w:cs="Times New Roman"/>
          <w:sz w:val="24"/>
          <w:szCs w:val="24"/>
        </w:rPr>
      </w:pPr>
      <w:r w:rsidRPr="00CF44FC">
        <w:rPr>
          <w:rFonts w:ascii="Times New Roman" w:hAnsi="Times New Roman" w:cs="Times New Roman"/>
          <w:sz w:val="24"/>
          <w:szCs w:val="24"/>
        </w:rPr>
        <w:br w:type="page"/>
      </w:r>
    </w:p>
    <w:p w14:paraId="25B10EA1" w14:textId="2A2855CA" w:rsidR="00F8115A" w:rsidRDefault="00000000" w:rsidP="00504322">
      <w:pPr>
        <w:pStyle w:val="Heading1"/>
        <w:numPr>
          <w:ilvl w:val="0"/>
          <w:numId w:val="4"/>
        </w:numPr>
        <w:jc w:val="center"/>
        <w:rPr>
          <w:rFonts w:ascii="Times New Roman" w:hAnsi="Times New Roman" w:cs="Times New Roman"/>
        </w:rPr>
      </w:pPr>
      <w:r w:rsidRPr="00DE420F">
        <w:rPr>
          <w:rFonts w:ascii="Times New Roman" w:hAnsi="Times New Roman" w:cs="Times New Roman"/>
        </w:rPr>
        <w:lastRenderedPageBreak/>
        <w:t>Introduction</w:t>
      </w:r>
    </w:p>
    <w:p w14:paraId="1B80757F" w14:textId="77777777" w:rsidR="00504322" w:rsidRPr="00DE420F" w:rsidRDefault="00504322" w:rsidP="00504322">
      <w:pPr>
        <w:pStyle w:val="Heading1"/>
        <w:jc w:val="center"/>
        <w:rPr>
          <w:rFonts w:ascii="Times New Roman" w:hAnsi="Times New Roman" w:cs="Times New Roman"/>
        </w:rPr>
      </w:pPr>
    </w:p>
    <w:p w14:paraId="148B053E" w14:textId="77777777" w:rsidR="00F8115A" w:rsidRDefault="00000000">
      <w:pPr>
        <w:spacing w:after="160" w:line="300" w:lineRule="auto"/>
        <w:jc w:val="both"/>
        <w:rPr>
          <w:rFonts w:ascii="Times New Roman" w:hAnsi="Times New Roman" w:cs="Times New Roman"/>
          <w:sz w:val="24"/>
          <w:szCs w:val="24"/>
        </w:rPr>
      </w:pPr>
      <w:r w:rsidRPr="00504322">
        <w:rPr>
          <w:rFonts w:ascii="Times New Roman" w:hAnsi="Times New Roman" w:cs="Times New Roman"/>
          <w:sz w:val="24"/>
          <w:szCs w:val="24"/>
        </w:rPr>
        <w:t>Colorectal cancer is the second leading cause of cancer mortality in the United States, with approximately 150,000 new cases annually. Pembrolizumab and nivolumab achieve durable responses in the ~5–15% of patients with MSI-H tumors — where pervasive genomic instability generates abundant mutational neoantigens and activates innate immune sensing. For the remaining 85–95% of patients with MSS tumors, ICI monotherapy has consistently failed in randomized trials, and no predictive biomarker identifies a responsive MSS subpopulation. The central unmet need in colorectal cancer immunotherapy is converting MSS tumors from immune-cold to immune-hot.</w:t>
      </w:r>
    </w:p>
    <w:p w14:paraId="4524E3DE" w14:textId="77777777" w:rsidR="00504322" w:rsidRPr="00504322" w:rsidRDefault="00504322">
      <w:pPr>
        <w:spacing w:after="160" w:line="300" w:lineRule="auto"/>
        <w:jc w:val="both"/>
        <w:rPr>
          <w:rFonts w:ascii="Times New Roman" w:hAnsi="Times New Roman" w:cs="Times New Roman"/>
          <w:sz w:val="24"/>
          <w:szCs w:val="24"/>
        </w:rPr>
      </w:pPr>
    </w:p>
    <w:p w14:paraId="3454CB54" w14:textId="655132BB" w:rsidR="00F8115A" w:rsidRDefault="00000000">
      <w:pPr>
        <w:spacing w:after="160" w:line="300" w:lineRule="auto"/>
        <w:ind w:firstLine="360"/>
        <w:jc w:val="both"/>
        <w:rPr>
          <w:rFonts w:ascii="Times New Roman" w:hAnsi="Times New Roman" w:cs="Times New Roman"/>
          <w:sz w:val="24"/>
          <w:szCs w:val="24"/>
        </w:rPr>
      </w:pPr>
      <w:r w:rsidRPr="00504322">
        <w:rPr>
          <w:rFonts w:ascii="Times New Roman" w:hAnsi="Times New Roman" w:cs="Times New Roman"/>
          <w:sz w:val="24"/>
          <w:szCs w:val="24"/>
        </w:rPr>
        <w:t>VDAC1 (voltage-dependent anion channel 1) is the most abundant protein in the outer mitochondrial membrane, present at densities exceeding 1,000 molecules per μm². Its oligomeric form releases 500–650 bp mitochondrial DNA (</w:t>
      </w:r>
      <w:proofErr w:type="spellStart"/>
      <w:r w:rsidRPr="00504322">
        <w:rPr>
          <w:rFonts w:ascii="Times New Roman" w:hAnsi="Times New Roman" w:cs="Times New Roman"/>
          <w:sz w:val="24"/>
          <w:szCs w:val="24"/>
        </w:rPr>
        <w:t>mtDNA</w:t>
      </w:r>
      <w:proofErr w:type="spellEnd"/>
      <w:r w:rsidRPr="00504322">
        <w:rPr>
          <w:rFonts w:ascii="Times New Roman" w:hAnsi="Times New Roman" w:cs="Times New Roman"/>
          <w:sz w:val="24"/>
          <w:szCs w:val="24"/>
        </w:rPr>
        <w:t xml:space="preserve">) fragments into the cytoplasm (Kim et al. 2019, Science), activating the </w:t>
      </w:r>
      <w:proofErr w:type="spellStart"/>
      <w:r w:rsidRPr="00504322">
        <w:rPr>
          <w:rFonts w:ascii="Times New Roman" w:hAnsi="Times New Roman" w:cs="Times New Roman"/>
          <w:sz w:val="24"/>
          <w:szCs w:val="24"/>
        </w:rPr>
        <w:t>cGAS</w:t>
      </w:r>
      <w:proofErr w:type="spellEnd"/>
      <w:r w:rsidRPr="00504322">
        <w:rPr>
          <w:rFonts w:ascii="Times New Roman" w:hAnsi="Times New Roman" w:cs="Times New Roman"/>
          <w:sz w:val="24"/>
          <w:szCs w:val="24"/>
        </w:rPr>
        <w:t xml:space="preserve">–STING innate immune pathway required for spontaneous CD8+ T cell priming (Woo et al. 2014, Immunity). Cancer cells suppress this oligomerization through at least three mechanisms: hexokinase-II (HK-II) docking on VDAC1’s outer barrel (Wolf et al. 2023, Science Immunology; Bieker et al. 2025, Communications Biology), </w:t>
      </w:r>
      <w:proofErr w:type="spellStart"/>
      <w:r w:rsidRPr="00504322">
        <w:rPr>
          <w:rFonts w:ascii="Times New Roman" w:hAnsi="Times New Roman" w:cs="Times New Roman"/>
          <w:sz w:val="24"/>
          <w:szCs w:val="24"/>
        </w:rPr>
        <w:t>Bcl-xL</w:t>
      </w:r>
      <w:proofErr w:type="spellEnd"/>
      <w:r w:rsidRPr="00504322">
        <w:rPr>
          <w:rFonts w:ascii="Times New Roman" w:hAnsi="Times New Roman" w:cs="Times New Roman"/>
          <w:sz w:val="24"/>
          <w:szCs w:val="24"/>
        </w:rPr>
        <w:t xml:space="preserve"> binding via its BH4 domain (Monaco et al. 2015, JBC), and cholesterol loading of the outer mitochondrial membrane (</w:t>
      </w:r>
      <w:proofErr w:type="spellStart"/>
      <w:r w:rsidRPr="00504322">
        <w:rPr>
          <w:rFonts w:ascii="Times New Roman" w:hAnsi="Times New Roman" w:cs="Times New Roman"/>
          <w:sz w:val="24"/>
          <w:szCs w:val="24"/>
        </w:rPr>
        <w:t>Betaneli</w:t>
      </w:r>
      <w:proofErr w:type="spellEnd"/>
      <w:r w:rsidRPr="00504322">
        <w:rPr>
          <w:rFonts w:ascii="Times New Roman" w:hAnsi="Times New Roman" w:cs="Times New Roman"/>
          <w:sz w:val="24"/>
          <w:szCs w:val="24"/>
        </w:rPr>
        <w:t xml:space="preserve"> et al. 2012, Biophysical Journal). Together, these constitute a gate-jamming architecture that silences the mitochondrial innate immune alarm.</w:t>
      </w:r>
      <w:r w:rsidR="00504322">
        <w:rPr>
          <w:rFonts w:ascii="Times New Roman" w:hAnsi="Times New Roman" w:cs="Times New Roman"/>
          <w:sz w:val="24"/>
          <w:szCs w:val="24"/>
        </w:rPr>
        <w:t xml:space="preserve"> </w:t>
      </w:r>
    </w:p>
    <w:p w14:paraId="57715AF8" w14:textId="77777777" w:rsidR="00504322" w:rsidRPr="00504322" w:rsidRDefault="00504322">
      <w:pPr>
        <w:spacing w:after="160" w:line="300" w:lineRule="auto"/>
        <w:ind w:firstLine="360"/>
        <w:jc w:val="both"/>
        <w:rPr>
          <w:rFonts w:ascii="Times New Roman" w:hAnsi="Times New Roman" w:cs="Times New Roman"/>
          <w:sz w:val="24"/>
          <w:szCs w:val="24"/>
        </w:rPr>
      </w:pPr>
    </w:p>
    <w:p w14:paraId="34092B03" w14:textId="77777777" w:rsidR="00F8115A" w:rsidRDefault="00000000">
      <w:pPr>
        <w:spacing w:after="160" w:line="300" w:lineRule="auto"/>
        <w:ind w:firstLine="360"/>
        <w:jc w:val="both"/>
        <w:rPr>
          <w:rFonts w:ascii="Times New Roman" w:hAnsi="Times New Roman" w:cs="Times New Roman"/>
          <w:sz w:val="24"/>
          <w:szCs w:val="24"/>
        </w:rPr>
      </w:pPr>
      <w:r w:rsidRPr="00504322">
        <w:rPr>
          <w:rFonts w:ascii="Times New Roman" w:hAnsi="Times New Roman" w:cs="Times New Roman"/>
          <w:sz w:val="24"/>
          <w:szCs w:val="24"/>
        </w:rPr>
        <w:t xml:space="preserve">Critically, this mechanism is predicted to be relevant precisely in MSS tumors. In MSI-H tumors, nuclear DNA damage generates cytosolic DNA fragments independently of mitochondrial dynamics, saturating </w:t>
      </w:r>
      <w:proofErr w:type="spellStart"/>
      <w:r w:rsidRPr="00504322">
        <w:rPr>
          <w:rFonts w:ascii="Times New Roman" w:hAnsi="Times New Roman" w:cs="Times New Roman"/>
          <w:sz w:val="24"/>
          <w:szCs w:val="24"/>
        </w:rPr>
        <w:t>cGAS</w:t>
      </w:r>
      <w:proofErr w:type="spellEnd"/>
      <w:r w:rsidRPr="00504322">
        <w:rPr>
          <w:rFonts w:ascii="Times New Roman" w:hAnsi="Times New Roman" w:cs="Times New Roman"/>
          <w:sz w:val="24"/>
          <w:szCs w:val="24"/>
        </w:rPr>
        <w:t xml:space="preserve">–STING regardless of VDAC1 state. In MSS tumors where nuclear DNA damage is minimal, VDAC1-mediated </w:t>
      </w:r>
      <w:proofErr w:type="spellStart"/>
      <w:r w:rsidRPr="00504322">
        <w:rPr>
          <w:rFonts w:ascii="Times New Roman" w:hAnsi="Times New Roman" w:cs="Times New Roman"/>
          <w:sz w:val="24"/>
          <w:szCs w:val="24"/>
        </w:rPr>
        <w:t>mtDNA</w:t>
      </w:r>
      <w:proofErr w:type="spellEnd"/>
      <w:r w:rsidRPr="00504322">
        <w:rPr>
          <w:rFonts w:ascii="Times New Roman" w:hAnsi="Times New Roman" w:cs="Times New Roman"/>
          <w:sz w:val="24"/>
          <w:szCs w:val="24"/>
        </w:rPr>
        <w:t xml:space="preserve"> release is the predicted dominant — potentially sole — cytosolic DNA source. Gate-jamming in this context suppresses the entire innate priming axis, explaining ICI failure without invoking T cell exhaustion.</w:t>
      </w:r>
    </w:p>
    <w:p w14:paraId="54FFFD10" w14:textId="77777777" w:rsidR="00504322" w:rsidRPr="00504322" w:rsidRDefault="00504322">
      <w:pPr>
        <w:spacing w:after="160" w:line="300" w:lineRule="auto"/>
        <w:ind w:firstLine="360"/>
        <w:jc w:val="both"/>
        <w:rPr>
          <w:rFonts w:ascii="Times New Roman" w:hAnsi="Times New Roman" w:cs="Times New Roman"/>
          <w:sz w:val="24"/>
          <w:szCs w:val="24"/>
        </w:rPr>
      </w:pPr>
    </w:p>
    <w:p w14:paraId="5EC3CF3B" w14:textId="08B70003" w:rsidR="00F8115A" w:rsidRPr="00504322" w:rsidRDefault="00000000" w:rsidP="00504322">
      <w:pPr>
        <w:spacing w:after="160" w:line="300" w:lineRule="auto"/>
        <w:ind w:firstLine="360"/>
        <w:jc w:val="both"/>
        <w:rPr>
          <w:rFonts w:ascii="Times New Roman" w:hAnsi="Times New Roman" w:cs="Times New Roman"/>
          <w:sz w:val="24"/>
          <w:szCs w:val="24"/>
        </w:rPr>
      </w:pPr>
      <w:r w:rsidRPr="00504322">
        <w:rPr>
          <w:rFonts w:ascii="Times New Roman" w:hAnsi="Times New Roman" w:cs="Times New Roman"/>
          <w:b/>
          <w:bCs/>
          <w:sz w:val="24"/>
          <w:szCs w:val="24"/>
        </w:rPr>
        <w:t>We formalized this hypothesis as a transcriptomic Gate-Jamming Score (</w:t>
      </w:r>
      <w:proofErr w:type="spellStart"/>
      <w:r w:rsidRPr="00504322">
        <w:rPr>
          <w:rFonts w:ascii="Times New Roman" w:hAnsi="Times New Roman" w:cs="Times New Roman"/>
          <w:b/>
          <w:bCs/>
          <w:sz w:val="24"/>
          <w:szCs w:val="24"/>
        </w:rPr>
        <w:t>tGJS</w:t>
      </w:r>
      <w:proofErr w:type="spellEnd"/>
      <w:r w:rsidRPr="00504322">
        <w:rPr>
          <w:rFonts w:ascii="Times New Roman" w:hAnsi="Times New Roman" w:cs="Times New Roman"/>
          <w:b/>
          <w:bCs/>
          <w:sz w:val="24"/>
          <w:szCs w:val="24"/>
        </w:rPr>
        <w:t>) and conducted three sequential analyses designed to test the framework, define its domain, and identify the biological context where protein-level validation is most warranted</w:t>
      </w:r>
      <w:r w:rsidRPr="00504322">
        <w:rPr>
          <w:rFonts w:ascii="Times New Roman" w:hAnsi="Times New Roman" w:cs="Times New Roman"/>
          <w:sz w:val="24"/>
          <w:szCs w:val="24"/>
        </w:rPr>
        <w:t>.</w:t>
      </w:r>
    </w:p>
    <w:p w14:paraId="18F1ECAB" w14:textId="77777777" w:rsidR="00F8115A" w:rsidRPr="00504322" w:rsidRDefault="00000000">
      <w:pPr>
        <w:rPr>
          <w:rFonts w:ascii="Times New Roman" w:hAnsi="Times New Roman" w:cs="Times New Roman"/>
          <w:sz w:val="24"/>
          <w:szCs w:val="24"/>
        </w:rPr>
      </w:pPr>
      <w:r w:rsidRPr="00504322">
        <w:rPr>
          <w:rFonts w:ascii="Times New Roman" w:hAnsi="Times New Roman" w:cs="Times New Roman"/>
          <w:sz w:val="24"/>
          <w:szCs w:val="24"/>
        </w:rPr>
        <w:br w:type="page"/>
      </w:r>
    </w:p>
    <w:p w14:paraId="1411149F" w14:textId="77777777" w:rsidR="00F8115A" w:rsidRPr="00DE420F" w:rsidRDefault="00000000" w:rsidP="00504322">
      <w:pPr>
        <w:pStyle w:val="Heading1"/>
        <w:jc w:val="center"/>
        <w:rPr>
          <w:rFonts w:ascii="Times New Roman" w:hAnsi="Times New Roman" w:cs="Times New Roman"/>
        </w:rPr>
      </w:pPr>
      <w:r w:rsidRPr="00DE420F">
        <w:rPr>
          <w:rFonts w:ascii="Times New Roman" w:hAnsi="Times New Roman" w:cs="Times New Roman"/>
        </w:rPr>
        <w:lastRenderedPageBreak/>
        <w:t>2. Methods</w:t>
      </w:r>
    </w:p>
    <w:p w14:paraId="19EA2706" w14:textId="46E7C1F5" w:rsidR="00CF44FC" w:rsidRPr="00DE420F" w:rsidRDefault="00000000" w:rsidP="00CF44FC">
      <w:pPr>
        <w:pStyle w:val="Heading2"/>
        <w:jc w:val="center"/>
        <w:rPr>
          <w:rFonts w:ascii="Times New Roman" w:hAnsi="Times New Roman" w:cs="Times New Roman"/>
        </w:rPr>
      </w:pPr>
      <w:r w:rsidRPr="00DE420F">
        <w:rPr>
          <w:rFonts w:ascii="Times New Roman" w:hAnsi="Times New Roman" w:cs="Times New Roman"/>
        </w:rPr>
        <w:t>2.1 Transcriptomic Gate-Jamming Score</w:t>
      </w:r>
    </w:p>
    <w:p w14:paraId="2C5277AE" w14:textId="77777777" w:rsidR="00F8115A" w:rsidRPr="00DE420F" w:rsidRDefault="00000000">
      <w:pPr>
        <w:spacing w:after="160" w:line="300" w:lineRule="auto"/>
        <w:jc w:val="both"/>
        <w:rPr>
          <w:rFonts w:ascii="Times New Roman" w:hAnsi="Times New Roman" w:cs="Times New Roman"/>
        </w:rPr>
      </w:pPr>
      <w:r w:rsidRPr="00DE420F">
        <w:rPr>
          <w:rFonts w:ascii="Times New Roman" w:hAnsi="Times New Roman" w:cs="Times New Roman"/>
        </w:rPr>
        <w:t xml:space="preserve">The </w:t>
      </w:r>
      <w:proofErr w:type="spellStart"/>
      <w:r w:rsidRPr="00DE420F">
        <w:rPr>
          <w:rFonts w:ascii="Times New Roman" w:hAnsi="Times New Roman" w:cs="Times New Roman"/>
        </w:rPr>
        <w:t>tGJS</w:t>
      </w:r>
      <w:proofErr w:type="spellEnd"/>
      <w:r w:rsidRPr="00DE420F">
        <w:rPr>
          <w:rFonts w:ascii="Times New Roman" w:hAnsi="Times New Roman" w:cs="Times New Roman"/>
        </w:rPr>
        <w:t xml:space="preserve"> is a rank-normalized composite of three genes encoding the primary VDAC1 gate-jamming proteins:</w:t>
      </w:r>
    </w:p>
    <w:p w14:paraId="72C60F2C" w14:textId="77777777" w:rsidR="00F8115A" w:rsidRPr="00504322" w:rsidRDefault="00000000">
      <w:pPr>
        <w:shd w:val="clear" w:color="auto" w:fill="F8F9FA"/>
        <w:spacing w:before="120" w:after="120" w:line="300" w:lineRule="auto"/>
        <w:ind w:left="720" w:right="720"/>
        <w:jc w:val="center"/>
        <w:rPr>
          <w:rFonts w:ascii="Times New Roman" w:hAnsi="Times New Roman" w:cs="Times New Roman"/>
          <w:sz w:val="28"/>
          <w:szCs w:val="28"/>
        </w:rPr>
      </w:pPr>
      <w:proofErr w:type="spellStart"/>
      <w:r w:rsidRPr="00504322">
        <w:rPr>
          <w:rFonts w:ascii="Times New Roman" w:eastAsia="Consolas" w:hAnsi="Times New Roman" w:cs="Times New Roman"/>
          <w:b/>
          <w:bCs/>
          <w:color w:val="2C3E6B"/>
          <w:sz w:val="24"/>
          <w:szCs w:val="24"/>
        </w:rPr>
        <w:t>tGJS</w:t>
      </w:r>
      <w:proofErr w:type="spellEnd"/>
      <w:r w:rsidRPr="00504322">
        <w:rPr>
          <w:rFonts w:ascii="Times New Roman" w:eastAsia="Consolas" w:hAnsi="Times New Roman" w:cs="Times New Roman"/>
          <w:b/>
          <w:bCs/>
          <w:color w:val="2C3E6B"/>
          <w:sz w:val="24"/>
          <w:szCs w:val="24"/>
        </w:rPr>
        <w:t xml:space="preserve"> = 0.40 × </w:t>
      </w:r>
      <w:proofErr w:type="gramStart"/>
      <w:r w:rsidRPr="00504322">
        <w:rPr>
          <w:rFonts w:ascii="Times New Roman" w:eastAsia="Consolas" w:hAnsi="Times New Roman" w:cs="Times New Roman"/>
          <w:b/>
          <w:bCs/>
          <w:color w:val="2C3E6B"/>
          <w:sz w:val="24"/>
          <w:szCs w:val="24"/>
        </w:rPr>
        <w:t>norm(</w:t>
      </w:r>
      <w:proofErr w:type="gramEnd"/>
      <w:r w:rsidRPr="00504322">
        <w:rPr>
          <w:rFonts w:ascii="Times New Roman" w:eastAsia="Consolas" w:hAnsi="Times New Roman" w:cs="Times New Roman"/>
          <w:b/>
          <w:bCs/>
          <w:color w:val="2C3E6B"/>
          <w:sz w:val="24"/>
          <w:szCs w:val="24"/>
        </w:rPr>
        <w:t xml:space="preserve">HK2) + 0.30 × </w:t>
      </w:r>
      <w:proofErr w:type="gramStart"/>
      <w:r w:rsidRPr="00504322">
        <w:rPr>
          <w:rFonts w:ascii="Times New Roman" w:eastAsia="Consolas" w:hAnsi="Times New Roman" w:cs="Times New Roman"/>
          <w:b/>
          <w:bCs/>
          <w:color w:val="2C3E6B"/>
          <w:sz w:val="24"/>
          <w:szCs w:val="24"/>
        </w:rPr>
        <w:t>norm(</w:t>
      </w:r>
      <w:proofErr w:type="gramEnd"/>
      <w:r w:rsidRPr="00504322">
        <w:rPr>
          <w:rFonts w:ascii="Times New Roman" w:eastAsia="Consolas" w:hAnsi="Times New Roman" w:cs="Times New Roman"/>
          <w:b/>
          <w:bCs/>
          <w:color w:val="2C3E6B"/>
          <w:sz w:val="24"/>
          <w:szCs w:val="24"/>
        </w:rPr>
        <w:t xml:space="preserve">BCL2L1) + 0.30 × </w:t>
      </w:r>
      <w:proofErr w:type="gramStart"/>
      <w:r w:rsidRPr="00504322">
        <w:rPr>
          <w:rFonts w:ascii="Times New Roman" w:eastAsia="Consolas" w:hAnsi="Times New Roman" w:cs="Times New Roman"/>
          <w:b/>
          <w:bCs/>
          <w:color w:val="2C3E6B"/>
          <w:sz w:val="24"/>
          <w:szCs w:val="24"/>
        </w:rPr>
        <w:t>norm(</w:t>
      </w:r>
      <w:proofErr w:type="gramEnd"/>
      <w:r w:rsidRPr="00504322">
        <w:rPr>
          <w:rFonts w:ascii="Times New Roman" w:eastAsia="Consolas" w:hAnsi="Times New Roman" w:cs="Times New Roman"/>
          <w:b/>
          <w:bCs/>
          <w:color w:val="2C3E6B"/>
          <w:sz w:val="24"/>
          <w:szCs w:val="24"/>
        </w:rPr>
        <w:t>TSPO)</w:t>
      </w:r>
    </w:p>
    <w:p w14:paraId="3340F755" w14:textId="77777777" w:rsidR="00F8115A" w:rsidRPr="00DE420F" w:rsidRDefault="00000000">
      <w:pPr>
        <w:spacing w:after="160" w:line="300" w:lineRule="auto"/>
        <w:jc w:val="both"/>
        <w:rPr>
          <w:rFonts w:ascii="Times New Roman" w:hAnsi="Times New Roman" w:cs="Times New Roman"/>
        </w:rPr>
      </w:pPr>
      <w:r w:rsidRPr="00DE420F">
        <w:rPr>
          <w:rFonts w:ascii="Times New Roman" w:hAnsi="Times New Roman" w:cs="Times New Roman"/>
        </w:rPr>
        <w:t xml:space="preserve">HK2 encodes hexokinase-II (VDAC1 docking, weight 0.40); BCL2L1 encodes </w:t>
      </w:r>
      <w:proofErr w:type="spellStart"/>
      <w:r w:rsidRPr="00DE420F">
        <w:rPr>
          <w:rFonts w:ascii="Times New Roman" w:hAnsi="Times New Roman" w:cs="Times New Roman"/>
        </w:rPr>
        <w:t>Bcl-xL</w:t>
      </w:r>
      <w:proofErr w:type="spellEnd"/>
      <w:r w:rsidRPr="00DE420F">
        <w:rPr>
          <w:rFonts w:ascii="Times New Roman" w:hAnsi="Times New Roman" w:cs="Times New Roman"/>
        </w:rPr>
        <w:t xml:space="preserve"> (VDAC1 binding, weight 0.30); TSPO encodes the Translocator Protein, a cholesterol transport protein used as a proxy for mitochondrial cholesterol loading (weight 0.30). Normalization is performed within each cohort.</w:t>
      </w:r>
    </w:p>
    <w:p w14:paraId="5E5D4461" w14:textId="77777777" w:rsidR="00F8115A" w:rsidRPr="00DE420F" w:rsidRDefault="00000000" w:rsidP="00504322">
      <w:pPr>
        <w:pStyle w:val="Heading2"/>
        <w:jc w:val="center"/>
        <w:rPr>
          <w:rFonts w:ascii="Times New Roman" w:hAnsi="Times New Roman" w:cs="Times New Roman"/>
        </w:rPr>
      </w:pPr>
      <w:r w:rsidRPr="00DE420F">
        <w:rPr>
          <w:rFonts w:ascii="Times New Roman" w:hAnsi="Times New Roman" w:cs="Times New Roman"/>
        </w:rPr>
        <w:t>2.2 S1: Pan-Cancer TCGA Analysis</w:t>
      </w:r>
    </w:p>
    <w:p w14:paraId="3B152889" w14:textId="77777777" w:rsidR="00F8115A" w:rsidRPr="00DE420F" w:rsidRDefault="00000000">
      <w:pPr>
        <w:spacing w:after="160" w:line="300" w:lineRule="auto"/>
        <w:jc w:val="both"/>
        <w:rPr>
          <w:rFonts w:ascii="Times New Roman" w:hAnsi="Times New Roman" w:cs="Times New Roman"/>
        </w:rPr>
      </w:pPr>
      <w:r w:rsidRPr="00DE420F">
        <w:rPr>
          <w:rFonts w:ascii="Times New Roman" w:hAnsi="Times New Roman" w:cs="Times New Roman"/>
        </w:rPr>
        <w:t xml:space="preserve">Expression data for 10,071 samples across 33 TCGA cancer types were retrieved from the TCGA </w:t>
      </w:r>
      <w:proofErr w:type="spellStart"/>
      <w:r w:rsidRPr="00DE420F">
        <w:rPr>
          <w:rFonts w:ascii="Times New Roman" w:hAnsi="Times New Roman" w:cs="Times New Roman"/>
        </w:rPr>
        <w:t>PanCanAtlas</w:t>
      </w:r>
      <w:proofErr w:type="spellEnd"/>
      <w:r w:rsidRPr="00DE420F">
        <w:rPr>
          <w:rFonts w:ascii="Times New Roman" w:hAnsi="Times New Roman" w:cs="Times New Roman"/>
        </w:rPr>
        <w:t xml:space="preserve"> (</w:t>
      </w:r>
      <w:proofErr w:type="spellStart"/>
      <w:r w:rsidRPr="00DE420F">
        <w:rPr>
          <w:rFonts w:ascii="Times New Roman" w:hAnsi="Times New Roman" w:cs="Times New Roman"/>
        </w:rPr>
        <w:t>cBioPortal</w:t>
      </w:r>
      <w:proofErr w:type="spellEnd"/>
      <w:r w:rsidRPr="00DE420F">
        <w:rPr>
          <w:rFonts w:ascii="Times New Roman" w:hAnsi="Times New Roman" w:cs="Times New Roman"/>
        </w:rPr>
        <w:t xml:space="preserve">, pan_cancer_atlas_2018). ICI response rates per cancer type were compiled from published meta-analyses. </w:t>
      </w:r>
      <w:proofErr w:type="spellStart"/>
      <w:r w:rsidRPr="00DE420F">
        <w:rPr>
          <w:rFonts w:ascii="Times New Roman" w:hAnsi="Times New Roman" w:cs="Times New Roman"/>
        </w:rPr>
        <w:t>tGJS</w:t>
      </w:r>
      <w:proofErr w:type="spellEnd"/>
      <w:r w:rsidRPr="00DE420F">
        <w:rPr>
          <w:rFonts w:ascii="Times New Roman" w:hAnsi="Times New Roman" w:cs="Times New Roman"/>
        </w:rPr>
        <w:t xml:space="preserve"> was correlated with per-cancer-type mean ICI response rate using Spearman rank correlation.</w:t>
      </w:r>
    </w:p>
    <w:p w14:paraId="35C0EDCE" w14:textId="77777777" w:rsidR="00F8115A" w:rsidRPr="00DE420F" w:rsidRDefault="00000000" w:rsidP="00504322">
      <w:pPr>
        <w:pStyle w:val="Heading2"/>
        <w:jc w:val="center"/>
        <w:rPr>
          <w:rFonts w:ascii="Times New Roman" w:hAnsi="Times New Roman" w:cs="Times New Roman"/>
        </w:rPr>
      </w:pPr>
      <w:r w:rsidRPr="00DE420F">
        <w:rPr>
          <w:rFonts w:ascii="Times New Roman" w:hAnsi="Times New Roman" w:cs="Times New Roman"/>
        </w:rPr>
        <w:t>2.3 S2: COADREAD MSS-Stratified Clean Room Analysis</w:t>
      </w:r>
    </w:p>
    <w:p w14:paraId="456FD01A" w14:textId="77777777" w:rsidR="00F8115A" w:rsidRPr="00DE420F" w:rsidRDefault="00000000">
      <w:pPr>
        <w:spacing w:after="160" w:line="300" w:lineRule="auto"/>
        <w:jc w:val="both"/>
        <w:rPr>
          <w:rFonts w:ascii="Times New Roman" w:hAnsi="Times New Roman" w:cs="Times New Roman"/>
        </w:rPr>
      </w:pPr>
      <w:r w:rsidRPr="00DE420F">
        <w:rPr>
          <w:rFonts w:ascii="Times New Roman" w:hAnsi="Times New Roman" w:cs="Times New Roman"/>
        </w:rPr>
        <w:t xml:space="preserve">592 COADREAD samples from coadread_tcga_pan_can_atlas_2018 were stratified by MSI status × TP53 mutation into four groups. MSI status was determined from MANTIS (threshold ≥ 0.4) and </w:t>
      </w:r>
      <w:proofErr w:type="spellStart"/>
      <w:r w:rsidRPr="00DE420F">
        <w:rPr>
          <w:rFonts w:ascii="Times New Roman" w:hAnsi="Times New Roman" w:cs="Times New Roman"/>
        </w:rPr>
        <w:t>MSISensor</w:t>
      </w:r>
      <w:proofErr w:type="spellEnd"/>
      <w:r w:rsidRPr="00DE420F">
        <w:rPr>
          <w:rFonts w:ascii="Times New Roman" w:hAnsi="Times New Roman" w:cs="Times New Roman"/>
        </w:rPr>
        <w:t xml:space="preserve"> (threshold &gt; 10) scores; MSI-H if either score exceeded threshold. TP53 mutation status was retrieved from the COADREAD mutation profile. Spearman correlations were computed between </w:t>
      </w:r>
      <w:proofErr w:type="spellStart"/>
      <w:r w:rsidRPr="00DE420F">
        <w:rPr>
          <w:rFonts w:ascii="Times New Roman" w:hAnsi="Times New Roman" w:cs="Times New Roman"/>
        </w:rPr>
        <w:t>tGJS</w:t>
      </w:r>
      <w:proofErr w:type="spellEnd"/>
      <w:r w:rsidRPr="00DE420F">
        <w:rPr>
          <w:rFonts w:ascii="Times New Roman" w:hAnsi="Times New Roman" w:cs="Times New Roman"/>
        </w:rPr>
        <w:t xml:space="preserve"> and 20 immune/pathway markers in each stratum, with Bonferroni correction for 20 comparisons per stratum.</w:t>
      </w:r>
    </w:p>
    <w:p w14:paraId="6D8F4E3C" w14:textId="77777777" w:rsidR="00F8115A" w:rsidRPr="00DE420F" w:rsidRDefault="00000000" w:rsidP="00504322">
      <w:pPr>
        <w:pStyle w:val="Heading2"/>
        <w:jc w:val="center"/>
        <w:rPr>
          <w:rFonts w:ascii="Times New Roman" w:hAnsi="Times New Roman" w:cs="Times New Roman"/>
        </w:rPr>
      </w:pPr>
      <w:r w:rsidRPr="00DE420F">
        <w:rPr>
          <w:rFonts w:ascii="Times New Roman" w:hAnsi="Times New Roman" w:cs="Times New Roman"/>
        </w:rPr>
        <w:t>2.4 S3: IMvigor210 Atezolizumab Cohort</w:t>
      </w:r>
    </w:p>
    <w:p w14:paraId="2DB93701" w14:textId="77777777" w:rsidR="00F8115A" w:rsidRPr="00DE420F" w:rsidRDefault="00000000">
      <w:pPr>
        <w:spacing w:after="160" w:line="300" w:lineRule="auto"/>
        <w:jc w:val="both"/>
        <w:rPr>
          <w:rFonts w:ascii="Times New Roman" w:hAnsi="Times New Roman" w:cs="Times New Roman"/>
        </w:rPr>
      </w:pPr>
      <w:r w:rsidRPr="00DE420F">
        <w:rPr>
          <w:rFonts w:ascii="Times New Roman" w:hAnsi="Times New Roman" w:cs="Times New Roman"/>
        </w:rPr>
        <w:t>The IMvigor210CoreBiologies R package (</w:t>
      </w:r>
      <w:proofErr w:type="spellStart"/>
      <w:r w:rsidRPr="00DE420F">
        <w:rPr>
          <w:rFonts w:ascii="Times New Roman" w:hAnsi="Times New Roman" w:cs="Times New Roman"/>
        </w:rPr>
        <w:t>Mariathasan</w:t>
      </w:r>
      <w:proofErr w:type="spellEnd"/>
      <w:r w:rsidRPr="00DE420F">
        <w:rPr>
          <w:rFonts w:ascii="Times New Roman" w:hAnsi="Times New Roman" w:cs="Times New Roman"/>
        </w:rPr>
        <w:t xml:space="preserve"> et al. 2018) provides pre-treatment bulk RNA-Seq from 348 urothelial carcinoma patients treated with atezolizumab, with RECIST response, overall survival, TMB, IC Level, and immune phenotype classification. Raw counts were converted to TPM. </w:t>
      </w:r>
      <w:proofErr w:type="spellStart"/>
      <w:r w:rsidRPr="00DE420F">
        <w:rPr>
          <w:rFonts w:ascii="Times New Roman" w:hAnsi="Times New Roman" w:cs="Times New Roman"/>
        </w:rPr>
        <w:t>tGJS</w:t>
      </w:r>
      <w:proofErr w:type="spellEnd"/>
      <w:r w:rsidRPr="00DE420F">
        <w:rPr>
          <w:rFonts w:ascii="Times New Roman" w:hAnsi="Times New Roman" w:cs="Times New Roman"/>
        </w:rPr>
        <w:t xml:space="preserve"> was computed using z-score normalization within the cohort. Primary tests: Wilcoxon rank-sum, logistic regression, Spearman ρ vs ordinal RECIST, Cox proportional hazards, and log-rank (</w:t>
      </w:r>
      <w:proofErr w:type="spellStart"/>
      <w:r w:rsidRPr="00DE420F">
        <w:rPr>
          <w:rFonts w:ascii="Times New Roman" w:hAnsi="Times New Roman" w:cs="Times New Roman"/>
        </w:rPr>
        <w:t>tGJS</w:t>
      </w:r>
      <w:proofErr w:type="spellEnd"/>
      <w:r w:rsidRPr="00DE420F">
        <w:rPr>
          <w:rFonts w:ascii="Times New Roman" w:hAnsi="Times New Roman" w:cs="Times New Roman"/>
        </w:rPr>
        <w:t xml:space="preserve"> high vs low).</w:t>
      </w:r>
    </w:p>
    <w:p w14:paraId="357FE7B9" w14:textId="77777777" w:rsidR="00F8115A" w:rsidRPr="00DE420F" w:rsidRDefault="00000000" w:rsidP="00504322">
      <w:pPr>
        <w:pStyle w:val="Heading2"/>
        <w:jc w:val="center"/>
        <w:rPr>
          <w:rFonts w:ascii="Times New Roman" w:hAnsi="Times New Roman" w:cs="Times New Roman"/>
        </w:rPr>
      </w:pPr>
      <w:r w:rsidRPr="00DE420F">
        <w:rPr>
          <w:rFonts w:ascii="Times New Roman" w:hAnsi="Times New Roman" w:cs="Times New Roman"/>
        </w:rPr>
        <w:t>2.5 Multi-Model Convergence Protocol</w:t>
      </w:r>
    </w:p>
    <w:p w14:paraId="440EA121" w14:textId="6985DFBF" w:rsidR="00F8115A" w:rsidRPr="00DE420F" w:rsidRDefault="00000000" w:rsidP="000F5B62">
      <w:pPr>
        <w:spacing w:after="160" w:line="300" w:lineRule="auto"/>
        <w:jc w:val="both"/>
        <w:rPr>
          <w:rFonts w:ascii="Times New Roman" w:hAnsi="Times New Roman" w:cs="Times New Roman"/>
        </w:rPr>
      </w:pPr>
      <w:r w:rsidRPr="00DE420F">
        <w:rPr>
          <w:rFonts w:ascii="Times New Roman" w:hAnsi="Times New Roman" w:cs="Times New Roman"/>
        </w:rPr>
        <w:t>The gate-jamming therapeutic hypothesis was evaluated using the IRIS (Independent Replicated Inquiry System) protocol, in which five independent large language models (Claude Opus 4.6, Gemini 2.5 Pro, Grok 4.1 Fast, Mistral Large, DeepSeek Chat) received the identical compiled question without cross-exposure. Claims were extracted and embedded using all-MiniLM-L6-v2 (384-dimensional), clustered by cosine similarity ≥ 0.70, and classified by model agreement (TYPE 0 = 4–5 models, TYPE 1 = 3/5, TYPE 2 = 2/5, TYPE 3 = 1/5). Cross-run analysis across 28 independent runs (27,931 pairwise comparisons) assessed inter-run replicati</w:t>
      </w:r>
      <w:r w:rsidR="000F5B62">
        <w:rPr>
          <w:rFonts w:ascii="Times New Roman" w:hAnsi="Times New Roman" w:cs="Times New Roman"/>
        </w:rPr>
        <w:t xml:space="preserve">on </w:t>
      </w:r>
    </w:p>
    <w:p w14:paraId="249646E7" w14:textId="4408B75C" w:rsidR="00DE420F" w:rsidRPr="00DE420F" w:rsidRDefault="00000000" w:rsidP="00CF44FC">
      <w:pPr>
        <w:pStyle w:val="Heading1"/>
        <w:jc w:val="center"/>
        <w:rPr>
          <w:rFonts w:ascii="Times New Roman" w:hAnsi="Times New Roman" w:cs="Times New Roman"/>
        </w:rPr>
      </w:pPr>
      <w:r w:rsidRPr="00DE420F">
        <w:rPr>
          <w:rFonts w:ascii="Times New Roman" w:hAnsi="Times New Roman" w:cs="Times New Roman"/>
        </w:rPr>
        <w:lastRenderedPageBreak/>
        <w:t>3. Results</w:t>
      </w:r>
    </w:p>
    <w:p w14:paraId="71079436" w14:textId="77777777" w:rsidR="00F8115A" w:rsidRPr="00DE420F" w:rsidRDefault="00000000" w:rsidP="00504322">
      <w:pPr>
        <w:pStyle w:val="Heading2"/>
        <w:jc w:val="center"/>
        <w:rPr>
          <w:rFonts w:ascii="Times New Roman" w:hAnsi="Times New Roman" w:cs="Times New Roman"/>
        </w:rPr>
      </w:pPr>
      <w:r w:rsidRPr="00DE420F">
        <w:rPr>
          <w:rFonts w:ascii="Times New Roman" w:hAnsi="Times New Roman" w:cs="Times New Roman"/>
        </w:rPr>
        <w:t xml:space="preserve">3.1 S1: Pan-Cancer </w:t>
      </w:r>
      <w:proofErr w:type="spellStart"/>
      <w:r w:rsidRPr="00DE420F">
        <w:rPr>
          <w:rFonts w:ascii="Times New Roman" w:hAnsi="Times New Roman" w:cs="Times New Roman"/>
        </w:rPr>
        <w:t>tGJS</w:t>
      </w:r>
      <w:proofErr w:type="spellEnd"/>
      <w:r w:rsidRPr="00DE420F">
        <w:rPr>
          <w:rFonts w:ascii="Times New Roman" w:hAnsi="Times New Roman" w:cs="Times New Roman"/>
        </w:rPr>
        <w:t xml:space="preserve"> Does Not Predict ICI Response (n = 10,071)</w:t>
      </w:r>
    </w:p>
    <w:p w14:paraId="4ACDC079" w14:textId="77777777" w:rsidR="00F8115A" w:rsidRDefault="00000000">
      <w:pPr>
        <w:spacing w:after="160" w:line="300" w:lineRule="auto"/>
        <w:jc w:val="both"/>
        <w:rPr>
          <w:rFonts w:ascii="Times New Roman" w:hAnsi="Times New Roman" w:cs="Times New Roman"/>
        </w:rPr>
      </w:pPr>
      <w:r w:rsidRPr="00DE420F">
        <w:rPr>
          <w:rFonts w:ascii="Times New Roman" w:hAnsi="Times New Roman" w:cs="Times New Roman"/>
        </w:rPr>
        <w:t xml:space="preserve">Across 33 TCGA cancer types, </w:t>
      </w:r>
      <w:proofErr w:type="spellStart"/>
      <w:r w:rsidRPr="00DE420F">
        <w:rPr>
          <w:rFonts w:ascii="Times New Roman" w:hAnsi="Times New Roman" w:cs="Times New Roman"/>
        </w:rPr>
        <w:t>tGJS</w:t>
      </w:r>
      <w:proofErr w:type="spellEnd"/>
      <w:r w:rsidRPr="00DE420F">
        <w:rPr>
          <w:rFonts w:ascii="Times New Roman" w:hAnsi="Times New Roman" w:cs="Times New Roman"/>
        </w:rPr>
        <w:t xml:space="preserve"> was not inversely correlated with published ICI response rates (Spearman ρ = +0.382, p = 0.144). The positive trend reflects that metabolically aggressive tumors — which have higher </w:t>
      </w:r>
      <w:proofErr w:type="spellStart"/>
      <w:r w:rsidRPr="00DE420F">
        <w:rPr>
          <w:rFonts w:ascii="Times New Roman" w:hAnsi="Times New Roman" w:cs="Times New Roman"/>
        </w:rPr>
        <w:t>tGJS</w:t>
      </w:r>
      <w:proofErr w:type="spellEnd"/>
      <w:r w:rsidRPr="00DE420F">
        <w:rPr>
          <w:rFonts w:ascii="Times New Roman" w:hAnsi="Times New Roman" w:cs="Times New Roman"/>
        </w:rPr>
        <w:t xml:space="preserve"> — tend to be the same tumors with higher mutational burden and baseline immune activation, creating a confound that overwhelms any gate-jamming signal at the cross-cancer level. ENPP1 expression showed the strongest pan-cancer inverse correlation with </w:t>
      </w:r>
      <w:proofErr w:type="spellStart"/>
      <w:r w:rsidRPr="00DE420F">
        <w:rPr>
          <w:rFonts w:ascii="Times New Roman" w:hAnsi="Times New Roman" w:cs="Times New Roman"/>
        </w:rPr>
        <w:t>tGJS</w:t>
      </w:r>
      <w:proofErr w:type="spellEnd"/>
      <w:r w:rsidRPr="00DE420F">
        <w:rPr>
          <w:rFonts w:ascii="Times New Roman" w:hAnsi="Times New Roman" w:cs="Times New Roman"/>
        </w:rPr>
        <w:t xml:space="preserve"> (ρ = −0.181, p = 4.3 × 10⁻⁷⁵), initially interpreted as evidence of orthogonal evasion strategies. The pan-cancer null is consistent with the hypothesis that a cancer-type-homogeneous, </w:t>
      </w:r>
      <w:proofErr w:type="spellStart"/>
      <w:r w:rsidRPr="00DE420F">
        <w:rPr>
          <w:rFonts w:ascii="Times New Roman" w:hAnsi="Times New Roman" w:cs="Times New Roman"/>
        </w:rPr>
        <w:t>immunogenomically</w:t>
      </w:r>
      <w:proofErr w:type="spellEnd"/>
      <w:r w:rsidRPr="00DE420F">
        <w:rPr>
          <w:rFonts w:ascii="Times New Roman" w:hAnsi="Times New Roman" w:cs="Times New Roman"/>
        </w:rPr>
        <w:t xml:space="preserve"> stratified analysis is required to observe the gate-jamming signal. Full results are in Supplementary Analysis S1.</w:t>
      </w:r>
    </w:p>
    <w:p w14:paraId="6762BC84" w14:textId="77777777" w:rsidR="00DE420F" w:rsidRPr="00DE420F" w:rsidRDefault="00DE420F">
      <w:pPr>
        <w:spacing w:after="160" w:line="300" w:lineRule="auto"/>
        <w:jc w:val="both"/>
        <w:rPr>
          <w:rFonts w:ascii="Times New Roman" w:hAnsi="Times New Roman" w:cs="Times New Roman"/>
        </w:rPr>
      </w:pPr>
    </w:p>
    <w:p w14:paraId="525DB68D" w14:textId="77777777" w:rsidR="00F8115A" w:rsidRPr="00DE420F" w:rsidRDefault="00000000" w:rsidP="00504322">
      <w:pPr>
        <w:pStyle w:val="Heading2"/>
        <w:jc w:val="center"/>
        <w:rPr>
          <w:rFonts w:ascii="Times New Roman" w:hAnsi="Times New Roman" w:cs="Times New Roman"/>
        </w:rPr>
      </w:pPr>
      <w:r w:rsidRPr="00DE420F">
        <w:rPr>
          <w:rFonts w:ascii="Times New Roman" w:hAnsi="Times New Roman" w:cs="Times New Roman"/>
        </w:rPr>
        <w:t>3.2 S2: MSS/TP53-wt Clean Room Recovers Five Bonferroni-Significant Signals (n = 209)</w:t>
      </w:r>
    </w:p>
    <w:p w14:paraId="70311BD5" w14:textId="77777777" w:rsidR="00F8115A" w:rsidRPr="00DE420F" w:rsidRDefault="00000000">
      <w:pPr>
        <w:spacing w:after="160" w:line="300" w:lineRule="auto"/>
        <w:jc w:val="both"/>
        <w:rPr>
          <w:rFonts w:ascii="Times New Roman" w:hAnsi="Times New Roman" w:cs="Times New Roman"/>
        </w:rPr>
      </w:pPr>
      <w:r w:rsidRPr="00DE420F">
        <w:rPr>
          <w:rFonts w:ascii="Times New Roman" w:hAnsi="Times New Roman" w:cs="Times New Roman"/>
        </w:rPr>
        <w:t>Restricting analysis to the MSS/TP53-wildtype COADREAD stratum recovered five markers reaching Bonferroni significance (Table 1), all in directions predicted by the gate-jamming hypothesis.</w:t>
      </w:r>
    </w:p>
    <w:p w14:paraId="2705A7B3" w14:textId="77777777" w:rsidR="00F8115A" w:rsidRPr="00DE420F" w:rsidRDefault="00000000">
      <w:pPr>
        <w:spacing w:before="280" w:after="120"/>
        <w:rPr>
          <w:rFonts w:ascii="Times New Roman" w:hAnsi="Times New Roman" w:cs="Times New Roman"/>
        </w:rPr>
      </w:pPr>
      <w:r w:rsidRPr="00DE420F">
        <w:rPr>
          <w:rFonts w:ascii="Times New Roman" w:eastAsia="Calibri" w:hAnsi="Times New Roman" w:cs="Times New Roman"/>
          <w:b/>
          <w:bCs/>
          <w:color w:val="2C3E6B"/>
          <w:sz w:val="20"/>
          <w:szCs w:val="20"/>
        </w:rPr>
        <w:t>Table 1.</w:t>
      </w:r>
      <w:r w:rsidRPr="00DE420F">
        <w:rPr>
          <w:rFonts w:ascii="Times New Roman" w:eastAsia="Calibri" w:hAnsi="Times New Roman" w:cs="Times New Roman"/>
          <w:i/>
          <w:iCs/>
          <w:color w:val="455A64"/>
          <w:sz w:val="20"/>
          <w:szCs w:val="20"/>
        </w:rPr>
        <w:t xml:space="preserve"> Bonferroni-significant correlations in the MSS/TP53-wt clean room (n = 209).</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00"/>
        <w:gridCol w:w="1200"/>
        <w:gridCol w:w="1200"/>
        <w:gridCol w:w="1200"/>
        <w:gridCol w:w="4460"/>
      </w:tblGrid>
      <w:tr w:rsidR="00F8115A" w:rsidRPr="00DE420F" w14:paraId="6E5D6CC7" w14:textId="77777777">
        <w:tblPrEx>
          <w:tblCellMar>
            <w:top w:w="0" w:type="dxa"/>
            <w:bottom w:w="0" w:type="dxa"/>
          </w:tblCellMar>
        </w:tblPrEx>
        <w:trPr>
          <w:cantSplit/>
          <w:tblHeader/>
        </w:trPr>
        <w:tc>
          <w:tcPr>
            <w:tcW w:w="1300" w:type="dxa"/>
            <w:tcBorders>
              <w:top w:val="single" w:sz="1" w:space="0" w:color="B0BEC5"/>
              <w:left w:val="single" w:sz="1" w:space="0" w:color="B0BEC5"/>
              <w:bottom w:val="single" w:sz="1" w:space="0" w:color="B0BEC5"/>
              <w:right w:val="single" w:sz="1" w:space="0" w:color="B0BEC5"/>
            </w:tcBorders>
            <w:shd w:val="clear" w:color="auto" w:fill="E8ECF4"/>
            <w:tcMar>
              <w:top w:w="60" w:type="dxa"/>
              <w:left w:w="100" w:type="dxa"/>
              <w:bottom w:w="60" w:type="dxa"/>
              <w:right w:w="100" w:type="dxa"/>
            </w:tcMar>
            <w:vAlign w:val="center"/>
          </w:tcPr>
          <w:p w14:paraId="1EFF5878" w14:textId="77777777" w:rsidR="00F8115A" w:rsidRPr="00DE420F" w:rsidRDefault="00000000">
            <w:pPr>
              <w:spacing w:after="40" w:line="260" w:lineRule="auto"/>
              <w:rPr>
                <w:rFonts w:ascii="Times New Roman" w:hAnsi="Times New Roman" w:cs="Times New Roman"/>
              </w:rPr>
            </w:pPr>
            <w:r w:rsidRPr="00DE420F">
              <w:rPr>
                <w:rFonts w:ascii="Times New Roman" w:eastAsia="Calibri" w:hAnsi="Times New Roman" w:cs="Times New Roman"/>
                <w:b/>
                <w:bCs/>
                <w:color w:val="2C3E6B"/>
                <w:sz w:val="19"/>
                <w:szCs w:val="19"/>
              </w:rPr>
              <w:t>Marker</w:t>
            </w:r>
          </w:p>
        </w:tc>
        <w:tc>
          <w:tcPr>
            <w:tcW w:w="1200" w:type="dxa"/>
            <w:tcBorders>
              <w:top w:val="single" w:sz="1" w:space="0" w:color="B0BEC5"/>
              <w:left w:val="single" w:sz="1" w:space="0" w:color="B0BEC5"/>
              <w:bottom w:val="single" w:sz="1" w:space="0" w:color="B0BEC5"/>
              <w:right w:val="single" w:sz="1" w:space="0" w:color="B0BEC5"/>
            </w:tcBorders>
            <w:shd w:val="clear" w:color="auto" w:fill="E8ECF4"/>
            <w:tcMar>
              <w:top w:w="60" w:type="dxa"/>
              <w:left w:w="100" w:type="dxa"/>
              <w:bottom w:w="60" w:type="dxa"/>
              <w:right w:w="100" w:type="dxa"/>
            </w:tcMar>
            <w:vAlign w:val="center"/>
          </w:tcPr>
          <w:p w14:paraId="44F1B049" w14:textId="77777777" w:rsidR="00F8115A" w:rsidRPr="00DE420F" w:rsidRDefault="00000000">
            <w:pPr>
              <w:spacing w:after="40" w:line="260" w:lineRule="auto"/>
              <w:rPr>
                <w:rFonts w:ascii="Times New Roman" w:hAnsi="Times New Roman" w:cs="Times New Roman"/>
              </w:rPr>
            </w:pPr>
            <w:r w:rsidRPr="00DE420F">
              <w:rPr>
                <w:rFonts w:ascii="Times New Roman" w:eastAsia="Calibri" w:hAnsi="Times New Roman" w:cs="Times New Roman"/>
                <w:b/>
                <w:bCs/>
                <w:color w:val="2C3E6B"/>
                <w:sz w:val="19"/>
                <w:szCs w:val="19"/>
              </w:rPr>
              <w:t>Spearman ρ</w:t>
            </w:r>
          </w:p>
        </w:tc>
        <w:tc>
          <w:tcPr>
            <w:tcW w:w="1200" w:type="dxa"/>
            <w:tcBorders>
              <w:top w:val="single" w:sz="1" w:space="0" w:color="B0BEC5"/>
              <w:left w:val="single" w:sz="1" w:space="0" w:color="B0BEC5"/>
              <w:bottom w:val="single" w:sz="1" w:space="0" w:color="B0BEC5"/>
              <w:right w:val="single" w:sz="1" w:space="0" w:color="B0BEC5"/>
            </w:tcBorders>
            <w:shd w:val="clear" w:color="auto" w:fill="E8ECF4"/>
            <w:tcMar>
              <w:top w:w="60" w:type="dxa"/>
              <w:left w:w="100" w:type="dxa"/>
              <w:bottom w:w="60" w:type="dxa"/>
              <w:right w:w="100" w:type="dxa"/>
            </w:tcMar>
            <w:vAlign w:val="center"/>
          </w:tcPr>
          <w:p w14:paraId="0704BF4F" w14:textId="77777777" w:rsidR="00F8115A" w:rsidRPr="00DE420F" w:rsidRDefault="00000000">
            <w:pPr>
              <w:spacing w:after="40" w:line="260" w:lineRule="auto"/>
              <w:rPr>
                <w:rFonts w:ascii="Times New Roman" w:hAnsi="Times New Roman" w:cs="Times New Roman"/>
              </w:rPr>
            </w:pPr>
            <w:proofErr w:type="spellStart"/>
            <w:r w:rsidRPr="00DE420F">
              <w:rPr>
                <w:rFonts w:ascii="Times New Roman" w:eastAsia="Calibri" w:hAnsi="Times New Roman" w:cs="Times New Roman"/>
                <w:b/>
                <w:bCs/>
                <w:color w:val="2C3E6B"/>
                <w:sz w:val="19"/>
                <w:szCs w:val="19"/>
              </w:rPr>
              <w:t>p_bonf</w:t>
            </w:r>
            <w:proofErr w:type="spellEnd"/>
          </w:p>
        </w:tc>
        <w:tc>
          <w:tcPr>
            <w:tcW w:w="1200" w:type="dxa"/>
            <w:tcBorders>
              <w:top w:val="single" w:sz="1" w:space="0" w:color="B0BEC5"/>
              <w:left w:val="single" w:sz="1" w:space="0" w:color="B0BEC5"/>
              <w:bottom w:val="single" w:sz="1" w:space="0" w:color="B0BEC5"/>
              <w:right w:val="single" w:sz="1" w:space="0" w:color="B0BEC5"/>
            </w:tcBorders>
            <w:shd w:val="clear" w:color="auto" w:fill="E8ECF4"/>
            <w:tcMar>
              <w:top w:w="60" w:type="dxa"/>
              <w:left w:w="100" w:type="dxa"/>
              <w:bottom w:w="60" w:type="dxa"/>
              <w:right w:w="100" w:type="dxa"/>
            </w:tcMar>
            <w:vAlign w:val="center"/>
          </w:tcPr>
          <w:p w14:paraId="5C2BE48F" w14:textId="77777777" w:rsidR="00F8115A" w:rsidRPr="00DE420F" w:rsidRDefault="00000000">
            <w:pPr>
              <w:spacing w:after="40" w:line="260" w:lineRule="auto"/>
              <w:rPr>
                <w:rFonts w:ascii="Times New Roman" w:hAnsi="Times New Roman" w:cs="Times New Roman"/>
              </w:rPr>
            </w:pPr>
            <w:r w:rsidRPr="00DE420F">
              <w:rPr>
                <w:rFonts w:ascii="Times New Roman" w:eastAsia="Calibri" w:hAnsi="Times New Roman" w:cs="Times New Roman"/>
                <w:b/>
                <w:bCs/>
                <w:color w:val="2C3E6B"/>
                <w:sz w:val="19"/>
                <w:szCs w:val="19"/>
              </w:rPr>
              <w:t>Direction</w:t>
            </w:r>
          </w:p>
        </w:tc>
        <w:tc>
          <w:tcPr>
            <w:tcW w:w="4460" w:type="dxa"/>
            <w:tcBorders>
              <w:top w:val="single" w:sz="1" w:space="0" w:color="B0BEC5"/>
              <w:left w:val="single" w:sz="1" w:space="0" w:color="B0BEC5"/>
              <w:bottom w:val="single" w:sz="1" w:space="0" w:color="B0BEC5"/>
              <w:right w:val="single" w:sz="1" w:space="0" w:color="B0BEC5"/>
            </w:tcBorders>
            <w:shd w:val="clear" w:color="auto" w:fill="E8ECF4"/>
            <w:tcMar>
              <w:top w:w="60" w:type="dxa"/>
              <w:left w:w="100" w:type="dxa"/>
              <w:bottom w:w="60" w:type="dxa"/>
              <w:right w:w="100" w:type="dxa"/>
            </w:tcMar>
            <w:vAlign w:val="center"/>
          </w:tcPr>
          <w:p w14:paraId="1AEC17E5" w14:textId="77777777" w:rsidR="00F8115A" w:rsidRPr="00DE420F" w:rsidRDefault="00000000">
            <w:pPr>
              <w:spacing w:after="40" w:line="260" w:lineRule="auto"/>
              <w:rPr>
                <w:rFonts w:ascii="Times New Roman" w:hAnsi="Times New Roman" w:cs="Times New Roman"/>
              </w:rPr>
            </w:pPr>
            <w:r w:rsidRPr="00DE420F">
              <w:rPr>
                <w:rFonts w:ascii="Times New Roman" w:eastAsia="Calibri" w:hAnsi="Times New Roman" w:cs="Times New Roman"/>
                <w:b/>
                <w:bCs/>
                <w:color w:val="2C3E6B"/>
                <w:sz w:val="19"/>
                <w:szCs w:val="19"/>
              </w:rPr>
              <w:t>Interpretation</w:t>
            </w:r>
          </w:p>
        </w:tc>
      </w:tr>
      <w:tr w:rsidR="00F8115A" w:rsidRPr="00DE420F" w14:paraId="72538257" w14:textId="77777777">
        <w:tblPrEx>
          <w:tblCellMar>
            <w:top w:w="0" w:type="dxa"/>
            <w:bottom w:w="0" w:type="dxa"/>
          </w:tblCellMar>
        </w:tblPrEx>
        <w:trPr>
          <w:cantSplit/>
        </w:trPr>
        <w:tc>
          <w:tcPr>
            <w:tcW w:w="1300" w:type="dxa"/>
            <w:tcBorders>
              <w:top w:val="single" w:sz="1" w:space="0" w:color="B0BEC5"/>
              <w:left w:val="single" w:sz="1" w:space="0" w:color="B0BEC5"/>
              <w:bottom w:val="single" w:sz="1" w:space="0" w:color="B0BEC5"/>
              <w:right w:val="single" w:sz="1" w:space="0" w:color="B0BEC5"/>
            </w:tcBorders>
            <w:tcMar>
              <w:top w:w="60" w:type="dxa"/>
              <w:left w:w="100" w:type="dxa"/>
              <w:bottom w:w="60" w:type="dxa"/>
              <w:right w:w="100" w:type="dxa"/>
            </w:tcMar>
            <w:vAlign w:val="center"/>
          </w:tcPr>
          <w:p w14:paraId="1122FE2A" w14:textId="77777777" w:rsidR="00F8115A" w:rsidRPr="00DE420F" w:rsidRDefault="00000000">
            <w:pPr>
              <w:spacing w:after="40" w:line="260" w:lineRule="auto"/>
              <w:rPr>
                <w:rFonts w:ascii="Times New Roman" w:hAnsi="Times New Roman" w:cs="Times New Roman"/>
              </w:rPr>
            </w:pPr>
            <w:r w:rsidRPr="00DE420F">
              <w:rPr>
                <w:rFonts w:ascii="Times New Roman" w:eastAsia="Calibri" w:hAnsi="Times New Roman" w:cs="Times New Roman"/>
                <w:b/>
                <w:bCs/>
                <w:sz w:val="19"/>
                <w:szCs w:val="19"/>
              </w:rPr>
              <w:t>HAVCR2</w:t>
            </w:r>
            <w:r w:rsidRPr="00DE420F">
              <w:rPr>
                <w:rFonts w:ascii="Times New Roman" w:eastAsia="Calibri" w:hAnsi="Times New Roman" w:cs="Times New Roman"/>
                <w:sz w:val="17"/>
                <w:szCs w:val="17"/>
              </w:rPr>
              <w:t xml:space="preserve"> (TIM-3)</w:t>
            </w:r>
          </w:p>
        </w:tc>
        <w:tc>
          <w:tcPr>
            <w:tcW w:w="1200" w:type="dxa"/>
            <w:tcBorders>
              <w:top w:val="single" w:sz="1" w:space="0" w:color="B0BEC5"/>
              <w:left w:val="single" w:sz="1" w:space="0" w:color="B0BEC5"/>
              <w:bottom w:val="single" w:sz="1" w:space="0" w:color="B0BEC5"/>
              <w:right w:val="single" w:sz="1" w:space="0" w:color="B0BEC5"/>
            </w:tcBorders>
            <w:tcMar>
              <w:top w:w="60" w:type="dxa"/>
              <w:left w:w="100" w:type="dxa"/>
              <w:bottom w:w="60" w:type="dxa"/>
              <w:right w:w="100" w:type="dxa"/>
            </w:tcMar>
            <w:vAlign w:val="center"/>
          </w:tcPr>
          <w:p w14:paraId="067D4C15" w14:textId="77777777" w:rsidR="00F8115A" w:rsidRPr="00DE420F" w:rsidRDefault="00000000">
            <w:pPr>
              <w:spacing w:after="40" w:line="260" w:lineRule="auto"/>
              <w:jc w:val="center"/>
              <w:rPr>
                <w:rFonts w:ascii="Times New Roman" w:hAnsi="Times New Roman" w:cs="Times New Roman"/>
              </w:rPr>
            </w:pPr>
            <w:r w:rsidRPr="00DE420F">
              <w:rPr>
                <w:rFonts w:ascii="Times New Roman" w:eastAsia="Calibri" w:hAnsi="Times New Roman" w:cs="Times New Roman"/>
                <w:sz w:val="19"/>
                <w:szCs w:val="19"/>
              </w:rPr>
              <w:t>−0.349</w:t>
            </w:r>
          </w:p>
        </w:tc>
        <w:tc>
          <w:tcPr>
            <w:tcW w:w="1200" w:type="dxa"/>
            <w:tcBorders>
              <w:top w:val="single" w:sz="1" w:space="0" w:color="B0BEC5"/>
              <w:left w:val="single" w:sz="1" w:space="0" w:color="B0BEC5"/>
              <w:bottom w:val="single" w:sz="1" w:space="0" w:color="B0BEC5"/>
              <w:right w:val="single" w:sz="1" w:space="0" w:color="B0BEC5"/>
            </w:tcBorders>
            <w:tcMar>
              <w:top w:w="60" w:type="dxa"/>
              <w:left w:w="100" w:type="dxa"/>
              <w:bottom w:w="60" w:type="dxa"/>
              <w:right w:w="100" w:type="dxa"/>
            </w:tcMar>
            <w:vAlign w:val="center"/>
          </w:tcPr>
          <w:p w14:paraId="0FDC654C" w14:textId="77777777" w:rsidR="00F8115A" w:rsidRPr="00DE420F" w:rsidRDefault="00000000">
            <w:pPr>
              <w:spacing w:after="40" w:line="260" w:lineRule="auto"/>
              <w:jc w:val="center"/>
              <w:rPr>
                <w:rFonts w:ascii="Times New Roman" w:hAnsi="Times New Roman" w:cs="Times New Roman"/>
              </w:rPr>
            </w:pPr>
            <w:r w:rsidRPr="00DE420F">
              <w:rPr>
                <w:rFonts w:ascii="Times New Roman" w:eastAsia="Calibri" w:hAnsi="Times New Roman" w:cs="Times New Roman"/>
                <w:sz w:val="19"/>
                <w:szCs w:val="19"/>
              </w:rPr>
              <w:t>5 × 10⁻⁶</w:t>
            </w:r>
          </w:p>
        </w:tc>
        <w:tc>
          <w:tcPr>
            <w:tcW w:w="1200" w:type="dxa"/>
            <w:tcBorders>
              <w:top w:val="single" w:sz="1" w:space="0" w:color="B0BEC5"/>
              <w:left w:val="single" w:sz="1" w:space="0" w:color="B0BEC5"/>
              <w:bottom w:val="single" w:sz="1" w:space="0" w:color="B0BEC5"/>
              <w:right w:val="single" w:sz="1" w:space="0" w:color="B0BEC5"/>
            </w:tcBorders>
            <w:tcMar>
              <w:top w:w="60" w:type="dxa"/>
              <w:left w:w="100" w:type="dxa"/>
              <w:bottom w:w="60" w:type="dxa"/>
              <w:right w:w="100" w:type="dxa"/>
            </w:tcMar>
            <w:vAlign w:val="center"/>
          </w:tcPr>
          <w:p w14:paraId="1526D9C5" w14:textId="77777777" w:rsidR="00F8115A" w:rsidRPr="00DE420F" w:rsidRDefault="00000000">
            <w:pPr>
              <w:spacing w:after="40" w:line="260" w:lineRule="auto"/>
              <w:jc w:val="center"/>
              <w:rPr>
                <w:rFonts w:ascii="Times New Roman" w:hAnsi="Times New Roman" w:cs="Times New Roman"/>
              </w:rPr>
            </w:pPr>
            <w:r w:rsidRPr="00DE420F">
              <w:rPr>
                <w:rFonts w:ascii="Times New Roman" w:eastAsia="Calibri" w:hAnsi="Times New Roman" w:cs="Times New Roman"/>
                <w:sz w:val="19"/>
                <w:szCs w:val="19"/>
              </w:rPr>
              <w:t>Down</w:t>
            </w:r>
          </w:p>
        </w:tc>
        <w:tc>
          <w:tcPr>
            <w:tcW w:w="4460" w:type="dxa"/>
            <w:tcBorders>
              <w:top w:val="single" w:sz="1" w:space="0" w:color="B0BEC5"/>
              <w:left w:val="single" w:sz="1" w:space="0" w:color="B0BEC5"/>
              <w:bottom w:val="single" w:sz="1" w:space="0" w:color="B0BEC5"/>
              <w:right w:val="single" w:sz="1" w:space="0" w:color="B0BEC5"/>
            </w:tcBorders>
            <w:tcMar>
              <w:top w:w="60" w:type="dxa"/>
              <w:left w:w="100" w:type="dxa"/>
              <w:bottom w:w="60" w:type="dxa"/>
              <w:right w:w="100" w:type="dxa"/>
            </w:tcMar>
            <w:vAlign w:val="center"/>
          </w:tcPr>
          <w:p w14:paraId="0E7D2725" w14:textId="77777777" w:rsidR="00F8115A" w:rsidRPr="00DE420F" w:rsidRDefault="00000000">
            <w:pPr>
              <w:spacing w:after="40" w:line="260" w:lineRule="auto"/>
              <w:rPr>
                <w:rFonts w:ascii="Times New Roman" w:hAnsi="Times New Roman" w:cs="Times New Roman"/>
              </w:rPr>
            </w:pPr>
            <w:r w:rsidRPr="00DE420F">
              <w:rPr>
                <w:rFonts w:ascii="Times New Roman" w:eastAsia="Calibri" w:hAnsi="Times New Roman" w:cs="Times New Roman"/>
                <w:sz w:val="19"/>
                <w:szCs w:val="19"/>
              </w:rPr>
              <w:t>Fewer T cells infiltrate to become exhausted</w:t>
            </w:r>
          </w:p>
        </w:tc>
      </w:tr>
      <w:tr w:rsidR="00F8115A" w:rsidRPr="00DE420F" w14:paraId="238B028D" w14:textId="77777777">
        <w:tblPrEx>
          <w:tblCellMar>
            <w:top w:w="0" w:type="dxa"/>
            <w:bottom w:w="0" w:type="dxa"/>
          </w:tblCellMar>
        </w:tblPrEx>
        <w:trPr>
          <w:cantSplit/>
        </w:trPr>
        <w:tc>
          <w:tcPr>
            <w:tcW w:w="1300" w:type="dxa"/>
            <w:tcBorders>
              <w:top w:val="single" w:sz="1" w:space="0" w:color="B0BEC5"/>
              <w:left w:val="single" w:sz="1" w:space="0" w:color="B0BEC5"/>
              <w:bottom w:val="single" w:sz="1" w:space="0" w:color="B0BEC5"/>
              <w:right w:val="single" w:sz="1" w:space="0" w:color="B0BEC5"/>
            </w:tcBorders>
            <w:shd w:val="clear" w:color="auto" w:fill="F5F7FA"/>
            <w:tcMar>
              <w:top w:w="60" w:type="dxa"/>
              <w:left w:w="100" w:type="dxa"/>
              <w:bottom w:w="60" w:type="dxa"/>
              <w:right w:w="100" w:type="dxa"/>
            </w:tcMar>
            <w:vAlign w:val="center"/>
          </w:tcPr>
          <w:p w14:paraId="08BC43E3" w14:textId="77777777" w:rsidR="00F8115A" w:rsidRPr="00DE420F" w:rsidRDefault="00000000">
            <w:pPr>
              <w:spacing w:after="40" w:line="260" w:lineRule="auto"/>
              <w:rPr>
                <w:rFonts w:ascii="Times New Roman" w:hAnsi="Times New Roman" w:cs="Times New Roman"/>
              </w:rPr>
            </w:pPr>
            <w:r w:rsidRPr="00DE420F">
              <w:rPr>
                <w:rFonts w:ascii="Times New Roman" w:eastAsia="Calibri" w:hAnsi="Times New Roman" w:cs="Times New Roman"/>
                <w:b/>
                <w:bCs/>
                <w:sz w:val="19"/>
                <w:szCs w:val="19"/>
              </w:rPr>
              <w:t>TREX1</w:t>
            </w:r>
          </w:p>
        </w:tc>
        <w:tc>
          <w:tcPr>
            <w:tcW w:w="1200" w:type="dxa"/>
            <w:tcBorders>
              <w:top w:val="single" w:sz="1" w:space="0" w:color="B0BEC5"/>
              <w:left w:val="single" w:sz="1" w:space="0" w:color="B0BEC5"/>
              <w:bottom w:val="single" w:sz="1" w:space="0" w:color="B0BEC5"/>
              <w:right w:val="single" w:sz="1" w:space="0" w:color="B0BEC5"/>
            </w:tcBorders>
            <w:shd w:val="clear" w:color="auto" w:fill="F5F7FA"/>
            <w:tcMar>
              <w:top w:w="60" w:type="dxa"/>
              <w:left w:w="100" w:type="dxa"/>
              <w:bottom w:w="60" w:type="dxa"/>
              <w:right w:w="100" w:type="dxa"/>
            </w:tcMar>
            <w:vAlign w:val="center"/>
          </w:tcPr>
          <w:p w14:paraId="39850DBE" w14:textId="77777777" w:rsidR="00F8115A" w:rsidRPr="00DE420F" w:rsidRDefault="00000000">
            <w:pPr>
              <w:spacing w:after="40" w:line="260" w:lineRule="auto"/>
              <w:jc w:val="center"/>
              <w:rPr>
                <w:rFonts w:ascii="Times New Roman" w:hAnsi="Times New Roman" w:cs="Times New Roman"/>
              </w:rPr>
            </w:pPr>
            <w:r w:rsidRPr="00DE420F">
              <w:rPr>
                <w:rFonts w:ascii="Times New Roman" w:eastAsia="Calibri" w:hAnsi="Times New Roman" w:cs="Times New Roman"/>
                <w:sz w:val="19"/>
                <w:szCs w:val="19"/>
              </w:rPr>
              <w:t>+0.315</w:t>
            </w:r>
          </w:p>
        </w:tc>
        <w:tc>
          <w:tcPr>
            <w:tcW w:w="1200" w:type="dxa"/>
            <w:tcBorders>
              <w:top w:val="single" w:sz="1" w:space="0" w:color="B0BEC5"/>
              <w:left w:val="single" w:sz="1" w:space="0" w:color="B0BEC5"/>
              <w:bottom w:val="single" w:sz="1" w:space="0" w:color="B0BEC5"/>
              <w:right w:val="single" w:sz="1" w:space="0" w:color="B0BEC5"/>
            </w:tcBorders>
            <w:shd w:val="clear" w:color="auto" w:fill="F5F7FA"/>
            <w:tcMar>
              <w:top w:w="60" w:type="dxa"/>
              <w:left w:w="100" w:type="dxa"/>
              <w:bottom w:w="60" w:type="dxa"/>
              <w:right w:w="100" w:type="dxa"/>
            </w:tcMar>
            <w:vAlign w:val="center"/>
          </w:tcPr>
          <w:p w14:paraId="406D074B" w14:textId="77777777" w:rsidR="00F8115A" w:rsidRPr="00DE420F" w:rsidRDefault="00000000">
            <w:pPr>
              <w:spacing w:after="40" w:line="260" w:lineRule="auto"/>
              <w:jc w:val="center"/>
              <w:rPr>
                <w:rFonts w:ascii="Times New Roman" w:hAnsi="Times New Roman" w:cs="Times New Roman"/>
              </w:rPr>
            </w:pPr>
            <w:r w:rsidRPr="00DE420F">
              <w:rPr>
                <w:rFonts w:ascii="Times New Roman" w:eastAsia="Calibri" w:hAnsi="Times New Roman" w:cs="Times New Roman"/>
                <w:sz w:val="19"/>
                <w:szCs w:val="19"/>
              </w:rPr>
              <w:t>7 × 10⁻⁵</w:t>
            </w:r>
          </w:p>
        </w:tc>
        <w:tc>
          <w:tcPr>
            <w:tcW w:w="1200" w:type="dxa"/>
            <w:tcBorders>
              <w:top w:val="single" w:sz="1" w:space="0" w:color="B0BEC5"/>
              <w:left w:val="single" w:sz="1" w:space="0" w:color="B0BEC5"/>
              <w:bottom w:val="single" w:sz="1" w:space="0" w:color="B0BEC5"/>
              <w:right w:val="single" w:sz="1" w:space="0" w:color="B0BEC5"/>
            </w:tcBorders>
            <w:shd w:val="clear" w:color="auto" w:fill="F5F7FA"/>
            <w:tcMar>
              <w:top w:w="60" w:type="dxa"/>
              <w:left w:w="100" w:type="dxa"/>
              <w:bottom w:w="60" w:type="dxa"/>
              <w:right w:w="100" w:type="dxa"/>
            </w:tcMar>
            <w:vAlign w:val="center"/>
          </w:tcPr>
          <w:p w14:paraId="31BD96D9" w14:textId="77777777" w:rsidR="00F8115A" w:rsidRPr="00DE420F" w:rsidRDefault="00000000">
            <w:pPr>
              <w:spacing w:after="40" w:line="260" w:lineRule="auto"/>
              <w:jc w:val="center"/>
              <w:rPr>
                <w:rFonts w:ascii="Times New Roman" w:hAnsi="Times New Roman" w:cs="Times New Roman"/>
              </w:rPr>
            </w:pPr>
            <w:r w:rsidRPr="00DE420F">
              <w:rPr>
                <w:rFonts w:ascii="Times New Roman" w:eastAsia="Calibri" w:hAnsi="Times New Roman" w:cs="Times New Roman"/>
                <w:sz w:val="19"/>
                <w:szCs w:val="19"/>
              </w:rPr>
              <w:t>Up</w:t>
            </w:r>
          </w:p>
        </w:tc>
        <w:tc>
          <w:tcPr>
            <w:tcW w:w="4460" w:type="dxa"/>
            <w:tcBorders>
              <w:top w:val="single" w:sz="1" w:space="0" w:color="B0BEC5"/>
              <w:left w:val="single" w:sz="1" w:space="0" w:color="B0BEC5"/>
              <w:bottom w:val="single" w:sz="1" w:space="0" w:color="B0BEC5"/>
              <w:right w:val="single" w:sz="1" w:space="0" w:color="B0BEC5"/>
            </w:tcBorders>
            <w:shd w:val="clear" w:color="auto" w:fill="F5F7FA"/>
            <w:tcMar>
              <w:top w:w="60" w:type="dxa"/>
              <w:left w:w="100" w:type="dxa"/>
              <w:bottom w:w="60" w:type="dxa"/>
              <w:right w:w="100" w:type="dxa"/>
            </w:tcMar>
            <w:vAlign w:val="center"/>
          </w:tcPr>
          <w:p w14:paraId="5150CB10" w14:textId="77777777" w:rsidR="00F8115A" w:rsidRPr="00DE420F" w:rsidRDefault="00000000">
            <w:pPr>
              <w:spacing w:after="40" w:line="260" w:lineRule="auto"/>
              <w:rPr>
                <w:rFonts w:ascii="Times New Roman" w:hAnsi="Times New Roman" w:cs="Times New Roman"/>
              </w:rPr>
            </w:pPr>
            <w:r w:rsidRPr="00DE420F">
              <w:rPr>
                <w:rFonts w:ascii="Times New Roman" w:eastAsia="Calibri" w:hAnsi="Times New Roman" w:cs="Times New Roman"/>
                <w:sz w:val="19"/>
                <w:szCs w:val="19"/>
              </w:rPr>
              <w:t xml:space="preserve">Co-deployment of </w:t>
            </w:r>
            <w:proofErr w:type="spellStart"/>
            <w:r w:rsidRPr="00DE420F">
              <w:rPr>
                <w:rFonts w:ascii="Times New Roman" w:eastAsia="Calibri" w:hAnsi="Times New Roman" w:cs="Times New Roman"/>
                <w:sz w:val="19"/>
                <w:szCs w:val="19"/>
              </w:rPr>
              <w:t>mtDNA</w:t>
            </w:r>
            <w:proofErr w:type="spellEnd"/>
            <w:r w:rsidRPr="00DE420F">
              <w:rPr>
                <w:rFonts w:ascii="Times New Roman" w:eastAsia="Calibri" w:hAnsi="Times New Roman" w:cs="Times New Roman"/>
                <w:sz w:val="19"/>
                <w:szCs w:val="19"/>
              </w:rPr>
              <w:t xml:space="preserve"> erasure with gate-jamming</w:t>
            </w:r>
          </w:p>
        </w:tc>
      </w:tr>
      <w:tr w:rsidR="00F8115A" w:rsidRPr="00DE420F" w14:paraId="7447B596" w14:textId="77777777">
        <w:tblPrEx>
          <w:tblCellMar>
            <w:top w:w="0" w:type="dxa"/>
            <w:bottom w:w="0" w:type="dxa"/>
          </w:tblCellMar>
        </w:tblPrEx>
        <w:trPr>
          <w:cantSplit/>
        </w:trPr>
        <w:tc>
          <w:tcPr>
            <w:tcW w:w="1300" w:type="dxa"/>
            <w:tcBorders>
              <w:top w:val="single" w:sz="1" w:space="0" w:color="B0BEC5"/>
              <w:left w:val="single" w:sz="1" w:space="0" w:color="B0BEC5"/>
              <w:bottom w:val="single" w:sz="1" w:space="0" w:color="B0BEC5"/>
              <w:right w:val="single" w:sz="1" w:space="0" w:color="B0BEC5"/>
            </w:tcBorders>
            <w:tcMar>
              <w:top w:w="60" w:type="dxa"/>
              <w:left w:w="100" w:type="dxa"/>
              <w:bottom w:w="60" w:type="dxa"/>
              <w:right w:w="100" w:type="dxa"/>
            </w:tcMar>
            <w:vAlign w:val="center"/>
          </w:tcPr>
          <w:p w14:paraId="26ED979E" w14:textId="77777777" w:rsidR="00F8115A" w:rsidRPr="00DE420F" w:rsidRDefault="00000000">
            <w:pPr>
              <w:spacing w:after="40" w:line="260" w:lineRule="auto"/>
              <w:rPr>
                <w:rFonts w:ascii="Times New Roman" w:hAnsi="Times New Roman" w:cs="Times New Roman"/>
              </w:rPr>
            </w:pPr>
            <w:r w:rsidRPr="00DE420F">
              <w:rPr>
                <w:rFonts w:ascii="Times New Roman" w:eastAsia="Calibri" w:hAnsi="Times New Roman" w:cs="Times New Roman"/>
                <w:b/>
                <w:bCs/>
                <w:sz w:val="19"/>
                <w:szCs w:val="19"/>
              </w:rPr>
              <w:t>CXCL10</w:t>
            </w:r>
          </w:p>
        </w:tc>
        <w:tc>
          <w:tcPr>
            <w:tcW w:w="1200" w:type="dxa"/>
            <w:tcBorders>
              <w:top w:val="single" w:sz="1" w:space="0" w:color="B0BEC5"/>
              <w:left w:val="single" w:sz="1" w:space="0" w:color="B0BEC5"/>
              <w:bottom w:val="single" w:sz="1" w:space="0" w:color="B0BEC5"/>
              <w:right w:val="single" w:sz="1" w:space="0" w:color="B0BEC5"/>
            </w:tcBorders>
            <w:tcMar>
              <w:top w:w="60" w:type="dxa"/>
              <w:left w:w="100" w:type="dxa"/>
              <w:bottom w:w="60" w:type="dxa"/>
              <w:right w:w="100" w:type="dxa"/>
            </w:tcMar>
            <w:vAlign w:val="center"/>
          </w:tcPr>
          <w:p w14:paraId="03DE4B50" w14:textId="77777777" w:rsidR="00F8115A" w:rsidRPr="00DE420F" w:rsidRDefault="00000000">
            <w:pPr>
              <w:spacing w:after="40" w:line="260" w:lineRule="auto"/>
              <w:jc w:val="center"/>
              <w:rPr>
                <w:rFonts w:ascii="Times New Roman" w:hAnsi="Times New Roman" w:cs="Times New Roman"/>
              </w:rPr>
            </w:pPr>
            <w:r w:rsidRPr="00DE420F">
              <w:rPr>
                <w:rFonts w:ascii="Times New Roman" w:eastAsia="Calibri" w:hAnsi="Times New Roman" w:cs="Times New Roman"/>
                <w:sz w:val="19"/>
                <w:szCs w:val="19"/>
              </w:rPr>
              <w:t>−0.231</w:t>
            </w:r>
          </w:p>
        </w:tc>
        <w:tc>
          <w:tcPr>
            <w:tcW w:w="1200" w:type="dxa"/>
            <w:tcBorders>
              <w:top w:val="single" w:sz="1" w:space="0" w:color="B0BEC5"/>
              <w:left w:val="single" w:sz="1" w:space="0" w:color="B0BEC5"/>
              <w:bottom w:val="single" w:sz="1" w:space="0" w:color="B0BEC5"/>
              <w:right w:val="single" w:sz="1" w:space="0" w:color="B0BEC5"/>
            </w:tcBorders>
            <w:tcMar>
              <w:top w:w="60" w:type="dxa"/>
              <w:left w:w="100" w:type="dxa"/>
              <w:bottom w:w="60" w:type="dxa"/>
              <w:right w:w="100" w:type="dxa"/>
            </w:tcMar>
            <w:vAlign w:val="center"/>
          </w:tcPr>
          <w:p w14:paraId="01FBF769" w14:textId="77777777" w:rsidR="00F8115A" w:rsidRPr="00DE420F" w:rsidRDefault="00000000">
            <w:pPr>
              <w:spacing w:after="40" w:line="260" w:lineRule="auto"/>
              <w:jc w:val="center"/>
              <w:rPr>
                <w:rFonts w:ascii="Times New Roman" w:hAnsi="Times New Roman" w:cs="Times New Roman"/>
              </w:rPr>
            </w:pPr>
            <w:r w:rsidRPr="00DE420F">
              <w:rPr>
                <w:rFonts w:ascii="Times New Roman" w:eastAsia="Calibri" w:hAnsi="Times New Roman" w:cs="Times New Roman"/>
                <w:sz w:val="19"/>
                <w:szCs w:val="19"/>
              </w:rPr>
              <w:t>0.015</w:t>
            </w:r>
          </w:p>
        </w:tc>
        <w:tc>
          <w:tcPr>
            <w:tcW w:w="1200" w:type="dxa"/>
            <w:tcBorders>
              <w:top w:val="single" w:sz="1" w:space="0" w:color="B0BEC5"/>
              <w:left w:val="single" w:sz="1" w:space="0" w:color="B0BEC5"/>
              <w:bottom w:val="single" w:sz="1" w:space="0" w:color="B0BEC5"/>
              <w:right w:val="single" w:sz="1" w:space="0" w:color="B0BEC5"/>
            </w:tcBorders>
            <w:tcMar>
              <w:top w:w="60" w:type="dxa"/>
              <w:left w:w="100" w:type="dxa"/>
              <w:bottom w:w="60" w:type="dxa"/>
              <w:right w:w="100" w:type="dxa"/>
            </w:tcMar>
            <w:vAlign w:val="center"/>
          </w:tcPr>
          <w:p w14:paraId="3A4F253A" w14:textId="77777777" w:rsidR="00F8115A" w:rsidRPr="00DE420F" w:rsidRDefault="00000000">
            <w:pPr>
              <w:spacing w:after="40" w:line="260" w:lineRule="auto"/>
              <w:jc w:val="center"/>
              <w:rPr>
                <w:rFonts w:ascii="Times New Roman" w:hAnsi="Times New Roman" w:cs="Times New Roman"/>
              </w:rPr>
            </w:pPr>
            <w:r w:rsidRPr="00DE420F">
              <w:rPr>
                <w:rFonts w:ascii="Times New Roman" w:eastAsia="Calibri" w:hAnsi="Times New Roman" w:cs="Times New Roman"/>
                <w:sz w:val="19"/>
                <w:szCs w:val="19"/>
              </w:rPr>
              <w:t>Down</w:t>
            </w:r>
          </w:p>
        </w:tc>
        <w:tc>
          <w:tcPr>
            <w:tcW w:w="4460" w:type="dxa"/>
            <w:tcBorders>
              <w:top w:val="single" w:sz="1" w:space="0" w:color="B0BEC5"/>
              <w:left w:val="single" w:sz="1" w:space="0" w:color="B0BEC5"/>
              <w:bottom w:val="single" w:sz="1" w:space="0" w:color="B0BEC5"/>
              <w:right w:val="single" w:sz="1" w:space="0" w:color="B0BEC5"/>
            </w:tcBorders>
            <w:tcMar>
              <w:top w:w="60" w:type="dxa"/>
              <w:left w:w="100" w:type="dxa"/>
              <w:bottom w:w="60" w:type="dxa"/>
              <w:right w:w="100" w:type="dxa"/>
            </w:tcMar>
            <w:vAlign w:val="center"/>
          </w:tcPr>
          <w:p w14:paraId="0953F0C0" w14:textId="77777777" w:rsidR="00F8115A" w:rsidRPr="00DE420F" w:rsidRDefault="00000000">
            <w:pPr>
              <w:spacing w:after="40" w:line="260" w:lineRule="auto"/>
              <w:rPr>
                <w:rFonts w:ascii="Times New Roman" w:hAnsi="Times New Roman" w:cs="Times New Roman"/>
              </w:rPr>
            </w:pPr>
            <w:r w:rsidRPr="00DE420F">
              <w:rPr>
                <w:rFonts w:ascii="Times New Roman" w:eastAsia="Calibri" w:hAnsi="Times New Roman" w:cs="Times New Roman"/>
                <w:sz w:val="19"/>
                <w:szCs w:val="19"/>
              </w:rPr>
              <w:t>Reduced IFN-γ–induced chemokine recruitment</w:t>
            </w:r>
          </w:p>
        </w:tc>
      </w:tr>
      <w:tr w:rsidR="00F8115A" w:rsidRPr="00DE420F" w14:paraId="45304865" w14:textId="77777777">
        <w:tblPrEx>
          <w:tblCellMar>
            <w:top w:w="0" w:type="dxa"/>
            <w:bottom w:w="0" w:type="dxa"/>
          </w:tblCellMar>
        </w:tblPrEx>
        <w:trPr>
          <w:cantSplit/>
        </w:trPr>
        <w:tc>
          <w:tcPr>
            <w:tcW w:w="1300" w:type="dxa"/>
            <w:tcBorders>
              <w:top w:val="single" w:sz="1" w:space="0" w:color="B0BEC5"/>
              <w:left w:val="single" w:sz="1" w:space="0" w:color="B0BEC5"/>
              <w:bottom w:val="single" w:sz="1" w:space="0" w:color="B0BEC5"/>
              <w:right w:val="single" w:sz="1" w:space="0" w:color="B0BEC5"/>
            </w:tcBorders>
            <w:shd w:val="clear" w:color="auto" w:fill="F5F7FA"/>
            <w:tcMar>
              <w:top w:w="60" w:type="dxa"/>
              <w:left w:w="100" w:type="dxa"/>
              <w:bottom w:w="60" w:type="dxa"/>
              <w:right w:w="100" w:type="dxa"/>
            </w:tcMar>
            <w:vAlign w:val="center"/>
          </w:tcPr>
          <w:p w14:paraId="7E0E3266" w14:textId="77777777" w:rsidR="00F8115A" w:rsidRPr="00DE420F" w:rsidRDefault="00000000">
            <w:pPr>
              <w:spacing w:after="40" w:line="260" w:lineRule="auto"/>
              <w:rPr>
                <w:rFonts w:ascii="Times New Roman" w:hAnsi="Times New Roman" w:cs="Times New Roman"/>
              </w:rPr>
            </w:pPr>
            <w:r w:rsidRPr="00DE420F">
              <w:rPr>
                <w:rFonts w:ascii="Times New Roman" w:eastAsia="Calibri" w:hAnsi="Times New Roman" w:cs="Times New Roman"/>
                <w:b/>
                <w:bCs/>
                <w:sz w:val="19"/>
                <w:szCs w:val="19"/>
              </w:rPr>
              <w:t>STING ratio</w:t>
            </w:r>
          </w:p>
        </w:tc>
        <w:tc>
          <w:tcPr>
            <w:tcW w:w="1200" w:type="dxa"/>
            <w:tcBorders>
              <w:top w:val="single" w:sz="1" w:space="0" w:color="B0BEC5"/>
              <w:left w:val="single" w:sz="1" w:space="0" w:color="B0BEC5"/>
              <w:bottom w:val="single" w:sz="1" w:space="0" w:color="B0BEC5"/>
              <w:right w:val="single" w:sz="1" w:space="0" w:color="B0BEC5"/>
            </w:tcBorders>
            <w:shd w:val="clear" w:color="auto" w:fill="F5F7FA"/>
            <w:tcMar>
              <w:top w:w="60" w:type="dxa"/>
              <w:left w:w="100" w:type="dxa"/>
              <w:bottom w:w="60" w:type="dxa"/>
              <w:right w:w="100" w:type="dxa"/>
            </w:tcMar>
            <w:vAlign w:val="center"/>
          </w:tcPr>
          <w:p w14:paraId="01B07D74" w14:textId="77777777" w:rsidR="00F8115A" w:rsidRPr="00DE420F" w:rsidRDefault="00000000">
            <w:pPr>
              <w:spacing w:after="40" w:line="260" w:lineRule="auto"/>
              <w:jc w:val="center"/>
              <w:rPr>
                <w:rFonts w:ascii="Times New Roman" w:hAnsi="Times New Roman" w:cs="Times New Roman"/>
              </w:rPr>
            </w:pPr>
            <w:r w:rsidRPr="00DE420F">
              <w:rPr>
                <w:rFonts w:ascii="Times New Roman" w:eastAsia="Calibri" w:hAnsi="Times New Roman" w:cs="Times New Roman"/>
                <w:sz w:val="19"/>
                <w:szCs w:val="19"/>
              </w:rPr>
              <w:t>−0.216</w:t>
            </w:r>
          </w:p>
        </w:tc>
        <w:tc>
          <w:tcPr>
            <w:tcW w:w="1200" w:type="dxa"/>
            <w:tcBorders>
              <w:top w:val="single" w:sz="1" w:space="0" w:color="B0BEC5"/>
              <w:left w:val="single" w:sz="1" w:space="0" w:color="B0BEC5"/>
              <w:bottom w:val="single" w:sz="1" w:space="0" w:color="B0BEC5"/>
              <w:right w:val="single" w:sz="1" w:space="0" w:color="B0BEC5"/>
            </w:tcBorders>
            <w:shd w:val="clear" w:color="auto" w:fill="F5F7FA"/>
            <w:tcMar>
              <w:top w:w="60" w:type="dxa"/>
              <w:left w:w="100" w:type="dxa"/>
              <w:bottom w:w="60" w:type="dxa"/>
              <w:right w:w="100" w:type="dxa"/>
            </w:tcMar>
            <w:vAlign w:val="center"/>
          </w:tcPr>
          <w:p w14:paraId="6AC96B22" w14:textId="77777777" w:rsidR="00F8115A" w:rsidRPr="00DE420F" w:rsidRDefault="00000000">
            <w:pPr>
              <w:spacing w:after="40" w:line="260" w:lineRule="auto"/>
              <w:jc w:val="center"/>
              <w:rPr>
                <w:rFonts w:ascii="Times New Roman" w:hAnsi="Times New Roman" w:cs="Times New Roman"/>
              </w:rPr>
            </w:pPr>
            <w:r w:rsidRPr="00DE420F">
              <w:rPr>
                <w:rFonts w:ascii="Times New Roman" w:eastAsia="Calibri" w:hAnsi="Times New Roman" w:cs="Times New Roman"/>
                <w:sz w:val="19"/>
                <w:szCs w:val="19"/>
              </w:rPr>
              <w:t>0.034</w:t>
            </w:r>
          </w:p>
        </w:tc>
        <w:tc>
          <w:tcPr>
            <w:tcW w:w="1200" w:type="dxa"/>
            <w:tcBorders>
              <w:top w:val="single" w:sz="1" w:space="0" w:color="B0BEC5"/>
              <w:left w:val="single" w:sz="1" w:space="0" w:color="B0BEC5"/>
              <w:bottom w:val="single" w:sz="1" w:space="0" w:color="B0BEC5"/>
              <w:right w:val="single" w:sz="1" w:space="0" w:color="B0BEC5"/>
            </w:tcBorders>
            <w:shd w:val="clear" w:color="auto" w:fill="F5F7FA"/>
            <w:tcMar>
              <w:top w:w="60" w:type="dxa"/>
              <w:left w:w="100" w:type="dxa"/>
              <w:bottom w:w="60" w:type="dxa"/>
              <w:right w:w="100" w:type="dxa"/>
            </w:tcMar>
            <w:vAlign w:val="center"/>
          </w:tcPr>
          <w:p w14:paraId="4C1FE6B2" w14:textId="77777777" w:rsidR="00F8115A" w:rsidRPr="00DE420F" w:rsidRDefault="00000000">
            <w:pPr>
              <w:spacing w:after="40" w:line="260" w:lineRule="auto"/>
              <w:jc w:val="center"/>
              <w:rPr>
                <w:rFonts w:ascii="Times New Roman" w:hAnsi="Times New Roman" w:cs="Times New Roman"/>
              </w:rPr>
            </w:pPr>
            <w:r w:rsidRPr="00DE420F">
              <w:rPr>
                <w:rFonts w:ascii="Times New Roman" w:eastAsia="Calibri" w:hAnsi="Times New Roman" w:cs="Times New Roman"/>
                <w:sz w:val="19"/>
                <w:szCs w:val="19"/>
              </w:rPr>
              <w:t>Down</w:t>
            </w:r>
          </w:p>
        </w:tc>
        <w:tc>
          <w:tcPr>
            <w:tcW w:w="4460" w:type="dxa"/>
            <w:tcBorders>
              <w:top w:val="single" w:sz="1" w:space="0" w:color="B0BEC5"/>
              <w:left w:val="single" w:sz="1" w:space="0" w:color="B0BEC5"/>
              <w:bottom w:val="single" w:sz="1" w:space="0" w:color="B0BEC5"/>
              <w:right w:val="single" w:sz="1" w:space="0" w:color="B0BEC5"/>
            </w:tcBorders>
            <w:shd w:val="clear" w:color="auto" w:fill="F5F7FA"/>
            <w:tcMar>
              <w:top w:w="60" w:type="dxa"/>
              <w:left w:w="100" w:type="dxa"/>
              <w:bottom w:w="60" w:type="dxa"/>
              <w:right w:w="100" w:type="dxa"/>
            </w:tcMar>
            <w:vAlign w:val="center"/>
          </w:tcPr>
          <w:p w14:paraId="7EE22848" w14:textId="77777777" w:rsidR="00F8115A" w:rsidRPr="00DE420F" w:rsidRDefault="00000000">
            <w:pPr>
              <w:spacing w:after="40" w:line="260" w:lineRule="auto"/>
              <w:rPr>
                <w:rFonts w:ascii="Times New Roman" w:hAnsi="Times New Roman" w:cs="Times New Roman"/>
              </w:rPr>
            </w:pPr>
            <w:r w:rsidRPr="00DE420F">
              <w:rPr>
                <w:rFonts w:ascii="Times New Roman" w:eastAsia="Calibri" w:hAnsi="Times New Roman" w:cs="Times New Roman"/>
                <w:sz w:val="19"/>
                <w:szCs w:val="19"/>
              </w:rPr>
              <w:t>Residual STING signaling shifts to immunosuppressive profile</w:t>
            </w:r>
          </w:p>
        </w:tc>
      </w:tr>
      <w:tr w:rsidR="00F8115A" w:rsidRPr="00DE420F" w14:paraId="5879FEB0" w14:textId="77777777">
        <w:tblPrEx>
          <w:tblCellMar>
            <w:top w:w="0" w:type="dxa"/>
            <w:bottom w:w="0" w:type="dxa"/>
          </w:tblCellMar>
        </w:tblPrEx>
        <w:trPr>
          <w:cantSplit/>
        </w:trPr>
        <w:tc>
          <w:tcPr>
            <w:tcW w:w="1300" w:type="dxa"/>
            <w:tcBorders>
              <w:top w:val="single" w:sz="1" w:space="0" w:color="B0BEC5"/>
              <w:left w:val="single" w:sz="1" w:space="0" w:color="B0BEC5"/>
              <w:bottom w:val="single" w:sz="1" w:space="0" w:color="B0BEC5"/>
              <w:right w:val="single" w:sz="1" w:space="0" w:color="B0BEC5"/>
            </w:tcBorders>
            <w:tcMar>
              <w:top w:w="60" w:type="dxa"/>
              <w:left w:w="100" w:type="dxa"/>
              <w:bottom w:w="60" w:type="dxa"/>
              <w:right w:w="100" w:type="dxa"/>
            </w:tcMar>
            <w:vAlign w:val="center"/>
          </w:tcPr>
          <w:p w14:paraId="6856164B" w14:textId="77777777" w:rsidR="00F8115A" w:rsidRPr="00DE420F" w:rsidRDefault="00000000">
            <w:pPr>
              <w:spacing w:after="40" w:line="260" w:lineRule="auto"/>
              <w:rPr>
                <w:rFonts w:ascii="Times New Roman" w:hAnsi="Times New Roman" w:cs="Times New Roman"/>
              </w:rPr>
            </w:pPr>
            <w:proofErr w:type="spellStart"/>
            <w:r w:rsidRPr="00DE420F">
              <w:rPr>
                <w:rFonts w:ascii="Times New Roman" w:eastAsia="Calibri" w:hAnsi="Times New Roman" w:cs="Times New Roman"/>
                <w:b/>
                <w:bCs/>
                <w:sz w:val="19"/>
                <w:szCs w:val="19"/>
              </w:rPr>
              <w:t>cGAS</w:t>
            </w:r>
            <w:proofErr w:type="spellEnd"/>
            <w:r w:rsidRPr="00DE420F">
              <w:rPr>
                <w:rFonts w:ascii="Times New Roman" w:eastAsia="Calibri" w:hAnsi="Times New Roman" w:cs="Times New Roman"/>
                <w:sz w:val="17"/>
                <w:szCs w:val="17"/>
              </w:rPr>
              <w:t xml:space="preserve"> (MB21D1)</w:t>
            </w:r>
          </w:p>
        </w:tc>
        <w:tc>
          <w:tcPr>
            <w:tcW w:w="1200" w:type="dxa"/>
            <w:tcBorders>
              <w:top w:val="single" w:sz="1" w:space="0" w:color="B0BEC5"/>
              <w:left w:val="single" w:sz="1" w:space="0" w:color="B0BEC5"/>
              <w:bottom w:val="single" w:sz="1" w:space="0" w:color="B0BEC5"/>
              <w:right w:val="single" w:sz="1" w:space="0" w:color="B0BEC5"/>
            </w:tcBorders>
            <w:tcMar>
              <w:top w:w="60" w:type="dxa"/>
              <w:left w:w="100" w:type="dxa"/>
              <w:bottom w:w="60" w:type="dxa"/>
              <w:right w:w="100" w:type="dxa"/>
            </w:tcMar>
            <w:vAlign w:val="center"/>
          </w:tcPr>
          <w:p w14:paraId="49A21FA6" w14:textId="77777777" w:rsidR="00F8115A" w:rsidRPr="00DE420F" w:rsidRDefault="00000000">
            <w:pPr>
              <w:spacing w:after="40" w:line="260" w:lineRule="auto"/>
              <w:jc w:val="center"/>
              <w:rPr>
                <w:rFonts w:ascii="Times New Roman" w:hAnsi="Times New Roman" w:cs="Times New Roman"/>
              </w:rPr>
            </w:pPr>
            <w:r w:rsidRPr="00DE420F">
              <w:rPr>
                <w:rFonts w:ascii="Times New Roman" w:eastAsia="Calibri" w:hAnsi="Times New Roman" w:cs="Times New Roman"/>
                <w:sz w:val="19"/>
                <w:szCs w:val="19"/>
              </w:rPr>
              <w:t>−0.208</w:t>
            </w:r>
          </w:p>
        </w:tc>
        <w:tc>
          <w:tcPr>
            <w:tcW w:w="1200" w:type="dxa"/>
            <w:tcBorders>
              <w:top w:val="single" w:sz="1" w:space="0" w:color="B0BEC5"/>
              <w:left w:val="single" w:sz="1" w:space="0" w:color="B0BEC5"/>
              <w:bottom w:val="single" w:sz="1" w:space="0" w:color="B0BEC5"/>
              <w:right w:val="single" w:sz="1" w:space="0" w:color="B0BEC5"/>
            </w:tcBorders>
            <w:tcMar>
              <w:top w:w="60" w:type="dxa"/>
              <w:left w:w="100" w:type="dxa"/>
              <w:bottom w:w="60" w:type="dxa"/>
              <w:right w:w="100" w:type="dxa"/>
            </w:tcMar>
            <w:vAlign w:val="center"/>
          </w:tcPr>
          <w:p w14:paraId="6BA50C6D" w14:textId="77777777" w:rsidR="00F8115A" w:rsidRPr="00DE420F" w:rsidRDefault="00000000">
            <w:pPr>
              <w:spacing w:after="40" w:line="260" w:lineRule="auto"/>
              <w:jc w:val="center"/>
              <w:rPr>
                <w:rFonts w:ascii="Times New Roman" w:hAnsi="Times New Roman" w:cs="Times New Roman"/>
              </w:rPr>
            </w:pPr>
            <w:r w:rsidRPr="00DE420F">
              <w:rPr>
                <w:rFonts w:ascii="Times New Roman" w:eastAsia="Calibri" w:hAnsi="Times New Roman" w:cs="Times New Roman"/>
                <w:sz w:val="19"/>
                <w:szCs w:val="19"/>
              </w:rPr>
              <w:t>0.049</w:t>
            </w:r>
          </w:p>
        </w:tc>
        <w:tc>
          <w:tcPr>
            <w:tcW w:w="1200" w:type="dxa"/>
            <w:tcBorders>
              <w:top w:val="single" w:sz="1" w:space="0" w:color="B0BEC5"/>
              <w:left w:val="single" w:sz="1" w:space="0" w:color="B0BEC5"/>
              <w:bottom w:val="single" w:sz="1" w:space="0" w:color="B0BEC5"/>
              <w:right w:val="single" w:sz="1" w:space="0" w:color="B0BEC5"/>
            </w:tcBorders>
            <w:tcMar>
              <w:top w:w="60" w:type="dxa"/>
              <w:left w:w="100" w:type="dxa"/>
              <w:bottom w:w="60" w:type="dxa"/>
              <w:right w:w="100" w:type="dxa"/>
            </w:tcMar>
            <w:vAlign w:val="center"/>
          </w:tcPr>
          <w:p w14:paraId="35DAABBB" w14:textId="77777777" w:rsidR="00F8115A" w:rsidRPr="00DE420F" w:rsidRDefault="00000000">
            <w:pPr>
              <w:spacing w:after="40" w:line="260" w:lineRule="auto"/>
              <w:jc w:val="center"/>
              <w:rPr>
                <w:rFonts w:ascii="Times New Roman" w:hAnsi="Times New Roman" w:cs="Times New Roman"/>
              </w:rPr>
            </w:pPr>
            <w:r w:rsidRPr="00DE420F">
              <w:rPr>
                <w:rFonts w:ascii="Times New Roman" w:eastAsia="Calibri" w:hAnsi="Times New Roman" w:cs="Times New Roman"/>
                <w:sz w:val="19"/>
                <w:szCs w:val="19"/>
              </w:rPr>
              <w:t>Down</w:t>
            </w:r>
          </w:p>
        </w:tc>
        <w:tc>
          <w:tcPr>
            <w:tcW w:w="4460" w:type="dxa"/>
            <w:tcBorders>
              <w:top w:val="single" w:sz="1" w:space="0" w:color="B0BEC5"/>
              <w:left w:val="single" w:sz="1" w:space="0" w:color="B0BEC5"/>
              <w:bottom w:val="single" w:sz="1" w:space="0" w:color="B0BEC5"/>
              <w:right w:val="single" w:sz="1" w:space="0" w:color="B0BEC5"/>
            </w:tcBorders>
            <w:tcMar>
              <w:top w:w="60" w:type="dxa"/>
              <w:left w:w="100" w:type="dxa"/>
              <w:bottom w:w="60" w:type="dxa"/>
              <w:right w:w="100" w:type="dxa"/>
            </w:tcMar>
            <w:vAlign w:val="center"/>
          </w:tcPr>
          <w:p w14:paraId="20FB019F" w14:textId="77777777" w:rsidR="00F8115A" w:rsidRPr="00DE420F" w:rsidRDefault="00000000">
            <w:pPr>
              <w:spacing w:after="40" w:line="260" w:lineRule="auto"/>
              <w:rPr>
                <w:rFonts w:ascii="Times New Roman" w:hAnsi="Times New Roman" w:cs="Times New Roman"/>
              </w:rPr>
            </w:pPr>
            <w:r w:rsidRPr="00DE420F">
              <w:rPr>
                <w:rFonts w:ascii="Times New Roman" w:eastAsia="Calibri" w:hAnsi="Times New Roman" w:cs="Times New Roman"/>
                <w:sz w:val="19"/>
                <w:szCs w:val="19"/>
              </w:rPr>
              <w:t xml:space="preserve">Lower </w:t>
            </w:r>
            <w:proofErr w:type="spellStart"/>
            <w:r w:rsidRPr="00DE420F">
              <w:rPr>
                <w:rFonts w:ascii="Times New Roman" w:eastAsia="Calibri" w:hAnsi="Times New Roman" w:cs="Times New Roman"/>
                <w:sz w:val="19"/>
                <w:szCs w:val="19"/>
              </w:rPr>
              <w:t>cGAS</w:t>
            </w:r>
            <w:proofErr w:type="spellEnd"/>
            <w:r w:rsidRPr="00DE420F">
              <w:rPr>
                <w:rFonts w:ascii="Times New Roman" w:eastAsia="Calibri" w:hAnsi="Times New Roman" w:cs="Times New Roman"/>
                <w:sz w:val="19"/>
                <w:szCs w:val="19"/>
              </w:rPr>
              <w:t xml:space="preserve"> in high-</w:t>
            </w:r>
            <w:proofErr w:type="spellStart"/>
            <w:r w:rsidRPr="00DE420F">
              <w:rPr>
                <w:rFonts w:ascii="Times New Roman" w:eastAsia="Calibri" w:hAnsi="Times New Roman" w:cs="Times New Roman"/>
                <w:sz w:val="19"/>
                <w:szCs w:val="19"/>
              </w:rPr>
              <w:t>tGJS</w:t>
            </w:r>
            <w:proofErr w:type="spellEnd"/>
            <w:r w:rsidRPr="00DE420F">
              <w:rPr>
                <w:rFonts w:ascii="Times New Roman" w:eastAsia="Calibri" w:hAnsi="Times New Roman" w:cs="Times New Roman"/>
                <w:sz w:val="19"/>
                <w:szCs w:val="19"/>
              </w:rPr>
              <w:t xml:space="preserve"> tumors</w:t>
            </w:r>
          </w:p>
        </w:tc>
      </w:tr>
    </w:tbl>
    <w:p w14:paraId="5B2C7C2E" w14:textId="77777777" w:rsidR="00F8115A" w:rsidRPr="00DE420F" w:rsidRDefault="00F8115A">
      <w:pPr>
        <w:spacing w:after="120"/>
        <w:rPr>
          <w:rFonts w:ascii="Times New Roman" w:hAnsi="Times New Roman" w:cs="Times New Roman"/>
        </w:rPr>
      </w:pPr>
    </w:p>
    <w:p w14:paraId="54A4CD2C" w14:textId="77777777" w:rsidR="00F8115A" w:rsidRPr="00DE420F" w:rsidRDefault="00000000">
      <w:pPr>
        <w:spacing w:after="160" w:line="300" w:lineRule="auto"/>
        <w:jc w:val="both"/>
        <w:rPr>
          <w:rFonts w:ascii="Times New Roman" w:hAnsi="Times New Roman" w:cs="Times New Roman"/>
        </w:rPr>
      </w:pPr>
      <w:r w:rsidRPr="00DE420F">
        <w:rPr>
          <w:rFonts w:ascii="Times New Roman" w:hAnsi="Times New Roman" w:cs="Times New Roman"/>
        </w:rPr>
        <w:t xml:space="preserve">No immune markers reached Bonferroni significance in the MSI-H control strata (n = 67 and n = 28), consistent with the prediction that genomic instability saturates </w:t>
      </w:r>
      <w:proofErr w:type="spellStart"/>
      <w:r w:rsidRPr="00DE420F">
        <w:rPr>
          <w:rFonts w:ascii="Times New Roman" w:hAnsi="Times New Roman" w:cs="Times New Roman"/>
        </w:rPr>
        <w:t>cGAS</w:t>
      </w:r>
      <w:proofErr w:type="spellEnd"/>
      <w:r w:rsidRPr="00DE420F">
        <w:rPr>
          <w:rFonts w:ascii="Times New Roman" w:hAnsi="Times New Roman" w:cs="Times New Roman"/>
        </w:rPr>
        <w:t>–STING independently of VDAC1 state.</w:t>
      </w:r>
    </w:p>
    <w:p w14:paraId="515FF05E" w14:textId="77777777" w:rsidR="00F8115A" w:rsidRPr="00DE420F" w:rsidRDefault="00000000">
      <w:pPr>
        <w:spacing w:after="160" w:line="300" w:lineRule="auto"/>
        <w:ind w:firstLine="360"/>
        <w:jc w:val="both"/>
        <w:rPr>
          <w:rFonts w:ascii="Times New Roman" w:hAnsi="Times New Roman" w:cs="Times New Roman"/>
        </w:rPr>
      </w:pPr>
      <w:r w:rsidRPr="00DE420F">
        <w:rPr>
          <w:rFonts w:ascii="Times New Roman" w:hAnsi="Times New Roman" w:cs="Times New Roman"/>
        </w:rPr>
        <w:t>The ENPP1 anti-correlation (ρ = −0.027, not significant) did not replicate within the clean room, correcting the S1 interpretation: the pan-cancer ENPP1 signal was driven by cross-cancer-type expression differences rather than a within-tumor-type biological relationship.</w:t>
      </w:r>
    </w:p>
    <w:p w14:paraId="689528C0" w14:textId="77777777" w:rsidR="00F8115A" w:rsidRDefault="00000000">
      <w:pPr>
        <w:spacing w:after="160" w:line="300" w:lineRule="auto"/>
        <w:ind w:firstLine="360"/>
        <w:jc w:val="both"/>
        <w:rPr>
          <w:rFonts w:ascii="Times New Roman" w:hAnsi="Times New Roman" w:cs="Times New Roman"/>
        </w:rPr>
      </w:pPr>
      <w:r w:rsidRPr="00DE420F">
        <w:rPr>
          <w:rFonts w:ascii="Times New Roman" w:hAnsi="Times New Roman" w:cs="Times New Roman"/>
        </w:rPr>
        <w:t xml:space="preserve">Two unexpected findings refined the evasion architecture model. First, the positive correlation between </w:t>
      </w:r>
      <w:proofErr w:type="spellStart"/>
      <w:r w:rsidRPr="00DE420F">
        <w:rPr>
          <w:rFonts w:ascii="Times New Roman" w:hAnsi="Times New Roman" w:cs="Times New Roman"/>
        </w:rPr>
        <w:t>tGJS</w:t>
      </w:r>
      <w:proofErr w:type="spellEnd"/>
      <w:r w:rsidRPr="00DE420F">
        <w:rPr>
          <w:rFonts w:ascii="Times New Roman" w:hAnsi="Times New Roman" w:cs="Times New Roman"/>
        </w:rPr>
        <w:t xml:space="preserve"> and TREX1 (ρ = +0.315) indicates that the most evasion-committed MSS tumors co-deploy mitochondrial gate-jamming and cytosolic DNA erasure simultaneously — a belt-and-suspenders strategy rather than an either/or trade-off. Second, HAVCR2 (TIM-3) showed the strongest anti-correlation, </w:t>
      </w:r>
      <w:r w:rsidRPr="00DE420F">
        <w:rPr>
          <w:rFonts w:ascii="Times New Roman" w:hAnsi="Times New Roman" w:cs="Times New Roman"/>
        </w:rPr>
        <w:lastRenderedPageBreak/>
        <w:t>suggesting high-</w:t>
      </w:r>
      <w:proofErr w:type="spellStart"/>
      <w:r w:rsidRPr="00DE420F">
        <w:rPr>
          <w:rFonts w:ascii="Times New Roman" w:hAnsi="Times New Roman" w:cs="Times New Roman"/>
        </w:rPr>
        <w:t>tGJS</w:t>
      </w:r>
      <w:proofErr w:type="spellEnd"/>
      <w:r w:rsidRPr="00DE420F">
        <w:rPr>
          <w:rFonts w:ascii="Times New Roman" w:hAnsi="Times New Roman" w:cs="Times New Roman"/>
        </w:rPr>
        <w:t xml:space="preserve"> MSS tumors suffer from T cell absence rather than T cell exhaustion — consistent with suppressed innate priming preventing initial T cell recruitment. Full stratified results across all 20 markers and 4 strata are in Supplementary Analysis S2.</w:t>
      </w:r>
    </w:p>
    <w:p w14:paraId="7158CDC1" w14:textId="77777777" w:rsidR="00DE420F" w:rsidRPr="00DE420F" w:rsidRDefault="00DE420F">
      <w:pPr>
        <w:spacing w:after="160" w:line="300" w:lineRule="auto"/>
        <w:ind w:firstLine="360"/>
        <w:jc w:val="both"/>
        <w:rPr>
          <w:rFonts w:ascii="Times New Roman" w:hAnsi="Times New Roman" w:cs="Times New Roman"/>
        </w:rPr>
      </w:pPr>
    </w:p>
    <w:p w14:paraId="3D494F74" w14:textId="77777777" w:rsidR="00F8115A" w:rsidRDefault="00000000" w:rsidP="00504322">
      <w:pPr>
        <w:pStyle w:val="Heading2"/>
        <w:jc w:val="center"/>
        <w:rPr>
          <w:rFonts w:ascii="Times New Roman" w:hAnsi="Times New Roman" w:cs="Times New Roman"/>
        </w:rPr>
      </w:pPr>
      <w:r w:rsidRPr="00DE420F">
        <w:rPr>
          <w:rFonts w:ascii="Times New Roman" w:hAnsi="Times New Roman" w:cs="Times New Roman"/>
        </w:rPr>
        <w:t xml:space="preserve">3.3 S3: </w:t>
      </w:r>
      <w:proofErr w:type="spellStart"/>
      <w:r w:rsidRPr="00DE420F">
        <w:rPr>
          <w:rFonts w:ascii="Times New Roman" w:hAnsi="Times New Roman" w:cs="Times New Roman"/>
        </w:rPr>
        <w:t>tGJS</w:t>
      </w:r>
      <w:proofErr w:type="spellEnd"/>
      <w:r w:rsidRPr="00DE420F">
        <w:rPr>
          <w:rFonts w:ascii="Times New Roman" w:hAnsi="Times New Roman" w:cs="Times New Roman"/>
        </w:rPr>
        <w:t xml:space="preserve"> Does Not Predict Atezolizumab Response in Urothelial Carcinoma (n = 348)</w:t>
      </w:r>
    </w:p>
    <w:p w14:paraId="32A46F3A" w14:textId="77777777" w:rsidR="00DE420F" w:rsidRPr="00DE420F" w:rsidRDefault="00DE420F">
      <w:pPr>
        <w:pStyle w:val="Heading2"/>
        <w:rPr>
          <w:rFonts w:ascii="Times New Roman" w:hAnsi="Times New Roman" w:cs="Times New Roman"/>
        </w:rPr>
      </w:pPr>
    </w:p>
    <w:p w14:paraId="4079D8BA" w14:textId="77777777" w:rsidR="00F8115A" w:rsidRPr="00DE420F" w:rsidRDefault="00000000">
      <w:pPr>
        <w:spacing w:after="160" w:line="300" w:lineRule="auto"/>
        <w:jc w:val="both"/>
        <w:rPr>
          <w:rFonts w:ascii="Times New Roman" w:hAnsi="Times New Roman" w:cs="Times New Roman"/>
        </w:rPr>
      </w:pPr>
      <w:r w:rsidRPr="00DE420F">
        <w:rPr>
          <w:rFonts w:ascii="Times New Roman" w:hAnsi="Times New Roman" w:cs="Times New Roman"/>
        </w:rPr>
        <w:t xml:space="preserve">In the IMvigor210 cohort, </w:t>
      </w:r>
      <w:proofErr w:type="spellStart"/>
      <w:r w:rsidRPr="00DE420F">
        <w:rPr>
          <w:rFonts w:ascii="Times New Roman" w:hAnsi="Times New Roman" w:cs="Times New Roman"/>
        </w:rPr>
        <w:t>tGJS</w:t>
      </w:r>
      <w:proofErr w:type="spellEnd"/>
      <w:r w:rsidRPr="00DE420F">
        <w:rPr>
          <w:rFonts w:ascii="Times New Roman" w:hAnsi="Times New Roman" w:cs="Times New Roman"/>
        </w:rPr>
        <w:t xml:space="preserve"> showed no association with atezolizumab response or overall survival at any level of analysis (Table 2).</w:t>
      </w:r>
    </w:p>
    <w:p w14:paraId="1D7C2B45" w14:textId="77777777" w:rsidR="00F8115A" w:rsidRPr="00DE420F" w:rsidRDefault="00000000">
      <w:pPr>
        <w:spacing w:before="280" w:after="120"/>
        <w:rPr>
          <w:rFonts w:ascii="Times New Roman" w:hAnsi="Times New Roman" w:cs="Times New Roman"/>
        </w:rPr>
      </w:pPr>
      <w:r w:rsidRPr="00DE420F">
        <w:rPr>
          <w:rFonts w:ascii="Times New Roman" w:eastAsia="Calibri" w:hAnsi="Times New Roman" w:cs="Times New Roman"/>
          <w:b/>
          <w:bCs/>
          <w:color w:val="2C3E6B"/>
          <w:sz w:val="20"/>
          <w:szCs w:val="20"/>
        </w:rPr>
        <w:t>Table 2.</w:t>
      </w:r>
      <w:r w:rsidRPr="00DE420F">
        <w:rPr>
          <w:rFonts w:ascii="Times New Roman" w:eastAsia="Calibri" w:hAnsi="Times New Roman" w:cs="Times New Roman"/>
          <w:i/>
          <w:iCs/>
          <w:color w:val="455A64"/>
          <w:sz w:val="20"/>
          <w:szCs w:val="20"/>
        </w:rPr>
        <w:t xml:space="preserve"> IMvigor210 primary results (n = 348, </w:t>
      </w:r>
      <w:proofErr w:type="spellStart"/>
      <w:r w:rsidRPr="00DE420F">
        <w:rPr>
          <w:rFonts w:ascii="Times New Roman" w:eastAsia="Calibri" w:hAnsi="Times New Roman" w:cs="Times New Roman"/>
          <w:i/>
          <w:iCs/>
          <w:color w:val="455A64"/>
          <w:sz w:val="20"/>
          <w:szCs w:val="20"/>
        </w:rPr>
        <w:t>n_response</w:t>
      </w:r>
      <w:proofErr w:type="spellEnd"/>
      <w:r w:rsidRPr="00DE420F">
        <w:rPr>
          <w:rFonts w:ascii="Times New Roman" w:eastAsia="Calibri" w:hAnsi="Times New Roman" w:cs="Times New Roman"/>
          <w:i/>
          <w:iCs/>
          <w:color w:val="455A64"/>
          <w:sz w:val="20"/>
          <w:szCs w:val="20"/>
        </w:rPr>
        <w:t xml:space="preserve"> = 298).</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3800"/>
        <w:gridCol w:w="2760"/>
      </w:tblGrid>
      <w:tr w:rsidR="00F8115A" w:rsidRPr="00DE420F" w14:paraId="44B4E82A" w14:textId="77777777">
        <w:tblPrEx>
          <w:tblCellMar>
            <w:top w:w="0" w:type="dxa"/>
            <w:bottom w:w="0" w:type="dxa"/>
          </w:tblCellMar>
        </w:tblPrEx>
        <w:trPr>
          <w:cantSplit/>
          <w:tblHeader/>
        </w:trPr>
        <w:tc>
          <w:tcPr>
            <w:tcW w:w="2800" w:type="dxa"/>
            <w:tcBorders>
              <w:top w:val="single" w:sz="1" w:space="0" w:color="B0BEC5"/>
              <w:left w:val="single" w:sz="1" w:space="0" w:color="B0BEC5"/>
              <w:bottom w:val="single" w:sz="1" w:space="0" w:color="B0BEC5"/>
              <w:right w:val="single" w:sz="1" w:space="0" w:color="B0BEC5"/>
            </w:tcBorders>
            <w:shd w:val="clear" w:color="auto" w:fill="E8ECF4"/>
            <w:tcMar>
              <w:top w:w="60" w:type="dxa"/>
              <w:left w:w="100" w:type="dxa"/>
              <w:bottom w:w="60" w:type="dxa"/>
              <w:right w:w="100" w:type="dxa"/>
            </w:tcMar>
            <w:vAlign w:val="center"/>
          </w:tcPr>
          <w:p w14:paraId="3F94A56C" w14:textId="77777777" w:rsidR="00F8115A" w:rsidRPr="00DE420F" w:rsidRDefault="00000000">
            <w:pPr>
              <w:spacing w:after="40" w:line="260" w:lineRule="auto"/>
              <w:rPr>
                <w:rFonts w:ascii="Times New Roman" w:hAnsi="Times New Roman" w:cs="Times New Roman"/>
              </w:rPr>
            </w:pPr>
            <w:r w:rsidRPr="00DE420F">
              <w:rPr>
                <w:rFonts w:ascii="Times New Roman" w:eastAsia="Calibri" w:hAnsi="Times New Roman" w:cs="Times New Roman"/>
                <w:b/>
                <w:bCs/>
                <w:color w:val="2C3E6B"/>
                <w:sz w:val="19"/>
                <w:szCs w:val="19"/>
              </w:rPr>
              <w:t>Test</w:t>
            </w:r>
          </w:p>
        </w:tc>
        <w:tc>
          <w:tcPr>
            <w:tcW w:w="3800" w:type="dxa"/>
            <w:tcBorders>
              <w:top w:val="single" w:sz="1" w:space="0" w:color="B0BEC5"/>
              <w:left w:val="single" w:sz="1" w:space="0" w:color="B0BEC5"/>
              <w:bottom w:val="single" w:sz="1" w:space="0" w:color="B0BEC5"/>
              <w:right w:val="single" w:sz="1" w:space="0" w:color="B0BEC5"/>
            </w:tcBorders>
            <w:shd w:val="clear" w:color="auto" w:fill="E8ECF4"/>
            <w:tcMar>
              <w:top w:w="60" w:type="dxa"/>
              <w:left w:w="100" w:type="dxa"/>
              <w:bottom w:w="60" w:type="dxa"/>
              <w:right w:w="100" w:type="dxa"/>
            </w:tcMar>
            <w:vAlign w:val="center"/>
          </w:tcPr>
          <w:p w14:paraId="449AF248" w14:textId="77777777" w:rsidR="00F8115A" w:rsidRPr="00DE420F" w:rsidRDefault="00000000">
            <w:pPr>
              <w:spacing w:after="40" w:line="260" w:lineRule="auto"/>
              <w:rPr>
                <w:rFonts w:ascii="Times New Roman" w:hAnsi="Times New Roman" w:cs="Times New Roman"/>
              </w:rPr>
            </w:pPr>
            <w:r w:rsidRPr="00DE420F">
              <w:rPr>
                <w:rFonts w:ascii="Times New Roman" w:eastAsia="Calibri" w:hAnsi="Times New Roman" w:cs="Times New Roman"/>
                <w:b/>
                <w:bCs/>
                <w:color w:val="2C3E6B"/>
                <w:sz w:val="19"/>
                <w:szCs w:val="19"/>
              </w:rPr>
              <w:t>Result</w:t>
            </w:r>
          </w:p>
        </w:tc>
        <w:tc>
          <w:tcPr>
            <w:tcW w:w="2760" w:type="dxa"/>
            <w:tcBorders>
              <w:top w:val="single" w:sz="1" w:space="0" w:color="B0BEC5"/>
              <w:left w:val="single" w:sz="1" w:space="0" w:color="B0BEC5"/>
              <w:bottom w:val="single" w:sz="1" w:space="0" w:color="B0BEC5"/>
              <w:right w:val="single" w:sz="1" w:space="0" w:color="B0BEC5"/>
            </w:tcBorders>
            <w:shd w:val="clear" w:color="auto" w:fill="E8ECF4"/>
            <w:tcMar>
              <w:top w:w="60" w:type="dxa"/>
              <w:left w:w="100" w:type="dxa"/>
              <w:bottom w:w="60" w:type="dxa"/>
              <w:right w:w="100" w:type="dxa"/>
            </w:tcMar>
            <w:vAlign w:val="center"/>
          </w:tcPr>
          <w:p w14:paraId="074D8A07" w14:textId="77777777" w:rsidR="00F8115A" w:rsidRPr="00DE420F" w:rsidRDefault="00000000">
            <w:pPr>
              <w:spacing w:after="40" w:line="260" w:lineRule="auto"/>
              <w:rPr>
                <w:rFonts w:ascii="Times New Roman" w:hAnsi="Times New Roman" w:cs="Times New Roman"/>
              </w:rPr>
            </w:pPr>
            <w:r w:rsidRPr="00DE420F">
              <w:rPr>
                <w:rFonts w:ascii="Times New Roman" w:eastAsia="Calibri" w:hAnsi="Times New Roman" w:cs="Times New Roman"/>
                <w:b/>
                <w:bCs/>
                <w:color w:val="2C3E6B"/>
                <w:sz w:val="19"/>
                <w:szCs w:val="19"/>
              </w:rPr>
              <w:t>p-value</w:t>
            </w:r>
          </w:p>
        </w:tc>
      </w:tr>
      <w:tr w:rsidR="00F8115A" w:rsidRPr="00DE420F" w14:paraId="5998B3E8" w14:textId="77777777">
        <w:tblPrEx>
          <w:tblCellMar>
            <w:top w:w="0" w:type="dxa"/>
            <w:bottom w:w="0" w:type="dxa"/>
          </w:tblCellMar>
        </w:tblPrEx>
        <w:trPr>
          <w:cantSplit/>
        </w:trPr>
        <w:tc>
          <w:tcPr>
            <w:tcW w:w="2800" w:type="dxa"/>
            <w:tcBorders>
              <w:top w:val="single" w:sz="1" w:space="0" w:color="B0BEC5"/>
              <w:left w:val="single" w:sz="1" w:space="0" w:color="B0BEC5"/>
              <w:bottom w:val="single" w:sz="1" w:space="0" w:color="B0BEC5"/>
              <w:right w:val="single" w:sz="1" w:space="0" w:color="B0BEC5"/>
            </w:tcBorders>
            <w:tcMar>
              <w:top w:w="60" w:type="dxa"/>
              <w:left w:w="100" w:type="dxa"/>
              <w:bottom w:w="60" w:type="dxa"/>
              <w:right w:w="100" w:type="dxa"/>
            </w:tcMar>
            <w:vAlign w:val="center"/>
          </w:tcPr>
          <w:p w14:paraId="6B3B60E2" w14:textId="77777777" w:rsidR="00F8115A" w:rsidRPr="00DE420F" w:rsidRDefault="00000000">
            <w:pPr>
              <w:spacing w:after="40" w:line="260" w:lineRule="auto"/>
              <w:rPr>
                <w:rFonts w:ascii="Times New Roman" w:hAnsi="Times New Roman" w:cs="Times New Roman"/>
              </w:rPr>
            </w:pPr>
            <w:r w:rsidRPr="00DE420F">
              <w:rPr>
                <w:rFonts w:ascii="Times New Roman" w:eastAsia="Calibri" w:hAnsi="Times New Roman" w:cs="Times New Roman"/>
                <w:sz w:val="19"/>
                <w:szCs w:val="19"/>
              </w:rPr>
              <w:t>Wilcoxon (CR/PR vs SD/PD)</w:t>
            </w:r>
          </w:p>
        </w:tc>
        <w:tc>
          <w:tcPr>
            <w:tcW w:w="3800" w:type="dxa"/>
            <w:tcBorders>
              <w:top w:val="single" w:sz="1" w:space="0" w:color="B0BEC5"/>
              <w:left w:val="single" w:sz="1" w:space="0" w:color="B0BEC5"/>
              <w:bottom w:val="single" w:sz="1" w:space="0" w:color="B0BEC5"/>
              <w:right w:val="single" w:sz="1" w:space="0" w:color="B0BEC5"/>
            </w:tcBorders>
            <w:tcMar>
              <w:top w:w="60" w:type="dxa"/>
              <w:left w:w="100" w:type="dxa"/>
              <w:bottom w:w="60" w:type="dxa"/>
              <w:right w:w="100" w:type="dxa"/>
            </w:tcMar>
            <w:vAlign w:val="center"/>
          </w:tcPr>
          <w:p w14:paraId="60009ED5" w14:textId="77777777" w:rsidR="00F8115A" w:rsidRPr="00DE420F" w:rsidRDefault="00000000">
            <w:pPr>
              <w:spacing w:after="40" w:line="260" w:lineRule="auto"/>
              <w:jc w:val="center"/>
              <w:rPr>
                <w:rFonts w:ascii="Times New Roman" w:hAnsi="Times New Roman" w:cs="Times New Roman"/>
              </w:rPr>
            </w:pPr>
            <w:r w:rsidRPr="00DE420F">
              <w:rPr>
                <w:rFonts w:ascii="Times New Roman" w:eastAsia="Calibri" w:hAnsi="Times New Roman" w:cs="Times New Roman"/>
                <w:sz w:val="19"/>
                <w:szCs w:val="19"/>
              </w:rPr>
              <w:t>—</w:t>
            </w:r>
          </w:p>
        </w:tc>
        <w:tc>
          <w:tcPr>
            <w:tcW w:w="2760" w:type="dxa"/>
            <w:tcBorders>
              <w:top w:val="single" w:sz="1" w:space="0" w:color="B0BEC5"/>
              <w:left w:val="single" w:sz="1" w:space="0" w:color="B0BEC5"/>
              <w:bottom w:val="single" w:sz="1" w:space="0" w:color="B0BEC5"/>
              <w:right w:val="single" w:sz="1" w:space="0" w:color="B0BEC5"/>
            </w:tcBorders>
            <w:tcMar>
              <w:top w:w="60" w:type="dxa"/>
              <w:left w:w="100" w:type="dxa"/>
              <w:bottom w:w="60" w:type="dxa"/>
              <w:right w:w="100" w:type="dxa"/>
            </w:tcMar>
            <w:vAlign w:val="center"/>
          </w:tcPr>
          <w:p w14:paraId="12DA3E67" w14:textId="77777777" w:rsidR="00F8115A" w:rsidRPr="00DE420F" w:rsidRDefault="00000000">
            <w:pPr>
              <w:spacing w:after="40" w:line="260" w:lineRule="auto"/>
              <w:jc w:val="center"/>
              <w:rPr>
                <w:rFonts w:ascii="Times New Roman" w:hAnsi="Times New Roman" w:cs="Times New Roman"/>
              </w:rPr>
            </w:pPr>
            <w:r w:rsidRPr="00DE420F">
              <w:rPr>
                <w:rFonts w:ascii="Times New Roman" w:eastAsia="Calibri" w:hAnsi="Times New Roman" w:cs="Times New Roman"/>
                <w:sz w:val="19"/>
                <w:szCs w:val="19"/>
              </w:rPr>
              <w:t>0.965</w:t>
            </w:r>
          </w:p>
        </w:tc>
      </w:tr>
      <w:tr w:rsidR="00F8115A" w:rsidRPr="00DE420F" w14:paraId="0765FFE7" w14:textId="77777777">
        <w:tblPrEx>
          <w:tblCellMar>
            <w:top w:w="0" w:type="dxa"/>
            <w:bottom w:w="0" w:type="dxa"/>
          </w:tblCellMar>
        </w:tblPrEx>
        <w:trPr>
          <w:cantSplit/>
        </w:trPr>
        <w:tc>
          <w:tcPr>
            <w:tcW w:w="2800" w:type="dxa"/>
            <w:tcBorders>
              <w:top w:val="single" w:sz="1" w:space="0" w:color="B0BEC5"/>
              <w:left w:val="single" w:sz="1" w:space="0" w:color="B0BEC5"/>
              <w:bottom w:val="single" w:sz="1" w:space="0" w:color="B0BEC5"/>
              <w:right w:val="single" w:sz="1" w:space="0" w:color="B0BEC5"/>
            </w:tcBorders>
            <w:shd w:val="clear" w:color="auto" w:fill="F5F7FA"/>
            <w:tcMar>
              <w:top w:w="60" w:type="dxa"/>
              <w:left w:w="100" w:type="dxa"/>
              <w:bottom w:w="60" w:type="dxa"/>
              <w:right w:w="100" w:type="dxa"/>
            </w:tcMar>
            <w:vAlign w:val="center"/>
          </w:tcPr>
          <w:p w14:paraId="523AB7DA" w14:textId="77777777" w:rsidR="00F8115A" w:rsidRPr="00DE420F" w:rsidRDefault="00000000">
            <w:pPr>
              <w:spacing w:after="40" w:line="260" w:lineRule="auto"/>
              <w:rPr>
                <w:rFonts w:ascii="Times New Roman" w:hAnsi="Times New Roman" w:cs="Times New Roman"/>
              </w:rPr>
            </w:pPr>
            <w:r w:rsidRPr="00DE420F">
              <w:rPr>
                <w:rFonts w:ascii="Times New Roman" w:eastAsia="Calibri" w:hAnsi="Times New Roman" w:cs="Times New Roman"/>
                <w:sz w:val="19"/>
                <w:szCs w:val="19"/>
              </w:rPr>
              <w:t>Logistic regression</w:t>
            </w:r>
          </w:p>
        </w:tc>
        <w:tc>
          <w:tcPr>
            <w:tcW w:w="3800" w:type="dxa"/>
            <w:tcBorders>
              <w:top w:val="single" w:sz="1" w:space="0" w:color="B0BEC5"/>
              <w:left w:val="single" w:sz="1" w:space="0" w:color="B0BEC5"/>
              <w:bottom w:val="single" w:sz="1" w:space="0" w:color="B0BEC5"/>
              <w:right w:val="single" w:sz="1" w:space="0" w:color="B0BEC5"/>
            </w:tcBorders>
            <w:shd w:val="clear" w:color="auto" w:fill="F5F7FA"/>
            <w:tcMar>
              <w:top w:w="60" w:type="dxa"/>
              <w:left w:w="100" w:type="dxa"/>
              <w:bottom w:w="60" w:type="dxa"/>
              <w:right w:w="100" w:type="dxa"/>
            </w:tcMar>
            <w:vAlign w:val="center"/>
          </w:tcPr>
          <w:p w14:paraId="31AC079A" w14:textId="77777777" w:rsidR="00F8115A" w:rsidRPr="00DE420F" w:rsidRDefault="00000000">
            <w:pPr>
              <w:spacing w:after="40" w:line="260" w:lineRule="auto"/>
              <w:jc w:val="center"/>
              <w:rPr>
                <w:rFonts w:ascii="Times New Roman" w:hAnsi="Times New Roman" w:cs="Times New Roman"/>
              </w:rPr>
            </w:pPr>
            <w:r w:rsidRPr="00DE420F">
              <w:rPr>
                <w:rFonts w:ascii="Times New Roman" w:eastAsia="Calibri" w:hAnsi="Times New Roman" w:cs="Times New Roman"/>
                <w:sz w:val="19"/>
                <w:szCs w:val="19"/>
              </w:rPr>
              <w:t>OR = 1.038</w:t>
            </w:r>
          </w:p>
        </w:tc>
        <w:tc>
          <w:tcPr>
            <w:tcW w:w="2760" w:type="dxa"/>
            <w:tcBorders>
              <w:top w:val="single" w:sz="1" w:space="0" w:color="B0BEC5"/>
              <w:left w:val="single" w:sz="1" w:space="0" w:color="B0BEC5"/>
              <w:bottom w:val="single" w:sz="1" w:space="0" w:color="B0BEC5"/>
              <w:right w:val="single" w:sz="1" w:space="0" w:color="B0BEC5"/>
            </w:tcBorders>
            <w:shd w:val="clear" w:color="auto" w:fill="F5F7FA"/>
            <w:tcMar>
              <w:top w:w="60" w:type="dxa"/>
              <w:left w:w="100" w:type="dxa"/>
              <w:bottom w:w="60" w:type="dxa"/>
              <w:right w:w="100" w:type="dxa"/>
            </w:tcMar>
            <w:vAlign w:val="center"/>
          </w:tcPr>
          <w:p w14:paraId="2FAC7DE1" w14:textId="77777777" w:rsidR="00F8115A" w:rsidRPr="00DE420F" w:rsidRDefault="00000000">
            <w:pPr>
              <w:spacing w:after="40" w:line="260" w:lineRule="auto"/>
              <w:jc w:val="center"/>
              <w:rPr>
                <w:rFonts w:ascii="Times New Roman" w:hAnsi="Times New Roman" w:cs="Times New Roman"/>
              </w:rPr>
            </w:pPr>
            <w:r w:rsidRPr="00DE420F">
              <w:rPr>
                <w:rFonts w:ascii="Times New Roman" w:eastAsia="Calibri" w:hAnsi="Times New Roman" w:cs="Times New Roman"/>
                <w:sz w:val="19"/>
                <w:szCs w:val="19"/>
              </w:rPr>
              <w:t>0.868</w:t>
            </w:r>
          </w:p>
        </w:tc>
      </w:tr>
      <w:tr w:rsidR="00F8115A" w:rsidRPr="00DE420F" w14:paraId="058328BB" w14:textId="77777777">
        <w:tblPrEx>
          <w:tblCellMar>
            <w:top w:w="0" w:type="dxa"/>
            <w:bottom w:w="0" w:type="dxa"/>
          </w:tblCellMar>
        </w:tblPrEx>
        <w:trPr>
          <w:cantSplit/>
        </w:trPr>
        <w:tc>
          <w:tcPr>
            <w:tcW w:w="2800" w:type="dxa"/>
            <w:tcBorders>
              <w:top w:val="single" w:sz="1" w:space="0" w:color="B0BEC5"/>
              <w:left w:val="single" w:sz="1" w:space="0" w:color="B0BEC5"/>
              <w:bottom w:val="single" w:sz="1" w:space="0" w:color="B0BEC5"/>
              <w:right w:val="single" w:sz="1" w:space="0" w:color="B0BEC5"/>
            </w:tcBorders>
            <w:tcMar>
              <w:top w:w="60" w:type="dxa"/>
              <w:left w:w="100" w:type="dxa"/>
              <w:bottom w:w="60" w:type="dxa"/>
              <w:right w:w="100" w:type="dxa"/>
            </w:tcMar>
            <w:vAlign w:val="center"/>
          </w:tcPr>
          <w:p w14:paraId="6F16E841" w14:textId="77777777" w:rsidR="00F8115A" w:rsidRPr="00DE420F" w:rsidRDefault="00000000">
            <w:pPr>
              <w:spacing w:after="40" w:line="260" w:lineRule="auto"/>
              <w:rPr>
                <w:rFonts w:ascii="Times New Roman" w:hAnsi="Times New Roman" w:cs="Times New Roman"/>
              </w:rPr>
            </w:pPr>
            <w:r w:rsidRPr="00DE420F">
              <w:rPr>
                <w:rFonts w:ascii="Times New Roman" w:eastAsia="Calibri" w:hAnsi="Times New Roman" w:cs="Times New Roman"/>
                <w:sz w:val="19"/>
                <w:szCs w:val="19"/>
              </w:rPr>
              <w:t>Spearman ρ vs RECIST</w:t>
            </w:r>
          </w:p>
        </w:tc>
        <w:tc>
          <w:tcPr>
            <w:tcW w:w="3800" w:type="dxa"/>
            <w:tcBorders>
              <w:top w:val="single" w:sz="1" w:space="0" w:color="B0BEC5"/>
              <w:left w:val="single" w:sz="1" w:space="0" w:color="B0BEC5"/>
              <w:bottom w:val="single" w:sz="1" w:space="0" w:color="B0BEC5"/>
              <w:right w:val="single" w:sz="1" w:space="0" w:color="B0BEC5"/>
            </w:tcBorders>
            <w:tcMar>
              <w:top w:w="60" w:type="dxa"/>
              <w:left w:w="100" w:type="dxa"/>
              <w:bottom w:w="60" w:type="dxa"/>
              <w:right w:w="100" w:type="dxa"/>
            </w:tcMar>
            <w:vAlign w:val="center"/>
          </w:tcPr>
          <w:p w14:paraId="5CD8ED50" w14:textId="77777777" w:rsidR="00F8115A" w:rsidRPr="00DE420F" w:rsidRDefault="00000000">
            <w:pPr>
              <w:spacing w:after="40" w:line="260" w:lineRule="auto"/>
              <w:jc w:val="center"/>
              <w:rPr>
                <w:rFonts w:ascii="Times New Roman" w:hAnsi="Times New Roman" w:cs="Times New Roman"/>
              </w:rPr>
            </w:pPr>
            <w:r w:rsidRPr="00DE420F">
              <w:rPr>
                <w:rFonts w:ascii="Times New Roman" w:eastAsia="Calibri" w:hAnsi="Times New Roman" w:cs="Times New Roman"/>
                <w:sz w:val="19"/>
                <w:szCs w:val="19"/>
              </w:rPr>
              <w:t>ρ = −0.017</w:t>
            </w:r>
          </w:p>
        </w:tc>
        <w:tc>
          <w:tcPr>
            <w:tcW w:w="2760" w:type="dxa"/>
            <w:tcBorders>
              <w:top w:val="single" w:sz="1" w:space="0" w:color="B0BEC5"/>
              <w:left w:val="single" w:sz="1" w:space="0" w:color="B0BEC5"/>
              <w:bottom w:val="single" w:sz="1" w:space="0" w:color="B0BEC5"/>
              <w:right w:val="single" w:sz="1" w:space="0" w:color="B0BEC5"/>
            </w:tcBorders>
            <w:tcMar>
              <w:top w:w="60" w:type="dxa"/>
              <w:left w:w="100" w:type="dxa"/>
              <w:bottom w:w="60" w:type="dxa"/>
              <w:right w:w="100" w:type="dxa"/>
            </w:tcMar>
            <w:vAlign w:val="center"/>
          </w:tcPr>
          <w:p w14:paraId="0914FEE4" w14:textId="77777777" w:rsidR="00F8115A" w:rsidRPr="00DE420F" w:rsidRDefault="00000000">
            <w:pPr>
              <w:spacing w:after="40" w:line="260" w:lineRule="auto"/>
              <w:jc w:val="center"/>
              <w:rPr>
                <w:rFonts w:ascii="Times New Roman" w:hAnsi="Times New Roman" w:cs="Times New Roman"/>
              </w:rPr>
            </w:pPr>
            <w:r w:rsidRPr="00DE420F">
              <w:rPr>
                <w:rFonts w:ascii="Times New Roman" w:eastAsia="Calibri" w:hAnsi="Times New Roman" w:cs="Times New Roman"/>
                <w:sz w:val="19"/>
                <w:szCs w:val="19"/>
              </w:rPr>
              <w:t>0.767</w:t>
            </w:r>
          </w:p>
        </w:tc>
      </w:tr>
      <w:tr w:rsidR="00F8115A" w:rsidRPr="00DE420F" w14:paraId="6BD1F726" w14:textId="77777777">
        <w:tblPrEx>
          <w:tblCellMar>
            <w:top w:w="0" w:type="dxa"/>
            <w:bottom w:w="0" w:type="dxa"/>
          </w:tblCellMar>
        </w:tblPrEx>
        <w:trPr>
          <w:cantSplit/>
        </w:trPr>
        <w:tc>
          <w:tcPr>
            <w:tcW w:w="2800" w:type="dxa"/>
            <w:tcBorders>
              <w:top w:val="single" w:sz="1" w:space="0" w:color="B0BEC5"/>
              <w:left w:val="single" w:sz="1" w:space="0" w:color="B0BEC5"/>
              <w:bottom w:val="single" w:sz="1" w:space="0" w:color="B0BEC5"/>
              <w:right w:val="single" w:sz="1" w:space="0" w:color="B0BEC5"/>
            </w:tcBorders>
            <w:shd w:val="clear" w:color="auto" w:fill="F5F7FA"/>
            <w:tcMar>
              <w:top w:w="60" w:type="dxa"/>
              <w:left w:w="100" w:type="dxa"/>
              <w:bottom w:w="60" w:type="dxa"/>
              <w:right w:w="100" w:type="dxa"/>
            </w:tcMar>
            <w:vAlign w:val="center"/>
          </w:tcPr>
          <w:p w14:paraId="13BE2E61" w14:textId="77777777" w:rsidR="00F8115A" w:rsidRPr="00DE420F" w:rsidRDefault="00000000">
            <w:pPr>
              <w:spacing w:after="40" w:line="260" w:lineRule="auto"/>
              <w:rPr>
                <w:rFonts w:ascii="Times New Roman" w:hAnsi="Times New Roman" w:cs="Times New Roman"/>
              </w:rPr>
            </w:pPr>
            <w:r w:rsidRPr="00DE420F">
              <w:rPr>
                <w:rFonts w:ascii="Times New Roman" w:eastAsia="Calibri" w:hAnsi="Times New Roman" w:cs="Times New Roman"/>
                <w:sz w:val="19"/>
                <w:szCs w:val="19"/>
              </w:rPr>
              <w:t>Kruskal–Wallis by tertile</w:t>
            </w:r>
          </w:p>
        </w:tc>
        <w:tc>
          <w:tcPr>
            <w:tcW w:w="3800" w:type="dxa"/>
            <w:tcBorders>
              <w:top w:val="single" w:sz="1" w:space="0" w:color="B0BEC5"/>
              <w:left w:val="single" w:sz="1" w:space="0" w:color="B0BEC5"/>
              <w:bottom w:val="single" w:sz="1" w:space="0" w:color="B0BEC5"/>
              <w:right w:val="single" w:sz="1" w:space="0" w:color="B0BEC5"/>
            </w:tcBorders>
            <w:shd w:val="clear" w:color="auto" w:fill="F5F7FA"/>
            <w:tcMar>
              <w:top w:w="60" w:type="dxa"/>
              <w:left w:w="100" w:type="dxa"/>
              <w:bottom w:w="60" w:type="dxa"/>
              <w:right w:w="100" w:type="dxa"/>
            </w:tcMar>
            <w:vAlign w:val="center"/>
          </w:tcPr>
          <w:p w14:paraId="02060BAB" w14:textId="77777777" w:rsidR="00F8115A" w:rsidRPr="00DE420F" w:rsidRDefault="00000000">
            <w:pPr>
              <w:spacing w:after="40" w:line="260" w:lineRule="auto"/>
              <w:jc w:val="center"/>
              <w:rPr>
                <w:rFonts w:ascii="Times New Roman" w:hAnsi="Times New Roman" w:cs="Times New Roman"/>
              </w:rPr>
            </w:pPr>
            <w:r w:rsidRPr="00DE420F">
              <w:rPr>
                <w:rFonts w:ascii="Times New Roman" w:eastAsia="Calibri" w:hAnsi="Times New Roman" w:cs="Times New Roman"/>
                <w:sz w:val="19"/>
                <w:szCs w:val="19"/>
              </w:rPr>
              <w:t>—</w:t>
            </w:r>
          </w:p>
        </w:tc>
        <w:tc>
          <w:tcPr>
            <w:tcW w:w="2760" w:type="dxa"/>
            <w:tcBorders>
              <w:top w:val="single" w:sz="1" w:space="0" w:color="B0BEC5"/>
              <w:left w:val="single" w:sz="1" w:space="0" w:color="B0BEC5"/>
              <w:bottom w:val="single" w:sz="1" w:space="0" w:color="B0BEC5"/>
              <w:right w:val="single" w:sz="1" w:space="0" w:color="B0BEC5"/>
            </w:tcBorders>
            <w:shd w:val="clear" w:color="auto" w:fill="F5F7FA"/>
            <w:tcMar>
              <w:top w:w="60" w:type="dxa"/>
              <w:left w:w="100" w:type="dxa"/>
              <w:bottom w:w="60" w:type="dxa"/>
              <w:right w:w="100" w:type="dxa"/>
            </w:tcMar>
            <w:vAlign w:val="center"/>
          </w:tcPr>
          <w:p w14:paraId="3CFA5D16" w14:textId="77777777" w:rsidR="00F8115A" w:rsidRPr="00DE420F" w:rsidRDefault="00000000">
            <w:pPr>
              <w:spacing w:after="40" w:line="260" w:lineRule="auto"/>
              <w:jc w:val="center"/>
              <w:rPr>
                <w:rFonts w:ascii="Times New Roman" w:hAnsi="Times New Roman" w:cs="Times New Roman"/>
              </w:rPr>
            </w:pPr>
            <w:r w:rsidRPr="00DE420F">
              <w:rPr>
                <w:rFonts w:ascii="Times New Roman" w:eastAsia="Calibri" w:hAnsi="Times New Roman" w:cs="Times New Roman"/>
                <w:sz w:val="19"/>
                <w:szCs w:val="19"/>
              </w:rPr>
              <w:t>0.559</w:t>
            </w:r>
          </w:p>
        </w:tc>
      </w:tr>
      <w:tr w:rsidR="00F8115A" w:rsidRPr="00DE420F" w14:paraId="2F346DAC" w14:textId="77777777">
        <w:tblPrEx>
          <w:tblCellMar>
            <w:top w:w="0" w:type="dxa"/>
            <w:bottom w:w="0" w:type="dxa"/>
          </w:tblCellMar>
        </w:tblPrEx>
        <w:trPr>
          <w:cantSplit/>
        </w:trPr>
        <w:tc>
          <w:tcPr>
            <w:tcW w:w="2800" w:type="dxa"/>
            <w:tcBorders>
              <w:top w:val="single" w:sz="1" w:space="0" w:color="B0BEC5"/>
              <w:left w:val="single" w:sz="1" w:space="0" w:color="B0BEC5"/>
              <w:bottom w:val="single" w:sz="1" w:space="0" w:color="B0BEC5"/>
              <w:right w:val="single" w:sz="1" w:space="0" w:color="B0BEC5"/>
            </w:tcBorders>
            <w:tcMar>
              <w:top w:w="60" w:type="dxa"/>
              <w:left w:w="100" w:type="dxa"/>
              <w:bottom w:w="60" w:type="dxa"/>
              <w:right w:w="100" w:type="dxa"/>
            </w:tcMar>
            <w:vAlign w:val="center"/>
          </w:tcPr>
          <w:p w14:paraId="71035BB2" w14:textId="77777777" w:rsidR="00F8115A" w:rsidRPr="00DE420F" w:rsidRDefault="00000000">
            <w:pPr>
              <w:spacing w:after="40" w:line="260" w:lineRule="auto"/>
              <w:rPr>
                <w:rFonts w:ascii="Times New Roman" w:hAnsi="Times New Roman" w:cs="Times New Roman"/>
              </w:rPr>
            </w:pPr>
            <w:r w:rsidRPr="00DE420F">
              <w:rPr>
                <w:rFonts w:ascii="Times New Roman" w:eastAsia="Calibri" w:hAnsi="Times New Roman" w:cs="Times New Roman"/>
                <w:sz w:val="19"/>
                <w:szCs w:val="19"/>
              </w:rPr>
              <w:t>Cox PH (continuous)</w:t>
            </w:r>
          </w:p>
        </w:tc>
        <w:tc>
          <w:tcPr>
            <w:tcW w:w="3800" w:type="dxa"/>
            <w:tcBorders>
              <w:top w:val="single" w:sz="1" w:space="0" w:color="B0BEC5"/>
              <w:left w:val="single" w:sz="1" w:space="0" w:color="B0BEC5"/>
              <w:bottom w:val="single" w:sz="1" w:space="0" w:color="B0BEC5"/>
              <w:right w:val="single" w:sz="1" w:space="0" w:color="B0BEC5"/>
            </w:tcBorders>
            <w:tcMar>
              <w:top w:w="60" w:type="dxa"/>
              <w:left w:w="100" w:type="dxa"/>
              <w:bottom w:w="60" w:type="dxa"/>
              <w:right w:w="100" w:type="dxa"/>
            </w:tcMar>
            <w:vAlign w:val="center"/>
          </w:tcPr>
          <w:p w14:paraId="28E1B546" w14:textId="77777777" w:rsidR="00F8115A" w:rsidRPr="00DE420F" w:rsidRDefault="00000000">
            <w:pPr>
              <w:spacing w:after="40" w:line="260" w:lineRule="auto"/>
              <w:jc w:val="center"/>
              <w:rPr>
                <w:rFonts w:ascii="Times New Roman" w:hAnsi="Times New Roman" w:cs="Times New Roman"/>
              </w:rPr>
            </w:pPr>
            <w:r w:rsidRPr="00DE420F">
              <w:rPr>
                <w:rFonts w:ascii="Times New Roman" w:eastAsia="Calibri" w:hAnsi="Times New Roman" w:cs="Times New Roman"/>
                <w:sz w:val="19"/>
                <w:szCs w:val="19"/>
              </w:rPr>
              <w:t>HR = 0.898 (95% CI: 0.678–1.190)</w:t>
            </w:r>
          </w:p>
        </w:tc>
        <w:tc>
          <w:tcPr>
            <w:tcW w:w="2760" w:type="dxa"/>
            <w:tcBorders>
              <w:top w:val="single" w:sz="1" w:space="0" w:color="B0BEC5"/>
              <w:left w:val="single" w:sz="1" w:space="0" w:color="B0BEC5"/>
              <w:bottom w:val="single" w:sz="1" w:space="0" w:color="B0BEC5"/>
              <w:right w:val="single" w:sz="1" w:space="0" w:color="B0BEC5"/>
            </w:tcBorders>
            <w:tcMar>
              <w:top w:w="60" w:type="dxa"/>
              <w:left w:w="100" w:type="dxa"/>
              <w:bottom w:w="60" w:type="dxa"/>
              <w:right w:w="100" w:type="dxa"/>
            </w:tcMar>
            <w:vAlign w:val="center"/>
          </w:tcPr>
          <w:p w14:paraId="75F410C6" w14:textId="77777777" w:rsidR="00F8115A" w:rsidRPr="00DE420F" w:rsidRDefault="00000000">
            <w:pPr>
              <w:spacing w:after="40" w:line="260" w:lineRule="auto"/>
              <w:jc w:val="center"/>
              <w:rPr>
                <w:rFonts w:ascii="Times New Roman" w:hAnsi="Times New Roman" w:cs="Times New Roman"/>
              </w:rPr>
            </w:pPr>
            <w:r w:rsidRPr="00DE420F">
              <w:rPr>
                <w:rFonts w:ascii="Times New Roman" w:eastAsia="Calibri" w:hAnsi="Times New Roman" w:cs="Times New Roman"/>
                <w:sz w:val="19"/>
                <w:szCs w:val="19"/>
              </w:rPr>
              <w:t>0.455</w:t>
            </w:r>
          </w:p>
        </w:tc>
      </w:tr>
      <w:tr w:rsidR="00F8115A" w:rsidRPr="00DE420F" w14:paraId="0E1CF63E" w14:textId="77777777">
        <w:tblPrEx>
          <w:tblCellMar>
            <w:top w:w="0" w:type="dxa"/>
            <w:bottom w:w="0" w:type="dxa"/>
          </w:tblCellMar>
        </w:tblPrEx>
        <w:trPr>
          <w:cantSplit/>
        </w:trPr>
        <w:tc>
          <w:tcPr>
            <w:tcW w:w="2800" w:type="dxa"/>
            <w:tcBorders>
              <w:top w:val="single" w:sz="1" w:space="0" w:color="B0BEC5"/>
              <w:left w:val="single" w:sz="1" w:space="0" w:color="B0BEC5"/>
              <w:bottom w:val="single" w:sz="1" w:space="0" w:color="B0BEC5"/>
              <w:right w:val="single" w:sz="1" w:space="0" w:color="B0BEC5"/>
            </w:tcBorders>
            <w:shd w:val="clear" w:color="auto" w:fill="F5F7FA"/>
            <w:tcMar>
              <w:top w:w="60" w:type="dxa"/>
              <w:left w:w="100" w:type="dxa"/>
              <w:bottom w:w="60" w:type="dxa"/>
              <w:right w:w="100" w:type="dxa"/>
            </w:tcMar>
            <w:vAlign w:val="center"/>
          </w:tcPr>
          <w:p w14:paraId="09602EFD" w14:textId="77777777" w:rsidR="00F8115A" w:rsidRPr="00DE420F" w:rsidRDefault="00000000">
            <w:pPr>
              <w:spacing w:after="40" w:line="260" w:lineRule="auto"/>
              <w:rPr>
                <w:rFonts w:ascii="Times New Roman" w:hAnsi="Times New Roman" w:cs="Times New Roman"/>
              </w:rPr>
            </w:pPr>
            <w:r w:rsidRPr="00DE420F">
              <w:rPr>
                <w:rFonts w:ascii="Times New Roman" w:eastAsia="Calibri" w:hAnsi="Times New Roman" w:cs="Times New Roman"/>
                <w:sz w:val="19"/>
                <w:szCs w:val="19"/>
              </w:rPr>
              <w:t>Log-rank (high vs low)</w:t>
            </w:r>
          </w:p>
        </w:tc>
        <w:tc>
          <w:tcPr>
            <w:tcW w:w="3800" w:type="dxa"/>
            <w:tcBorders>
              <w:top w:val="single" w:sz="1" w:space="0" w:color="B0BEC5"/>
              <w:left w:val="single" w:sz="1" w:space="0" w:color="B0BEC5"/>
              <w:bottom w:val="single" w:sz="1" w:space="0" w:color="B0BEC5"/>
              <w:right w:val="single" w:sz="1" w:space="0" w:color="B0BEC5"/>
            </w:tcBorders>
            <w:shd w:val="clear" w:color="auto" w:fill="F5F7FA"/>
            <w:tcMar>
              <w:top w:w="60" w:type="dxa"/>
              <w:left w:w="100" w:type="dxa"/>
              <w:bottom w:w="60" w:type="dxa"/>
              <w:right w:w="100" w:type="dxa"/>
            </w:tcMar>
            <w:vAlign w:val="center"/>
          </w:tcPr>
          <w:p w14:paraId="49F748AC" w14:textId="77777777" w:rsidR="00F8115A" w:rsidRPr="00DE420F" w:rsidRDefault="00000000">
            <w:pPr>
              <w:spacing w:after="40" w:line="260" w:lineRule="auto"/>
              <w:jc w:val="center"/>
              <w:rPr>
                <w:rFonts w:ascii="Times New Roman" w:hAnsi="Times New Roman" w:cs="Times New Roman"/>
              </w:rPr>
            </w:pPr>
            <w:r w:rsidRPr="00DE420F">
              <w:rPr>
                <w:rFonts w:ascii="Times New Roman" w:eastAsia="Calibri" w:hAnsi="Times New Roman" w:cs="Times New Roman"/>
                <w:sz w:val="19"/>
                <w:szCs w:val="19"/>
              </w:rPr>
              <w:t>—</w:t>
            </w:r>
          </w:p>
        </w:tc>
        <w:tc>
          <w:tcPr>
            <w:tcW w:w="2760" w:type="dxa"/>
            <w:tcBorders>
              <w:top w:val="single" w:sz="1" w:space="0" w:color="B0BEC5"/>
              <w:left w:val="single" w:sz="1" w:space="0" w:color="B0BEC5"/>
              <w:bottom w:val="single" w:sz="1" w:space="0" w:color="B0BEC5"/>
              <w:right w:val="single" w:sz="1" w:space="0" w:color="B0BEC5"/>
            </w:tcBorders>
            <w:shd w:val="clear" w:color="auto" w:fill="F5F7FA"/>
            <w:tcMar>
              <w:top w:w="60" w:type="dxa"/>
              <w:left w:w="100" w:type="dxa"/>
              <w:bottom w:w="60" w:type="dxa"/>
              <w:right w:w="100" w:type="dxa"/>
            </w:tcMar>
            <w:vAlign w:val="center"/>
          </w:tcPr>
          <w:p w14:paraId="2EABC122" w14:textId="77777777" w:rsidR="00F8115A" w:rsidRPr="00DE420F" w:rsidRDefault="00000000">
            <w:pPr>
              <w:spacing w:after="40" w:line="260" w:lineRule="auto"/>
              <w:jc w:val="center"/>
              <w:rPr>
                <w:rFonts w:ascii="Times New Roman" w:hAnsi="Times New Roman" w:cs="Times New Roman"/>
              </w:rPr>
            </w:pPr>
            <w:r w:rsidRPr="00DE420F">
              <w:rPr>
                <w:rFonts w:ascii="Times New Roman" w:eastAsia="Calibri" w:hAnsi="Times New Roman" w:cs="Times New Roman"/>
                <w:sz w:val="19"/>
                <w:szCs w:val="19"/>
              </w:rPr>
              <w:t>0.587</w:t>
            </w:r>
          </w:p>
        </w:tc>
      </w:tr>
      <w:tr w:rsidR="00F8115A" w:rsidRPr="00DE420F" w14:paraId="4E9246D3" w14:textId="77777777">
        <w:tblPrEx>
          <w:tblCellMar>
            <w:top w:w="0" w:type="dxa"/>
            <w:bottom w:w="0" w:type="dxa"/>
          </w:tblCellMar>
        </w:tblPrEx>
        <w:trPr>
          <w:cantSplit/>
        </w:trPr>
        <w:tc>
          <w:tcPr>
            <w:tcW w:w="2800" w:type="dxa"/>
            <w:tcBorders>
              <w:top w:val="single" w:sz="1" w:space="0" w:color="B0BEC5"/>
              <w:left w:val="single" w:sz="1" w:space="0" w:color="B0BEC5"/>
              <w:bottom w:val="single" w:sz="1" w:space="0" w:color="B0BEC5"/>
              <w:right w:val="single" w:sz="1" w:space="0" w:color="B0BEC5"/>
            </w:tcBorders>
            <w:tcMar>
              <w:top w:w="60" w:type="dxa"/>
              <w:left w:w="100" w:type="dxa"/>
              <w:bottom w:w="60" w:type="dxa"/>
              <w:right w:w="100" w:type="dxa"/>
            </w:tcMar>
            <w:vAlign w:val="center"/>
          </w:tcPr>
          <w:p w14:paraId="081F678B" w14:textId="77777777" w:rsidR="00F8115A" w:rsidRPr="00DE420F" w:rsidRDefault="00000000">
            <w:pPr>
              <w:spacing w:after="40" w:line="260" w:lineRule="auto"/>
              <w:rPr>
                <w:rFonts w:ascii="Times New Roman" w:hAnsi="Times New Roman" w:cs="Times New Roman"/>
              </w:rPr>
            </w:pPr>
            <w:r w:rsidRPr="00DE420F">
              <w:rPr>
                <w:rFonts w:ascii="Times New Roman" w:eastAsia="Calibri" w:hAnsi="Times New Roman" w:cs="Times New Roman"/>
                <w:sz w:val="19"/>
                <w:szCs w:val="19"/>
              </w:rPr>
              <w:t xml:space="preserve">Median OS, </w:t>
            </w:r>
            <w:proofErr w:type="spellStart"/>
            <w:r w:rsidRPr="00DE420F">
              <w:rPr>
                <w:rFonts w:ascii="Times New Roman" w:eastAsia="Calibri" w:hAnsi="Times New Roman" w:cs="Times New Roman"/>
                <w:sz w:val="19"/>
                <w:szCs w:val="19"/>
              </w:rPr>
              <w:t>tGJS</w:t>
            </w:r>
            <w:proofErr w:type="spellEnd"/>
            <w:r w:rsidRPr="00DE420F">
              <w:rPr>
                <w:rFonts w:ascii="Times New Roman" w:eastAsia="Calibri" w:hAnsi="Times New Roman" w:cs="Times New Roman"/>
                <w:sz w:val="19"/>
                <w:szCs w:val="19"/>
              </w:rPr>
              <w:t>-High</w:t>
            </w:r>
          </w:p>
        </w:tc>
        <w:tc>
          <w:tcPr>
            <w:tcW w:w="3800" w:type="dxa"/>
            <w:tcBorders>
              <w:top w:val="single" w:sz="1" w:space="0" w:color="B0BEC5"/>
              <w:left w:val="single" w:sz="1" w:space="0" w:color="B0BEC5"/>
              <w:bottom w:val="single" w:sz="1" w:space="0" w:color="B0BEC5"/>
              <w:right w:val="single" w:sz="1" w:space="0" w:color="B0BEC5"/>
            </w:tcBorders>
            <w:tcMar>
              <w:top w:w="60" w:type="dxa"/>
              <w:left w:w="100" w:type="dxa"/>
              <w:bottom w:w="60" w:type="dxa"/>
              <w:right w:w="100" w:type="dxa"/>
            </w:tcMar>
            <w:vAlign w:val="center"/>
          </w:tcPr>
          <w:p w14:paraId="37D3E9C2" w14:textId="77777777" w:rsidR="00F8115A" w:rsidRPr="00DE420F" w:rsidRDefault="00000000">
            <w:pPr>
              <w:spacing w:after="40" w:line="260" w:lineRule="auto"/>
              <w:jc w:val="center"/>
              <w:rPr>
                <w:rFonts w:ascii="Times New Roman" w:hAnsi="Times New Roman" w:cs="Times New Roman"/>
              </w:rPr>
            </w:pPr>
            <w:r w:rsidRPr="00DE420F">
              <w:rPr>
                <w:rFonts w:ascii="Times New Roman" w:eastAsia="Calibri" w:hAnsi="Times New Roman" w:cs="Times New Roman"/>
                <w:sz w:val="19"/>
                <w:szCs w:val="19"/>
              </w:rPr>
              <w:t>20.6 months</w:t>
            </w:r>
          </w:p>
        </w:tc>
        <w:tc>
          <w:tcPr>
            <w:tcW w:w="2760" w:type="dxa"/>
            <w:tcBorders>
              <w:top w:val="single" w:sz="1" w:space="0" w:color="B0BEC5"/>
              <w:left w:val="single" w:sz="1" w:space="0" w:color="B0BEC5"/>
              <w:bottom w:val="single" w:sz="1" w:space="0" w:color="B0BEC5"/>
              <w:right w:val="single" w:sz="1" w:space="0" w:color="B0BEC5"/>
            </w:tcBorders>
            <w:tcMar>
              <w:top w:w="60" w:type="dxa"/>
              <w:left w:w="100" w:type="dxa"/>
              <w:bottom w:w="60" w:type="dxa"/>
              <w:right w:w="100" w:type="dxa"/>
            </w:tcMar>
            <w:vAlign w:val="center"/>
          </w:tcPr>
          <w:p w14:paraId="57BB7C09" w14:textId="77777777" w:rsidR="00F8115A" w:rsidRPr="00DE420F" w:rsidRDefault="00000000">
            <w:pPr>
              <w:spacing w:after="40" w:line="260" w:lineRule="auto"/>
              <w:jc w:val="center"/>
              <w:rPr>
                <w:rFonts w:ascii="Times New Roman" w:hAnsi="Times New Roman" w:cs="Times New Roman"/>
              </w:rPr>
            </w:pPr>
            <w:r w:rsidRPr="00DE420F">
              <w:rPr>
                <w:rFonts w:ascii="Times New Roman" w:eastAsia="Calibri" w:hAnsi="Times New Roman" w:cs="Times New Roman"/>
                <w:sz w:val="19"/>
                <w:szCs w:val="19"/>
              </w:rPr>
              <w:t>—</w:t>
            </w:r>
          </w:p>
        </w:tc>
      </w:tr>
      <w:tr w:rsidR="00F8115A" w:rsidRPr="00DE420F" w14:paraId="5954BFA3" w14:textId="77777777">
        <w:tblPrEx>
          <w:tblCellMar>
            <w:top w:w="0" w:type="dxa"/>
            <w:bottom w:w="0" w:type="dxa"/>
          </w:tblCellMar>
        </w:tblPrEx>
        <w:trPr>
          <w:cantSplit/>
        </w:trPr>
        <w:tc>
          <w:tcPr>
            <w:tcW w:w="2800" w:type="dxa"/>
            <w:tcBorders>
              <w:top w:val="single" w:sz="1" w:space="0" w:color="B0BEC5"/>
              <w:left w:val="single" w:sz="1" w:space="0" w:color="B0BEC5"/>
              <w:bottom w:val="single" w:sz="1" w:space="0" w:color="B0BEC5"/>
              <w:right w:val="single" w:sz="1" w:space="0" w:color="B0BEC5"/>
            </w:tcBorders>
            <w:shd w:val="clear" w:color="auto" w:fill="F5F7FA"/>
            <w:tcMar>
              <w:top w:w="60" w:type="dxa"/>
              <w:left w:w="100" w:type="dxa"/>
              <w:bottom w:w="60" w:type="dxa"/>
              <w:right w:w="100" w:type="dxa"/>
            </w:tcMar>
            <w:vAlign w:val="center"/>
          </w:tcPr>
          <w:p w14:paraId="5CB3F986" w14:textId="77777777" w:rsidR="00F8115A" w:rsidRPr="00DE420F" w:rsidRDefault="00000000">
            <w:pPr>
              <w:spacing w:after="40" w:line="260" w:lineRule="auto"/>
              <w:rPr>
                <w:rFonts w:ascii="Times New Roman" w:hAnsi="Times New Roman" w:cs="Times New Roman"/>
              </w:rPr>
            </w:pPr>
            <w:r w:rsidRPr="00DE420F">
              <w:rPr>
                <w:rFonts w:ascii="Times New Roman" w:eastAsia="Calibri" w:hAnsi="Times New Roman" w:cs="Times New Roman"/>
                <w:sz w:val="19"/>
                <w:szCs w:val="19"/>
              </w:rPr>
              <w:t xml:space="preserve">Median OS, </w:t>
            </w:r>
            <w:proofErr w:type="spellStart"/>
            <w:r w:rsidRPr="00DE420F">
              <w:rPr>
                <w:rFonts w:ascii="Times New Roman" w:eastAsia="Calibri" w:hAnsi="Times New Roman" w:cs="Times New Roman"/>
                <w:sz w:val="19"/>
                <w:szCs w:val="19"/>
              </w:rPr>
              <w:t>tGJS</w:t>
            </w:r>
            <w:proofErr w:type="spellEnd"/>
            <w:r w:rsidRPr="00DE420F">
              <w:rPr>
                <w:rFonts w:ascii="Times New Roman" w:eastAsia="Calibri" w:hAnsi="Times New Roman" w:cs="Times New Roman"/>
                <w:sz w:val="19"/>
                <w:szCs w:val="19"/>
              </w:rPr>
              <w:t>-Low</w:t>
            </w:r>
          </w:p>
        </w:tc>
        <w:tc>
          <w:tcPr>
            <w:tcW w:w="3800" w:type="dxa"/>
            <w:tcBorders>
              <w:top w:val="single" w:sz="1" w:space="0" w:color="B0BEC5"/>
              <w:left w:val="single" w:sz="1" w:space="0" w:color="B0BEC5"/>
              <w:bottom w:val="single" w:sz="1" w:space="0" w:color="B0BEC5"/>
              <w:right w:val="single" w:sz="1" w:space="0" w:color="B0BEC5"/>
            </w:tcBorders>
            <w:shd w:val="clear" w:color="auto" w:fill="F5F7FA"/>
            <w:tcMar>
              <w:top w:w="60" w:type="dxa"/>
              <w:left w:w="100" w:type="dxa"/>
              <w:bottom w:w="60" w:type="dxa"/>
              <w:right w:w="100" w:type="dxa"/>
            </w:tcMar>
            <w:vAlign w:val="center"/>
          </w:tcPr>
          <w:p w14:paraId="7F786098" w14:textId="77777777" w:rsidR="00F8115A" w:rsidRPr="00DE420F" w:rsidRDefault="00000000">
            <w:pPr>
              <w:spacing w:after="40" w:line="260" w:lineRule="auto"/>
              <w:jc w:val="center"/>
              <w:rPr>
                <w:rFonts w:ascii="Times New Roman" w:hAnsi="Times New Roman" w:cs="Times New Roman"/>
              </w:rPr>
            </w:pPr>
            <w:r w:rsidRPr="00DE420F">
              <w:rPr>
                <w:rFonts w:ascii="Times New Roman" w:eastAsia="Calibri" w:hAnsi="Times New Roman" w:cs="Times New Roman"/>
                <w:sz w:val="19"/>
                <w:szCs w:val="19"/>
              </w:rPr>
              <w:t>20.6 months</w:t>
            </w:r>
          </w:p>
        </w:tc>
        <w:tc>
          <w:tcPr>
            <w:tcW w:w="2760" w:type="dxa"/>
            <w:tcBorders>
              <w:top w:val="single" w:sz="1" w:space="0" w:color="B0BEC5"/>
              <w:left w:val="single" w:sz="1" w:space="0" w:color="B0BEC5"/>
              <w:bottom w:val="single" w:sz="1" w:space="0" w:color="B0BEC5"/>
              <w:right w:val="single" w:sz="1" w:space="0" w:color="B0BEC5"/>
            </w:tcBorders>
            <w:shd w:val="clear" w:color="auto" w:fill="F5F7FA"/>
            <w:tcMar>
              <w:top w:w="60" w:type="dxa"/>
              <w:left w:w="100" w:type="dxa"/>
              <w:bottom w:w="60" w:type="dxa"/>
              <w:right w:w="100" w:type="dxa"/>
            </w:tcMar>
            <w:vAlign w:val="center"/>
          </w:tcPr>
          <w:p w14:paraId="481E9C08" w14:textId="77777777" w:rsidR="00F8115A" w:rsidRPr="00DE420F" w:rsidRDefault="00000000">
            <w:pPr>
              <w:spacing w:after="40" w:line="260" w:lineRule="auto"/>
              <w:jc w:val="center"/>
              <w:rPr>
                <w:rFonts w:ascii="Times New Roman" w:hAnsi="Times New Roman" w:cs="Times New Roman"/>
              </w:rPr>
            </w:pPr>
            <w:r w:rsidRPr="00DE420F">
              <w:rPr>
                <w:rFonts w:ascii="Times New Roman" w:eastAsia="Calibri" w:hAnsi="Times New Roman" w:cs="Times New Roman"/>
                <w:sz w:val="19"/>
                <w:szCs w:val="19"/>
              </w:rPr>
              <w:t>—</w:t>
            </w:r>
          </w:p>
        </w:tc>
      </w:tr>
    </w:tbl>
    <w:p w14:paraId="2348BD2A" w14:textId="77777777" w:rsidR="00F8115A" w:rsidRPr="00DE420F" w:rsidRDefault="00F8115A">
      <w:pPr>
        <w:spacing w:after="120"/>
        <w:rPr>
          <w:rFonts w:ascii="Times New Roman" w:hAnsi="Times New Roman" w:cs="Times New Roman"/>
        </w:rPr>
      </w:pPr>
    </w:p>
    <w:p w14:paraId="388DABC8" w14:textId="77777777" w:rsidR="00F8115A" w:rsidRPr="00DE420F" w:rsidRDefault="00000000">
      <w:pPr>
        <w:spacing w:after="160" w:line="300" w:lineRule="auto"/>
        <w:jc w:val="both"/>
        <w:rPr>
          <w:rFonts w:ascii="Times New Roman" w:hAnsi="Times New Roman" w:cs="Times New Roman"/>
          <w:sz w:val="24"/>
          <w:szCs w:val="24"/>
        </w:rPr>
      </w:pPr>
      <w:r w:rsidRPr="00DE420F">
        <w:rPr>
          <w:rFonts w:ascii="Times New Roman" w:hAnsi="Times New Roman" w:cs="Times New Roman"/>
          <w:sz w:val="24"/>
          <w:szCs w:val="24"/>
        </w:rPr>
        <w:t>This null is mechanistically expected: urothelial carcinoma carries high baseline somatic mutation burden from tobacco and occupational carcinogen exposure, generating nuclear DNA-derived cytosolic DNA independently of VDAC1 state. Additionally, atezolizumab targets the adaptive immune checkpoint on exhausted T cells downstream of innate priming; even if gate-jamming were relevant, its effect would operate upstream of the treatment’s mechanism of action. Full results and four figures are in Supplementary Analysis S3.</w:t>
      </w:r>
    </w:p>
    <w:p w14:paraId="2E03E1FD" w14:textId="77777777" w:rsidR="00F8115A" w:rsidRPr="00DE420F" w:rsidRDefault="00000000">
      <w:pPr>
        <w:rPr>
          <w:rFonts w:ascii="Times New Roman" w:hAnsi="Times New Roman" w:cs="Times New Roman"/>
        </w:rPr>
      </w:pPr>
      <w:r w:rsidRPr="00DE420F">
        <w:rPr>
          <w:rFonts w:ascii="Times New Roman" w:hAnsi="Times New Roman" w:cs="Times New Roman"/>
        </w:rPr>
        <w:br w:type="page"/>
      </w:r>
    </w:p>
    <w:p w14:paraId="678D10E5" w14:textId="4A140B95" w:rsidR="00DE420F" w:rsidRPr="00DE420F" w:rsidRDefault="00000000" w:rsidP="00CF44FC">
      <w:pPr>
        <w:pStyle w:val="Heading1"/>
        <w:jc w:val="center"/>
        <w:rPr>
          <w:rFonts w:ascii="Times New Roman" w:hAnsi="Times New Roman" w:cs="Times New Roman"/>
        </w:rPr>
      </w:pPr>
      <w:r w:rsidRPr="00DE420F">
        <w:rPr>
          <w:rFonts w:ascii="Times New Roman" w:hAnsi="Times New Roman" w:cs="Times New Roman"/>
        </w:rPr>
        <w:lastRenderedPageBreak/>
        <w:t>4. Discussion</w:t>
      </w:r>
    </w:p>
    <w:p w14:paraId="5327CFC3" w14:textId="1D6F18B8" w:rsidR="00504322" w:rsidRPr="00504322" w:rsidRDefault="00000000" w:rsidP="00CF44FC">
      <w:pPr>
        <w:pStyle w:val="Heading2"/>
        <w:jc w:val="center"/>
        <w:rPr>
          <w:rFonts w:ascii="Times New Roman" w:hAnsi="Times New Roman" w:cs="Times New Roman"/>
        </w:rPr>
      </w:pPr>
      <w:r w:rsidRPr="00DE420F">
        <w:rPr>
          <w:rFonts w:ascii="Times New Roman" w:hAnsi="Times New Roman" w:cs="Times New Roman"/>
        </w:rPr>
        <w:t>4.1 Three Analyses Define the Framework’s Domain</w:t>
      </w:r>
    </w:p>
    <w:p w14:paraId="25E4511C" w14:textId="77777777" w:rsidR="00F8115A" w:rsidRPr="00504322" w:rsidRDefault="00000000">
      <w:pPr>
        <w:spacing w:after="160" w:line="300" w:lineRule="auto"/>
        <w:jc w:val="both"/>
        <w:rPr>
          <w:rFonts w:ascii="Times New Roman" w:hAnsi="Times New Roman" w:cs="Times New Roman"/>
          <w:b/>
          <w:bCs/>
        </w:rPr>
      </w:pPr>
      <w:r w:rsidRPr="00504322">
        <w:rPr>
          <w:rFonts w:ascii="Times New Roman" w:hAnsi="Times New Roman" w:cs="Times New Roman"/>
          <w:b/>
          <w:bCs/>
        </w:rPr>
        <w:t>The S1 → S2 → S3 arc is the central finding of this work. It answers not only ‘is there a signal?’ but ‘where does the signal live?’:</w:t>
      </w:r>
    </w:p>
    <w:p w14:paraId="43086B00" w14:textId="77777777" w:rsidR="00F8115A" w:rsidRPr="00DE420F" w:rsidRDefault="00000000">
      <w:pPr>
        <w:spacing w:before="280" w:after="120"/>
        <w:rPr>
          <w:rFonts w:ascii="Times New Roman" w:hAnsi="Times New Roman" w:cs="Times New Roman"/>
        </w:rPr>
      </w:pPr>
      <w:r w:rsidRPr="00DE420F">
        <w:rPr>
          <w:rFonts w:ascii="Times New Roman" w:eastAsia="Calibri" w:hAnsi="Times New Roman" w:cs="Times New Roman"/>
          <w:b/>
          <w:bCs/>
          <w:color w:val="2C3E6B"/>
          <w:sz w:val="20"/>
          <w:szCs w:val="20"/>
        </w:rPr>
        <w:t>Table 3.</w:t>
      </w:r>
      <w:r w:rsidRPr="00DE420F">
        <w:rPr>
          <w:rFonts w:ascii="Times New Roman" w:eastAsia="Calibri" w:hAnsi="Times New Roman" w:cs="Times New Roman"/>
          <w:i/>
          <w:iCs/>
          <w:color w:val="455A64"/>
          <w:sz w:val="20"/>
          <w:szCs w:val="20"/>
        </w:rPr>
        <w:t xml:space="preserve"> Three-cohort analysis arc.</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2200"/>
        <w:gridCol w:w="2400"/>
        <w:gridCol w:w="3560"/>
      </w:tblGrid>
      <w:tr w:rsidR="00F8115A" w:rsidRPr="00DE420F" w14:paraId="45695147" w14:textId="77777777">
        <w:tblPrEx>
          <w:tblCellMar>
            <w:top w:w="0" w:type="dxa"/>
            <w:bottom w:w="0" w:type="dxa"/>
          </w:tblCellMar>
        </w:tblPrEx>
        <w:trPr>
          <w:cantSplit/>
          <w:tblHeader/>
        </w:trPr>
        <w:tc>
          <w:tcPr>
            <w:tcW w:w="1200" w:type="dxa"/>
            <w:tcBorders>
              <w:top w:val="single" w:sz="1" w:space="0" w:color="B0BEC5"/>
              <w:left w:val="single" w:sz="1" w:space="0" w:color="B0BEC5"/>
              <w:bottom w:val="single" w:sz="1" w:space="0" w:color="B0BEC5"/>
              <w:right w:val="single" w:sz="1" w:space="0" w:color="B0BEC5"/>
            </w:tcBorders>
            <w:shd w:val="clear" w:color="auto" w:fill="E8ECF4"/>
            <w:tcMar>
              <w:top w:w="60" w:type="dxa"/>
              <w:left w:w="100" w:type="dxa"/>
              <w:bottom w:w="60" w:type="dxa"/>
              <w:right w:w="100" w:type="dxa"/>
            </w:tcMar>
            <w:vAlign w:val="center"/>
          </w:tcPr>
          <w:p w14:paraId="34FDB1F2" w14:textId="77777777" w:rsidR="00F8115A" w:rsidRPr="00DE420F" w:rsidRDefault="00000000">
            <w:pPr>
              <w:spacing w:after="40" w:line="260" w:lineRule="auto"/>
              <w:rPr>
                <w:rFonts w:ascii="Times New Roman" w:hAnsi="Times New Roman" w:cs="Times New Roman"/>
              </w:rPr>
            </w:pPr>
            <w:r w:rsidRPr="00DE420F">
              <w:rPr>
                <w:rFonts w:ascii="Times New Roman" w:eastAsia="Calibri" w:hAnsi="Times New Roman" w:cs="Times New Roman"/>
                <w:b/>
                <w:bCs/>
                <w:color w:val="2C3E6B"/>
                <w:sz w:val="19"/>
                <w:szCs w:val="19"/>
              </w:rPr>
              <w:t>Analysis</w:t>
            </w:r>
          </w:p>
        </w:tc>
        <w:tc>
          <w:tcPr>
            <w:tcW w:w="2200" w:type="dxa"/>
            <w:tcBorders>
              <w:top w:val="single" w:sz="1" w:space="0" w:color="B0BEC5"/>
              <w:left w:val="single" w:sz="1" w:space="0" w:color="B0BEC5"/>
              <w:bottom w:val="single" w:sz="1" w:space="0" w:color="B0BEC5"/>
              <w:right w:val="single" w:sz="1" w:space="0" w:color="B0BEC5"/>
            </w:tcBorders>
            <w:shd w:val="clear" w:color="auto" w:fill="E8ECF4"/>
            <w:tcMar>
              <w:top w:w="60" w:type="dxa"/>
              <w:left w:w="100" w:type="dxa"/>
              <w:bottom w:w="60" w:type="dxa"/>
              <w:right w:w="100" w:type="dxa"/>
            </w:tcMar>
            <w:vAlign w:val="center"/>
          </w:tcPr>
          <w:p w14:paraId="03A06DAE" w14:textId="77777777" w:rsidR="00F8115A" w:rsidRPr="00DE420F" w:rsidRDefault="00000000">
            <w:pPr>
              <w:spacing w:after="40" w:line="260" w:lineRule="auto"/>
              <w:rPr>
                <w:rFonts w:ascii="Times New Roman" w:hAnsi="Times New Roman" w:cs="Times New Roman"/>
              </w:rPr>
            </w:pPr>
            <w:r w:rsidRPr="00DE420F">
              <w:rPr>
                <w:rFonts w:ascii="Times New Roman" w:eastAsia="Calibri" w:hAnsi="Times New Roman" w:cs="Times New Roman"/>
                <w:b/>
                <w:bCs/>
                <w:color w:val="2C3E6B"/>
                <w:sz w:val="19"/>
                <w:szCs w:val="19"/>
              </w:rPr>
              <w:t>Cohort</w:t>
            </w:r>
          </w:p>
        </w:tc>
        <w:tc>
          <w:tcPr>
            <w:tcW w:w="2400" w:type="dxa"/>
            <w:tcBorders>
              <w:top w:val="single" w:sz="1" w:space="0" w:color="B0BEC5"/>
              <w:left w:val="single" w:sz="1" w:space="0" w:color="B0BEC5"/>
              <w:bottom w:val="single" w:sz="1" w:space="0" w:color="B0BEC5"/>
              <w:right w:val="single" w:sz="1" w:space="0" w:color="B0BEC5"/>
            </w:tcBorders>
            <w:shd w:val="clear" w:color="auto" w:fill="E8ECF4"/>
            <w:tcMar>
              <w:top w:w="60" w:type="dxa"/>
              <w:left w:w="100" w:type="dxa"/>
              <w:bottom w:w="60" w:type="dxa"/>
              <w:right w:w="100" w:type="dxa"/>
            </w:tcMar>
            <w:vAlign w:val="center"/>
          </w:tcPr>
          <w:p w14:paraId="3C9C5ABE" w14:textId="77777777" w:rsidR="00F8115A" w:rsidRPr="00DE420F" w:rsidRDefault="00000000">
            <w:pPr>
              <w:spacing w:after="40" w:line="260" w:lineRule="auto"/>
              <w:rPr>
                <w:rFonts w:ascii="Times New Roman" w:hAnsi="Times New Roman" w:cs="Times New Roman"/>
              </w:rPr>
            </w:pPr>
            <w:r w:rsidRPr="00DE420F">
              <w:rPr>
                <w:rFonts w:ascii="Times New Roman" w:eastAsia="Calibri" w:hAnsi="Times New Roman" w:cs="Times New Roman"/>
                <w:b/>
                <w:bCs/>
                <w:color w:val="2C3E6B"/>
                <w:sz w:val="19"/>
                <w:szCs w:val="19"/>
              </w:rPr>
              <w:t>Context</w:t>
            </w:r>
          </w:p>
        </w:tc>
        <w:tc>
          <w:tcPr>
            <w:tcW w:w="3560" w:type="dxa"/>
            <w:tcBorders>
              <w:top w:val="single" w:sz="1" w:space="0" w:color="B0BEC5"/>
              <w:left w:val="single" w:sz="1" w:space="0" w:color="B0BEC5"/>
              <w:bottom w:val="single" w:sz="1" w:space="0" w:color="B0BEC5"/>
              <w:right w:val="single" w:sz="1" w:space="0" w:color="B0BEC5"/>
            </w:tcBorders>
            <w:shd w:val="clear" w:color="auto" w:fill="E8ECF4"/>
            <w:tcMar>
              <w:top w:w="60" w:type="dxa"/>
              <w:left w:w="100" w:type="dxa"/>
              <w:bottom w:w="60" w:type="dxa"/>
              <w:right w:w="100" w:type="dxa"/>
            </w:tcMar>
            <w:vAlign w:val="center"/>
          </w:tcPr>
          <w:p w14:paraId="5551FD25" w14:textId="77777777" w:rsidR="00F8115A" w:rsidRPr="00DE420F" w:rsidRDefault="00000000">
            <w:pPr>
              <w:spacing w:after="40" w:line="260" w:lineRule="auto"/>
              <w:rPr>
                <w:rFonts w:ascii="Times New Roman" w:hAnsi="Times New Roman" w:cs="Times New Roman"/>
              </w:rPr>
            </w:pPr>
            <w:proofErr w:type="spellStart"/>
            <w:r w:rsidRPr="00DE420F">
              <w:rPr>
                <w:rFonts w:ascii="Times New Roman" w:eastAsia="Calibri" w:hAnsi="Times New Roman" w:cs="Times New Roman"/>
                <w:b/>
                <w:bCs/>
                <w:color w:val="2C3E6B"/>
                <w:sz w:val="19"/>
                <w:szCs w:val="19"/>
              </w:rPr>
              <w:t>tGJS</w:t>
            </w:r>
            <w:proofErr w:type="spellEnd"/>
            <w:r w:rsidRPr="00DE420F">
              <w:rPr>
                <w:rFonts w:ascii="Times New Roman" w:eastAsia="Calibri" w:hAnsi="Times New Roman" w:cs="Times New Roman"/>
                <w:b/>
                <w:bCs/>
                <w:color w:val="2C3E6B"/>
                <w:sz w:val="19"/>
                <w:szCs w:val="19"/>
              </w:rPr>
              <w:t xml:space="preserve"> Signal</w:t>
            </w:r>
          </w:p>
        </w:tc>
      </w:tr>
      <w:tr w:rsidR="00F8115A" w:rsidRPr="00DE420F" w14:paraId="30872BCF" w14:textId="77777777">
        <w:tblPrEx>
          <w:tblCellMar>
            <w:top w:w="0" w:type="dxa"/>
            <w:bottom w:w="0" w:type="dxa"/>
          </w:tblCellMar>
        </w:tblPrEx>
        <w:trPr>
          <w:cantSplit/>
        </w:trPr>
        <w:tc>
          <w:tcPr>
            <w:tcW w:w="1200" w:type="dxa"/>
            <w:tcBorders>
              <w:top w:val="single" w:sz="1" w:space="0" w:color="B0BEC5"/>
              <w:left w:val="single" w:sz="1" w:space="0" w:color="B0BEC5"/>
              <w:bottom w:val="single" w:sz="1" w:space="0" w:color="B0BEC5"/>
              <w:right w:val="single" w:sz="1" w:space="0" w:color="B0BEC5"/>
            </w:tcBorders>
            <w:tcMar>
              <w:top w:w="60" w:type="dxa"/>
              <w:left w:w="100" w:type="dxa"/>
              <w:bottom w:w="60" w:type="dxa"/>
              <w:right w:w="100" w:type="dxa"/>
            </w:tcMar>
            <w:vAlign w:val="center"/>
          </w:tcPr>
          <w:p w14:paraId="745FECA7" w14:textId="77777777" w:rsidR="00F8115A" w:rsidRPr="00DE420F" w:rsidRDefault="00000000">
            <w:pPr>
              <w:spacing w:after="40" w:line="260" w:lineRule="auto"/>
              <w:rPr>
                <w:rFonts w:ascii="Times New Roman" w:hAnsi="Times New Roman" w:cs="Times New Roman"/>
              </w:rPr>
            </w:pPr>
            <w:r w:rsidRPr="00DE420F">
              <w:rPr>
                <w:rFonts w:ascii="Times New Roman" w:eastAsia="Calibri" w:hAnsi="Times New Roman" w:cs="Times New Roman"/>
                <w:b/>
                <w:bCs/>
                <w:sz w:val="19"/>
                <w:szCs w:val="19"/>
              </w:rPr>
              <w:t>S1</w:t>
            </w:r>
          </w:p>
        </w:tc>
        <w:tc>
          <w:tcPr>
            <w:tcW w:w="2200" w:type="dxa"/>
            <w:tcBorders>
              <w:top w:val="single" w:sz="1" w:space="0" w:color="B0BEC5"/>
              <w:left w:val="single" w:sz="1" w:space="0" w:color="B0BEC5"/>
              <w:bottom w:val="single" w:sz="1" w:space="0" w:color="B0BEC5"/>
              <w:right w:val="single" w:sz="1" w:space="0" w:color="B0BEC5"/>
            </w:tcBorders>
            <w:tcMar>
              <w:top w:w="60" w:type="dxa"/>
              <w:left w:w="100" w:type="dxa"/>
              <w:bottom w:w="60" w:type="dxa"/>
              <w:right w:w="100" w:type="dxa"/>
            </w:tcMar>
            <w:vAlign w:val="center"/>
          </w:tcPr>
          <w:p w14:paraId="1F06B709" w14:textId="77777777" w:rsidR="00F8115A" w:rsidRPr="00DE420F" w:rsidRDefault="00000000">
            <w:pPr>
              <w:spacing w:after="40" w:line="260" w:lineRule="auto"/>
              <w:rPr>
                <w:rFonts w:ascii="Times New Roman" w:hAnsi="Times New Roman" w:cs="Times New Roman"/>
              </w:rPr>
            </w:pPr>
            <w:r w:rsidRPr="00DE420F">
              <w:rPr>
                <w:rFonts w:ascii="Times New Roman" w:eastAsia="Calibri" w:hAnsi="Times New Roman" w:cs="Times New Roman"/>
                <w:sz w:val="19"/>
                <w:szCs w:val="19"/>
              </w:rPr>
              <w:t>TCGA pan-cancer (n = 10,071)</w:t>
            </w:r>
          </w:p>
        </w:tc>
        <w:tc>
          <w:tcPr>
            <w:tcW w:w="2400" w:type="dxa"/>
            <w:tcBorders>
              <w:top w:val="single" w:sz="1" w:space="0" w:color="B0BEC5"/>
              <w:left w:val="single" w:sz="1" w:space="0" w:color="B0BEC5"/>
              <w:bottom w:val="single" w:sz="1" w:space="0" w:color="B0BEC5"/>
              <w:right w:val="single" w:sz="1" w:space="0" w:color="B0BEC5"/>
            </w:tcBorders>
            <w:tcMar>
              <w:top w:w="60" w:type="dxa"/>
              <w:left w:w="100" w:type="dxa"/>
              <w:bottom w:w="60" w:type="dxa"/>
              <w:right w:w="100" w:type="dxa"/>
            </w:tcMar>
            <w:vAlign w:val="center"/>
          </w:tcPr>
          <w:p w14:paraId="5FA88B31" w14:textId="77777777" w:rsidR="00F8115A" w:rsidRPr="00DE420F" w:rsidRDefault="00000000">
            <w:pPr>
              <w:spacing w:after="40" w:line="260" w:lineRule="auto"/>
              <w:rPr>
                <w:rFonts w:ascii="Times New Roman" w:hAnsi="Times New Roman" w:cs="Times New Roman"/>
              </w:rPr>
            </w:pPr>
            <w:r w:rsidRPr="00DE420F">
              <w:rPr>
                <w:rFonts w:ascii="Times New Roman" w:eastAsia="Calibri" w:hAnsi="Times New Roman" w:cs="Times New Roman"/>
                <w:sz w:val="19"/>
                <w:szCs w:val="19"/>
              </w:rPr>
              <w:t>33 cancer types, ICI response proxy</w:t>
            </w:r>
          </w:p>
        </w:tc>
        <w:tc>
          <w:tcPr>
            <w:tcW w:w="3560" w:type="dxa"/>
            <w:tcBorders>
              <w:top w:val="single" w:sz="1" w:space="0" w:color="B0BEC5"/>
              <w:left w:val="single" w:sz="1" w:space="0" w:color="B0BEC5"/>
              <w:bottom w:val="single" w:sz="1" w:space="0" w:color="B0BEC5"/>
              <w:right w:val="single" w:sz="1" w:space="0" w:color="B0BEC5"/>
            </w:tcBorders>
            <w:tcMar>
              <w:top w:w="60" w:type="dxa"/>
              <w:left w:w="100" w:type="dxa"/>
              <w:bottom w:w="60" w:type="dxa"/>
              <w:right w:w="100" w:type="dxa"/>
            </w:tcMar>
            <w:vAlign w:val="center"/>
          </w:tcPr>
          <w:p w14:paraId="5FF0B61C" w14:textId="77777777" w:rsidR="00F8115A" w:rsidRPr="00DE420F" w:rsidRDefault="00000000">
            <w:pPr>
              <w:spacing w:after="40" w:line="260" w:lineRule="auto"/>
              <w:rPr>
                <w:rFonts w:ascii="Times New Roman" w:hAnsi="Times New Roman" w:cs="Times New Roman"/>
              </w:rPr>
            </w:pPr>
            <w:r w:rsidRPr="00DE420F">
              <w:rPr>
                <w:rFonts w:ascii="Times New Roman" w:eastAsia="Calibri" w:hAnsi="Times New Roman" w:cs="Times New Roman"/>
                <w:sz w:val="19"/>
                <w:szCs w:val="19"/>
              </w:rPr>
              <w:t>Null — cross-cancer confounds</w:t>
            </w:r>
          </w:p>
        </w:tc>
      </w:tr>
      <w:tr w:rsidR="00F8115A" w:rsidRPr="00DE420F" w14:paraId="27F8539D" w14:textId="77777777">
        <w:tblPrEx>
          <w:tblCellMar>
            <w:top w:w="0" w:type="dxa"/>
            <w:bottom w:w="0" w:type="dxa"/>
          </w:tblCellMar>
        </w:tblPrEx>
        <w:trPr>
          <w:cantSplit/>
        </w:trPr>
        <w:tc>
          <w:tcPr>
            <w:tcW w:w="1200" w:type="dxa"/>
            <w:tcBorders>
              <w:top w:val="single" w:sz="1" w:space="0" w:color="B0BEC5"/>
              <w:left w:val="single" w:sz="1" w:space="0" w:color="B0BEC5"/>
              <w:bottom w:val="single" w:sz="1" w:space="0" w:color="B0BEC5"/>
              <w:right w:val="single" w:sz="1" w:space="0" w:color="B0BEC5"/>
            </w:tcBorders>
            <w:shd w:val="clear" w:color="auto" w:fill="F5F7FA"/>
            <w:tcMar>
              <w:top w:w="60" w:type="dxa"/>
              <w:left w:w="100" w:type="dxa"/>
              <w:bottom w:w="60" w:type="dxa"/>
              <w:right w:w="100" w:type="dxa"/>
            </w:tcMar>
            <w:vAlign w:val="center"/>
          </w:tcPr>
          <w:p w14:paraId="4CA883A8" w14:textId="77777777" w:rsidR="00F8115A" w:rsidRPr="00DE420F" w:rsidRDefault="00000000">
            <w:pPr>
              <w:spacing w:after="40" w:line="260" w:lineRule="auto"/>
              <w:rPr>
                <w:rFonts w:ascii="Times New Roman" w:hAnsi="Times New Roman" w:cs="Times New Roman"/>
              </w:rPr>
            </w:pPr>
            <w:r w:rsidRPr="00DE420F">
              <w:rPr>
                <w:rFonts w:ascii="Times New Roman" w:eastAsia="Calibri" w:hAnsi="Times New Roman" w:cs="Times New Roman"/>
                <w:b/>
                <w:bCs/>
                <w:sz w:val="19"/>
                <w:szCs w:val="19"/>
              </w:rPr>
              <w:t>S2</w:t>
            </w:r>
          </w:p>
        </w:tc>
        <w:tc>
          <w:tcPr>
            <w:tcW w:w="2200" w:type="dxa"/>
            <w:tcBorders>
              <w:top w:val="single" w:sz="1" w:space="0" w:color="B0BEC5"/>
              <w:left w:val="single" w:sz="1" w:space="0" w:color="B0BEC5"/>
              <w:bottom w:val="single" w:sz="1" w:space="0" w:color="B0BEC5"/>
              <w:right w:val="single" w:sz="1" w:space="0" w:color="B0BEC5"/>
            </w:tcBorders>
            <w:shd w:val="clear" w:color="auto" w:fill="F5F7FA"/>
            <w:tcMar>
              <w:top w:w="60" w:type="dxa"/>
              <w:left w:w="100" w:type="dxa"/>
              <w:bottom w:w="60" w:type="dxa"/>
              <w:right w:w="100" w:type="dxa"/>
            </w:tcMar>
            <w:vAlign w:val="center"/>
          </w:tcPr>
          <w:p w14:paraId="77CFAD9A" w14:textId="77777777" w:rsidR="00F8115A" w:rsidRPr="00DE420F" w:rsidRDefault="00000000">
            <w:pPr>
              <w:spacing w:after="40" w:line="260" w:lineRule="auto"/>
              <w:rPr>
                <w:rFonts w:ascii="Times New Roman" w:hAnsi="Times New Roman" w:cs="Times New Roman"/>
              </w:rPr>
            </w:pPr>
            <w:r w:rsidRPr="00DE420F">
              <w:rPr>
                <w:rFonts w:ascii="Times New Roman" w:eastAsia="Calibri" w:hAnsi="Times New Roman" w:cs="Times New Roman"/>
                <w:sz w:val="19"/>
                <w:szCs w:val="19"/>
              </w:rPr>
              <w:t>TCGA COADREAD MSS/TP53-wt (n = 209)</w:t>
            </w:r>
          </w:p>
        </w:tc>
        <w:tc>
          <w:tcPr>
            <w:tcW w:w="2400" w:type="dxa"/>
            <w:tcBorders>
              <w:top w:val="single" w:sz="1" w:space="0" w:color="B0BEC5"/>
              <w:left w:val="single" w:sz="1" w:space="0" w:color="B0BEC5"/>
              <w:bottom w:val="single" w:sz="1" w:space="0" w:color="B0BEC5"/>
              <w:right w:val="single" w:sz="1" w:space="0" w:color="B0BEC5"/>
            </w:tcBorders>
            <w:shd w:val="clear" w:color="auto" w:fill="F5F7FA"/>
            <w:tcMar>
              <w:top w:w="60" w:type="dxa"/>
              <w:left w:w="100" w:type="dxa"/>
              <w:bottom w:w="60" w:type="dxa"/>
              <w:right w:w="100" w:type="dxa"/>
            </w:tcMar>
            <w:vAlign w:val="center"/>
          </w:tcPr>
          <w:p w14:paraId="7543EA86" w14:textId="77777777" w:rsidR="00F8115A" w:rsidRPr="00DE420F" w:rsidRDefault="00000000">
            <w:pPr>
              <w:spacing w:after="40" w:line="260" w:lineRule="auto"/>
              <w:rPr>
                <w:rFonts w:ascii="Times New Roman" w:hAnsi="Times New Roman" w:cs="Times New Roman"/>
              </w:rPr>
            </w:pPr>
            <w:r w:rsidRPr="00DE420F">
              <w:rPr>
                <w:rFonts w:ascii="Times New Roman" w:eastAsia="Calibri" w:hAnsi="Times New Roman" w:cs="Times New Roman"/>
                <w:sz w:val="19"/>
                <w:szCs w:val="19"/>
              </w:rPr>
              <w:t>Clean room: MSS + intact apoptosis</w:t>
            </w:r>
          </w:p>
        </w:tc>
        <w:tc>
          <w:tcPr>
            <w:tcW w:w="3560" w:type="dxa"/>
            <w:tcBorders>
              <w:top w:val="single" w:sz="1" w:space="0" w:color="B0BEC5"/>
              <w:left w:val="single" w:sz="1" w:space="0" w:color="B0BEC5"/>
              <w:bottom w:val="single" w:sz="1" w:space="0" w:color="B0BEC5"/>
              <w:right w:val="single" w:sz="1" w:space="0" w:color="B0BEC5"/>
            </w:tcBorders>
            <w:shd w:val="clear" w:color="auto" w:fill="F5F7FA"/>
            <w:tcMar>
              <w:top w:w="60" w:type="dxa"/>
              <w:left w:w="100" w:type="dxa"/>
              <w:bottom w:w="60" w:type="dxa"/>
              <w:right w:w="100" w:type="dxa"/>
            </w:tcMar>
            <w:vAlign w:val="center"/>
          </w:tcPr>
          <w:p w14:paraId="49890101" w14:textId="77777777" w:rsidR="00F8115A" w:rsidRPr="00DE420F" w:rsidRDefault="00000000">
            <w:pPr>
              <w:spacing w:after="40" w:line="260" w:lineRule="auto"/>
              <w:rPr>
                <w:rFonts w:ascii="Times New Roman" w:hAnsi="Times New Roman" w:cs="Times New Roman"/>
              </w:rPr>
            </w:pPr>
            <w:r w:rsidRPr="00DE420F">
              <w:rPr>
                <w:rFonts w:ascii="Times New Roman" w:eastAsia="Calibri" w:hAnsi="Times New Roman" w:cs="Times New Roman"/>
                <w:sz w:val="19"/>
                <w:szCs w:val="19"/>
              </w:rPr>
              <w:t>5 Bonferroni-significant immune correlations</w:t>
            </w:r>
          </w:p>
        </w:tc>
      </w:tr>
      <w:tr w:rsidR="00F8115A" w:rsidRPr="00DE420F" w14:paraId="0B3C43E3" w14:textId="77777777">
        <w:tblPrEx>
          <w:tblCellMar>
            <w:top w:w="0" w:type="dxa"/>
            <w:bottom w:w="0" w:type="dxa"/>
          </w:tblCellMar>
        </w:tblPrEx>
        <w:trPr>
          <w:cantSplit/>
        </w:trPr>
        <w:tc>
          <w:tcPr>
            <w:tcW w:w="1200" w:type="dxa"/>
            <w:tcBorders>
              <w:top w:val="single" w:sz="1" w:space="0" w:color="B0BEC5"/>
              <w:left w:val="single" w:sz="1" w:space="0" w:color="B0BEC5"/>
              <w:bottom w:val="single" w:sz="1" w:space="0" w:color="B0BEC5"/>
              <w:right w:val="single" w:sz="1" w:space="0" w:color="B0BEC5"/>
            </w:tcBorders>
            <w:tcMar>
              <w:top w:w="60" w:type="dxa"/>
              <w:left w:w="100" w:type="dxa"/>
              <w:bottom w:w="60" w:type="dxa"/>
              <w:right w:w="100" w:type="dxa"/>
            </w:tcMar>
            <w:vAlign w:val="center"/>
          </w:tcPr>
          <w:p w14:paraId="7CAC761D" w14:textId="77777777" w:rsidR="00F8115A" w:rsidRPr="00DE420F" w:rsidRDefault="00000000">
            <w:pPr>
              <w:spacing w:after="40" w:line="260" w:lineRule="auto"/>
              <w:rPr>
                <w:rFonts w:ascii="Times New Roman" w:hAnsi="Times New Roman" w:cs="Times New Roman"/>
              </w:rPr>
            </w:pPr>
            <w:r w:rsidRPr="00DE420F">
              <w:rPr>
                <w:rFonts w:ascii="Times New Roman" w:eastAsia="Calibri" w:hAnsi="Times New Roman" w:cs="Times New Roman"/>
                <w:b/>
                <w:bCs/>
                <w:sz w:val="19"/>
                <w:szCs w:val="19"/>
              </w:rPr>
              <w:t>S3</w:t>
            </w:r>
          </w:p>
        </w:tc>
        <w:tc>
          <w:tcPr>
            <w:tcW w:w="2200" w:type="dxa"/>
            <w:tcBorders>
              <w:top w:val="single" w:sz="1" w:space="0" w:color="B0BEC5"/>
              <w:left w:val="single" w:sz="1" w:space="0" w:color="B0BEC5"/>
              <w:bottom w:val="single" w:sz="1" w:space="0" w:color="B0BEC5"/>
              <w:right w:val="single" w:sz="1" w:space="0" w:color="B0BEC5"/>
            </w:tcBorders>
            <w:tcMar>
              <w:top w:w="60" w:type="dxa"/>
              <w:left w:w="100" w:type="dxa"/>
              <w:bottom w:w="60" w:type="dxa"/>
              <w:right w:w="100" w:type="dxa"/>
            </w:tcMar>
            <w:vAlign w:val="center"/>
          </w:tcPr>
          <w:p w14:paraId="7F3C2CB2" w14:textId="77777777" w:rsidR="00F8115A" w:rsidRPr="00DE420F" w:rsidRDefault="00000000">
            <w:pPr>
              <w:spacing w:after="40" w:line="260" w:lineRule="auto"/>
              <w:rPr>
                <w:rFonts w:ascii="Times New Roman" w:hAnsi="Times New Roman" w:cs="Times New Roman"/>
              </w:rPr>
            </w:pPr>
            <w:r w:rsidRPr="00DE420F">
              <w:rPr>
                <w:rFonts w:ascii="Times New Roman" w:eastAsia="Calibri" w:hAnsi="Times New Roman" w:cs="Times New Roman"/>
                <w:sz w:val="19"/>
                <w:szCs w:val="19"/>
              </w:rPr>
              <w:t>IMvigor210 urothelial (n = 348)</w:t>
            </w:r>
          </w:p>
        </w:tc>
        <w:tc>
          <w:tcPr>
            <w:tcW w:w="2400" w:type="dxa"/>
            <w:tcBorders>
              <w:top w:val="single" w:sz="1" w:space="0" w:color="B0BEC5"/>
              <w:left w:val="single" w:sz="1" w:space="0" w:color="B0BEC5"/>
              <w:bottom w:val="single" w:sz="1" w:space="0" w:color="B0BEC5"/>
              <w:right w:val="single" w:sz="1" w:space="0" w:color="B0BEC5"/>
            </w:tcBorders>
            <w:tcMar>
              <w:top w:w="60" w:type="dxa"/>
              <w:left w:w="100" w:type="dxa"/>
              <w:bottom w:w="60" w:type="dxa"/>
              <w:right w:w="100" w:type="dxa"/>
            </w:tcMar>
            <w:vAlign w:val="center"/>
          </w:tcPr>
          <w:p w14:paraId="428B93BD" w14:textId="77777777" w:rsidR="00F8115A" w:rsidRPr="00DE420F" w:rsidRDefault="00000000">
            <w:pPr>
              <w:spacing w:after="40" w:line="260" w:lineRule="auto"/>
              <w:rPr>
                <w:rFonts w:ascii="Times New Roman" w:hAnsi="Times New Roman" w:cs="Times New Roman"/>
              </w:rPr>
            </w:pPr>
            <w:r w:rsidRPr="00DE420F">
              <w:rPr>
                <w:rFonts w:ascii="Times New Roman" w:eastAsia="Calibri" w:hAnsi="Times New Roman" w:cs="Times New Roman"/>
                <w:sz w:val="19"/>
                <w:szCs w:val="19"/>
              </w:rPr>
              <w:t>High TMB, PD-L1 blockade</w:t>
            </w:r>
          </w:p>
        </w:tc>
        <w:tc>
          <w:tcPr>
            <w:tcW w:w="3560" w:type="dxa"/>
            <w:tcBorders>
              <w:top w:val="single" w:sz="1" w:space="0" w:color="B0BEC5"/>
              <w:left w:val="single" w:sz="1" w:space="0" w:color="B0BEC5"/>
              <w:bottom w:val="single" w:sz="1" w:space="0" w:color="B0BEC5"/>
              <w:right w:val="single" w:sz="1" w:space="0" w:color="B0BEC5"/>
            </w:tcBorders>
            <w:tcMar>
              <w:top w:w="60" w:type="dxa"/>
              <w:left w:w="100" w:type="dxa"/>
              <w:bottom w:w="60" w:type="dxa"/>
              <w:right w:w="100" w:type="dxa"/>
            </w:tcMar>
            <w:vAlign w:val="center"/>
          </w:tcPr>
          <w:p w14:paraId="7FAF82DD" w14:textId="77777777" w:rsidR="00F8115A" w:rsidRPr="00DE420F" w:rsidRDefault="00000000">
            <w:pPr>
              <w:spacing w:after="40" w:line="260" w:lineRule="auto"/>
              <w:rPr>
                <w:rFonts w:ascii="Times New Roman" w:hAnsi="Times New Roman" w:cs="Times New Roman"/>
              </w:rPr>
            </w:pPr>
            <w:r w:rsidRPr="00DE420F">
              <w:rPr>
                <w:rFonts w:ascii="Times New Roman" w:eastAsia="Calibri" w:hAnsi="Times New Roman" w:cs="Times New Roman"/>
                <w:sz w:val="19"/>
                <w:szCs w:val="19"/>
              </w:rPr>
              <w:t>Null — wrong context, wrong treatment mechanism</w:t>
            </w:r>
          </w:p>
        </w:tc>
      </w:tr>
    </w:tbl>
    <w:p w14:paraId="220508A6" w14:textId="77777777" w:rsidR="00F8115A" w:rsidRPr="00DE420F" w:rsidRDefault="00F8115A">
      <w:pPr>
        <w:spacing w:after="120"/>
        <w:rPr>
          <w:rFonts w:ascii="Times New Roman" w:hAnsi="Times New Roman" w:cs="Times New Roman"/>
        </w:rPr>
      </w:pPr>
    </w:p>
    <w:p w14:paraId="36299016" w14:textId="77777777" w:rsidR="00F8115A" w:rsidRPr="00DE420F" w:rsidRDefault="00000000">
      <w:pPr>
        <w:spacing w:after="160" w:line="300" w:lineRule="auto"/>
        <w:jc w:val="both"/>
        <w:rPr>
          <w:rFonts w:ascii="Times New Roman" w:hAnsi="Times New Roman" w:cs="Times New Roman"/>
        </w:rPr>
      </w:pPr>
      <w:r w:rsidRPr="00DE420F">
        <w:rPr>
          <w:rFonts w:ascii="Times New Roman" w:hAnsi="Times New Roman" w:cs="Times New Roman"/>
        </w:rPr>
        <w:t>The two nulls are not failures — they are the framework’s falsification boundaries. A signal that appears everywhere is not a mechanism; it is noise. A signal that appears precisely where the biology predicts it should appear, and not where the biology predicts it shouldn’t, is evidence that the model is capturing something real. The COADREAD MSS/TP53-wildtype stratum represents the tightest available approximation of the predicted clean room using existing public data: minimal nuclear DNA instability, intact TP53 apoptosis signaling, VDAC1 as the predicted dominant cytosolic DNA source.</w:t>
      </w:r>
    </w:p>
    <w:p w14:paraId="73897647" w14:textId="77777777" w:rsidR="00F8115A" w:rsidRPr="00DE420F" w:rsidRDefault="00000000" w:rsidP="00504322">
      <w:pPr>
        <w:pStyle w:val="Heading2"/>
        <w:jc w:val="center"/>
        <w:rPr>
          <w:rFonts w:ascii="Times New Roman" w:hAnsi="Times New Roman" w:cs="Times New Roman"/>
        </w:rPr>
      </w:pPr>
      <w:r w:rsidRPr="00DE420F">
        <w:rPr>
          <w:rFonts w:ascii="Times New Roman" w:hAnsi="Times New Roman" w:cs="Times New Roman"/>
        </w:rPr>
        <w:t>4.2 The Therapeutic Hypothesis: Three Independent Systems, One Stack</w:t>
      </w:r>
    </w:p>
    <w:p w14:paraId="7B8B7D45" w14:textId="77777777" w:rsidR="00F8115A" w:rsidRPr="00DE420F" w:rsidRDefault="00000000">
      <w:pPr>
        <w:spacing w:after="160" w:line="300" w:lineRule="auto"/>
        <w:jc w:val="both"/>
        <w:rPr>
          <w:rFonts w:ascii="Times New Roman" w:hAnsi="Times New Roman" w:cs="Times New Roman"/>
        </w:rPr>
      </w:pPr>
      <w:r w:rsidRPr="00DE420F">
        <w:rPr>
          <w:rFonts w:ascii="Times New Roman" w:hAnsi="Times New Roman" w:cs="Times New Roman"/>
        </w:rPr>
        <w:t>The analytical arc motivates a specific three-layer therapeutic intervention. This hypothesis was independently derived by three AI analytical systems (Claude Opus, Gemini Pro, Grok) working from the same data without cross-exposure, converging on identical components:</w:t>
      </w:r>
    </w:p>
    <w:p w14:paraId="3151CD75" w14:textId="77777777" w:rsidR="00F8115A" w:rsidRPr="00DE420F" w:rsidRDefault="00000000">
      <w:pPr>
        <w:pStyle w:val="ListParagraph"/>
        <w:numPr>
          <w:ilvl w:val="0"/>
          <w:numId w:val="2"/>
        </w:numPr>
        <w:spacing w:after="100" w:line="300" w:lineRule="auto"/>
        <w:rPr>
          <w:rFonts w:ascii="Times New Roman" w:hAnsi="Times New Roman" w:cs="Times New Roman"/>
        </w:rPr>
      </w:pPr>
      <w:r w:rsidRPr="00DE420F">
        <w:rPr>
          <w:rFonts w:ascii="Times New Roman" w:hAnsi="Times New Roman" w:cs="Times New Roman"/>
          <w:b/>
          <w:bCs/>
        </w:rPr>
        <w:t xml:space="preserve">VDAC1 gate-opener: </w:t>
      </w:r>
      <w:r w:rsidRPr="00DE420F">
        <w:rPr>
          <w:rFonts w:ascii="Times New Roman" w:hAnsi="Times New Roman" w:cs="Times New Roman"/>
        </w:rPr>
        <w:t xml:space="preserve">displace HK-II from VDAC1 (methyl </w:t>
      </w:r>
      <w:proofErr w:type="spellStart"/>
      <w:r w:rsidRPr="00DE420F">
        <w:rPr>
          <w:rFonts w:ascii="Times New Roman" w:hAnsi="Times New Roman" w:cs="Times New Roman"/>
        </w:rPr>
        <w:t>jasmonate</w:t>
      </w:r>
      <w:proofErr w:type="spellEnd"/>
      <w:r w:rsidRPr="00DE420F">
        <w:rPr>
          <w:rFonts w:ascii="Times New Roman" w:hAnsi="Times New Roman" w:cs="Times New Roman"/>
        </w:rPr>
        <w:t xml:space="preserve">, 2-DG, clotrimazole) to restore oligomerization-dependent </w:t>
      </w:r>
      <w:proofErr w:type="spellStart"/>
      <w:r w:rsidRPr="00DE420F">
        <w:rPr>
          <w:rFonts w:ascii="Times New Roman" w:hAnsi="Times New Roman" w:cs="Times New Roman"/>
        </w:rPr>
        <w:t>mtDNA</w:t>
      </w:r>
      <w:proofErr w:type="spellEnd"/>
      <w:r w:rsidRPr="00DE420F">
        <w:rPr>
          <w:rFonts w:ascii="Times New Roman" w:hAnsi="Times New Roman" w:cs="Times New Roman"/>
        </w:rPr>
        <w:t xml:space="preserve"> release and </w:t>
      </w:r>
      <w:proofErr w:type="spellStart"/>
      <w:r w:rsidRPr="00DE420F">
        <w:rPr>
          <w:rFonts w:ascii="Times New Roman" w:hAnsi="Times New Roman" w:cs="Times New Roman"/>
        </w:rPr>
        <w:t>cGAS</w:t>
      </w:r>
      <w:proofErr w:type="spellEnd"/>
      <w:r w:rsidRPr="00DE420F">
        <w:rPr>
          <w:rFonts w:ascii="Times New Roman" w:hAnsi="Times New Roman" w:cs="Times New Roman"/>
        </w:rPr>
        <w:t>–STING activation.</w:t>
      </w:r>
    </w:p>
    <w:p w14:paraId="2A43D20E" w14:textId="77777777" w:rsidR="00F8115A" w:rsidRPr="00DE420F" w:rsidRDefault="00000000">
      <w:pPr>
        <w:pStyle w:val="ListParagraph"/>
        <w:numPr>
          <w:ilvl w:val="0"/>
          <w:numId w:val="2"/>
        </w:numPr>
        <w:spacing w:after="100" w:line="300" w:lineRule="auto"/>
        <w:rPr>
          <w:rFonts w:ascii="Times New Roman" w:hAnsi="Times New Roman" w:cs="Times New Roman"/>
        </w:rPr>
      </w:pPr>
      <w:r w:rsidRPr="00DE420F">
        <w:rPr>
          <w:rFonts w:ascii="Times New Roman" w:hAnsi="Times New Roman" w:cs="Times New Roman"/>
          <w:b/>
          <w:bCs/>
        </w:rPr>
        <w:t>DNA/</w:t>
      </w:r>
      <w:proofErr w:type="spellStart"/>
      <w:r w:rsidRPr="00DE420F">
        <w:rPr>
          <w:rFonts w:ascii="Times New Roman" w:hAnsi="Times New Roman" w:cs="Times New Roman"/>
          <w:b/>
          <w:bCs/>
        </w:rPr>
        <w:t>cGAMP</w:t>
      </w:r>
      <w:proofErr w:type="spellEnd"/>
      <w:r w:rsidRPr="00DE420F">
        <w:rPr>
          <w:rFonts w:ascii="Times New Roman" w:hAnsi="Times New Roman" w:cs="Times New Roman"/>
          <w:b/>
          <w:bCs/>
        </w:rPr>
        <w:t xml:space="preserve"> eraser inhibitor: </w:t>
      </w:r>
      <w:r w:rsidRPr="00DE420F">
        <w:rPr>
          <w:rFonts w:ascii="Times New Roman" w:hAnsi="Times New Roman" w:cs="Times New Roman"/>
        </w:rPr>
        <w:t xml:space="preserve">inhibit TREX1 or ENPP1 to prevent degradation of the released </w:t>
      </w:r>
      <w:proofErr w:type="spellStart"/>
      <w:r w:rsidRPr="00DE420F">
        <w:rPr>
          <w:rFonts w:ascii="Times New Roman" w:hAnsi="Times New Roman" w:cs="Times New Roman"/>
        </w:rPr>
        <w:t>mtDNA</w:t>
      </w:r>
      <w:proofErr w:type="spellEnd"/>
      <w:r w:rsidRPr="00DE420F">
        <w:rPr>
          <w:rFonts w:ascii="Times New Roman" w:hAnsi="Times New Roman" w:cs="Times New Roman"/>
        </w:rPr>
        <w:t xml:space="preserve"> or downstream </w:t>
      </w:r>
      <w:proofErr w:type="spellStart"/>
      <w:r w:rsidRPr="00DE420F">
        <w:rPr>
          <w:rFonts w:ascii="Times New Roman" w:hAnsi="Times New Roman" w:cs="Times New Roman"/>
        </w:rPr>
        <w:t>cGAMP</w:t>
      </w:r>
      <w:proofErr w:type="spellEnd"/>
      <w:r w:rsidRPr="00DE420F">
        <w:rPr>
          <w:rFonts w:ascii="Times New Roman" w:hAnsi="Times New Roman" w:cs="Times New Roman"/>
        </w:rPr>
        <w:t>, amplifying and sustaining innate immune activation.</w:t>
      </w:r>
    </w:p>
    <w:p w14:paraId="06DE20AE" w14:textId="77777777" w:rsidR="00F8115A" w:rsidRPr="00DE420F" w:rsidRDefault="00000000">
      <w:pPr>
        <w:pStyle w:val="ListParagraph"/>
        <w:numPr>
          <w:ilvl w:val="0"/>
          <w:numId w:val="2"/>
        </w:numPr>
        <w:spacing w:after="160" w:line="300" w:lineRule="auto"/>
        <w:rPr>
          <w:rFonts w:ascii="Times New Roman" w:hAnsi="Times New Roman" w:cs="Times New Roman"/>
        </w:rPr>
      </w:pPr>
      <w:r w:rsidRPr="00DE420F">
        <w:rPr>
          <w:rFonts w:ascii="Times New Roman" w:hAnsi="Times New Roman" w:cs="Times New Roman"/>
          <w:b/>
          <w:bCs/>
        </w:rPr>
        <w:t xml:space="preserve">Checkpoint blockade: </w:t>
      </w:r>
      <w:r w:rsidRPr="00DE420F">
        <w:rPr>
          <w:rFonts w:ascii="Times New Roman" w:hAnsi="Times New Roman" w:cs="Times New Roman"/>
        </w:rPr>
        <w:t>administer anti-PD-1/PD-L1 to prevent exhaustion of T cells now being recruited by the restored innate signal.</w:t>
      </w:r>
    </w:p>
    <w:p w14:paraId="12987287" w14:textId="77777777" w:rsidR="00F8115A" w:rsidRPr="00DE420F" w:rsidRDefault="00000000">
      <w:pPr>
        <w:spacing w:after="160" w:line="300" w:lineRule="auto"/>
        <w:jc w:val="both"/>
        <w:rPr>
          <w:rFonts w:ascii="Times New Roman" w:hAnsi="Times New Roman" w:cs="Times New Roman"/>
        </w:rPr>
      </w:pPr>
      <w:r w:rsidRPr="00DE420F">
        <w:rPr>
          <w:rFonts w:ascii="Times New Roman" w:hAnsi="Times New Roman" w:cs="Times New Roman"/>
        </w:rPr>
        <w:t>The order matters: gate-opener generates the innate signal; eraser inhibitor sustains it; checkpoint blockade amplifies the adaptive response. The TREX1 co-occurrence finding from S2 directly informs step two: high-gate-jamming tumors simultaneously upregulate cytosolic DNA erasure, implying gate-opener alone may be insufficient. Three independently reasoning systems arriving at the same three-layer stack from the same data constitutes a prior strong enough to justify the next experiment.</w:t>
      </w:r>
    </w:p>
    <w:p w14:paraId="7D6E6B2C" w14:textId="77777777" w:rsidR="00F8115A" w:rsidRPr="00DE420F" w:rsidRDefault="00000000" w:rsidP="00504322">
      <w:pPr>
        <w:pStyle w:val="Heading2"/>
        <w:jc w:val="center"/>
        <w:rPr>
          <w:rFonts w:ascii="Times New Roman" w:hAnsi="Times New Roman" w:cs="Times New Roman"/>
        </w:rPr>
      </w:pPr>
      <w:r w:rsidRPr="00DE420F">
        <w:rPr>
          <w:rFonts w:ascii="Times New Roman" w:hAnsi="Times New Roman" w:cs="Times New Roman"/>
        </w:rPr>
        <w:lastRenderedPageBreak/>
        <w:t>4.3 Why MSS Colorectal Is the Right Target</w:t>
      </w:r>
    </w:p>
    <w:p w14:paraId="101277CA" w14:textId="77777777" w:rsidR="00F8115A" w:rsidRPr="00DE420F" w:rsidRDefault="00000000">
      <w:pPr>
        <w:spacing w:after="160" w:line="300" w:lineRule="auto"/>
        <w:jc w:val="both"/>
        <w:rPr>
          <w:rFonts w:ascii="Times New Roman" w:hAnsi="Times New Roman" w:cs="Times New Roman"/>
        </w:rPr>
      </w:pPr>
      <w:r w:rsidRPr="00DE420F">
        <w:rPr>
          <w:rFonts w:ascii="Times New Roman" w:hAnsi="Times New Roman" w:cs="Times New Roman"/>
        </w:rPr>
        <w:t>MSS colorectal adenocarcinoma has: (1) the largest absolute population of ICI-refractory patients among common cancers where ICI is attempted; (2) well-characterized MSI stratification, allowing clean separation of the signal; (3) an available TP53 mutation axis that further refines the predicted clean room; and (4) a tumor biology where VDAC1 docking by HK-II is supported by multiple independent lines of evidence. The HAVCR2 finding (ρ = −0.349) points to T cell absence rather than T cell exhaustion as the immune bottleneck in high-</w:t>
      </w:r>
      <w:proofErr w:type="spellStart"/>
      <w:r w:rsidRPr="00DE420F">
        <w:rPr>
          <w:rFonts w:ascii="Times New Roman" w:hAnsi="Times New Roman" w:cs="Times New Roman"/>
        </w:rPr>
        <w:t>tGJS</w:t>
      </w:r>
      <w:proofErr w:type="spellEnd"/>
      <w:r w:rsidRPr="00DE420F">
        <w:rPr>
          <w:rFonts w:ascii="Times New Roman" w:hAnsi="Times New Roman" w:cs="Times New Roman"/>
        </w:rPr>
        <w:t xml:space="preserve"> MSS tumors — a meaningful clinical distinction suggesting anti-TIM-3 trials in MSS CRC are addressing the wrong checkpoint.</w:t>
      </w:r>
    </w:p>
    <w:p w14:paraId="2F8A3D27" w14:textId="77777777" w:rsidR="00F8115A" w:rsidRPr="00DE420F" w:rsidRDefault="00000000" w:rsidP="00504322">
      <w:pPr>
        <w:pStyle w:val="Heading2"/>
        <w:jc w:val="center"/>
        <w:rPr>
          <w:rFonts w:ascii="Times New Roman" w:hAnsi="Times New Roman" w:cs="Times New Roman"/>
        </w:rPr>
      </w:pPr>
      <w:r w:rsidRPr="00DE420F">
        <w:rPr>
          <w:rFonts w:ascii="Times New Roman" w:hAnsi="Times New Roman" w:cs="Times New Roman"/>
        </w:rPr>
        <w:t>4.4 The GJS as One Layer of a Multi-Layer Evasion Architecture</w:t>
      </w:r>
    </w:p>
    <w:p w14:paraId="6558C08E" w14:textId="77777777" w:rsidR="00F8115A" w:rsidRPr="00DE420F" w:rsidRDefault="00000000">
      <w:pPr>
        <w:spacing w:after="160" w:line="300" w:lineRule="auto"/>
        <w:jc w:val="both"/>
        <w:rPr>
          <w:rFonts w:ascii="Times New Roman" w:hAnsi="Times New Roman" w:cs="Times New Roman"/>
        </w:rPr>
      </w:pPr>
      <w:r w:rsidRPr="00DE420F">
        <w:rPr>
          <w:rFonts w:ascii="Times New Roman" w:hAnsi="Times New Roman" w:cs="Times New Roman"/>
        </w:rPr>
        <w:t xml:space="preserve">The GJS measures one specific bottleneck — VDAC1 oligomerization suppression — within a multi-layer immune evasion system. The </w:t>
      </w:r>
      <w:proofErr w:type="spellStart"/>
      <w:r w:rsidRPr="00DE420F">
        <w:rPr>
          <w:rFonts w:ascii="Times New Roman" w:hAnsi="Times New Roman" w:cs="Times New Roman"/>
        </w:rPr>
        <w:t>cGAS</w:t>
      </w:r>
      <w:proofErr w:type="spellEnd"/>
      <w:r w:rsidRPr="00DE420F">
        <w:rPr>
          <w:rFonts w:ascii="Times New Roman" w:hAnsi="Times New Roman" w:cs="Times New Roman"/>
        </w:rPr>
        <w:t xml:space="preserve">–STING axis is not uniformly anti-tumor: Lai et al. (2025, Immunity) showed that VDAC-mediated </w:t>
      </w:r>
      <w:proofErr w:type="spellStart"/>
      <w:r w:rsidRPr="00DE420F">
        <w:rPr>
          <w:rFonts w:ascii="Times New Roman" w:hAnsi="Times New Roman" w:cs="Times New Roman"/>
        </w:rPr>
        <w:t>mtDNA</w:t>
      </w:r>
      <w:proofErr w:type="spellEnd"/>
      <w:r w:rsidRPr="00DE420F">
        <w:rPr>
          <w:rFonts w:ascii="Times New Roman" w:hAnsi="Times New Roman" w:cs="Times New Roman"/>
        </w:rPr>
        <w:t xml:space="preserve"> from senescent tumor cells can enhance immunosuppression through MDSC recruitment. The tumor microenvironment may override gate-restoration even when </w:t>
      </w:r>
      <w:proofErr w:type="spellStart"/>
      <w:r w:rsidRPr="00DE420F">
        <w:rPr>
          <w:rFonts w:ascii="Times New Roman" w:hAnsi="Times New Roman" w:cs="Times New Roman"/>
        </w:rPr>
        <w:t>cGAS</w:t>
      </w:r>
      <w:proofErr w:type="spellEnd"/>
      <w:r w:rsidRPr="00DE420F">
        <w:rPr>
          <w:rFonts w:ascii="Times New Roman" w:hAnsi="Times New Roman" w:cs="Times New Roman"/>
        </w:rPr>
        <w:t>–STING is successfully activated. STING pathway competence must be assessed — STING silencing via promoter methylation occurs in 1–25% of tumors pan-cancer, and high-GJS tumors with silenced STING require epigenetic reactivation before gate-restoration can be effective.</w:t>
      </w:r>
    </w:p>
    <w:p w14:paraId="18DFFB0E" w14:textId="77777777" w:rsidR="00F8115A" w:rsidRPr="00DE420F" w:rsidRDefault="00000000">
      <w:pPr>
        <w:spacing w:before="280" w:after="120"/>
        <w:rPr>
          <w:rFonts w:ascii="Times New Roman" w:hAnsi="Times New Roman" w:cs="Times New Roman"/>
        </w:rPr>
      </w:pPr>
      <w:r w:rsidRPr="00DE420F">
        <w:rPr>
          <w:rFonts w:ascii="Times New Roman" w:eastAsia="Calibri" w:hAnsi="Times New Roman" w:cs="Times New Roman"/>
          <w:b/>
          <w:bCs/>
          <w:color w:val="2C3E6B"/>
          <w:sz w:val="20"/>
          <w:szCs w:val="20"/>
        </w:rPr>
        <w:t>Table 4.</w:t>
      </w:r>
      <w:r w:rsidRPr="00DE420F">
        <w:rPr>
          <w:rFonts w:ascii="Times New Roman" w:eastAsia="Calibri" w:hAnsi="Times New Roman" w:cs="Times New Roman"/>
          <w:i/>
          <w:iCs/>
          <w:color w:val="455A64"/>
          <w:sz w:val="20"/>
          <w:szCs w:val="20"/>
        </w:rPr>
        <w:t xml:space="preserve"> GJS × STING status therapeutic matrix.</w:t>
      </w:r>
    </w:p>
    <w:tbl>
      <w:tblPr>
        <w:tblW w:w="94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11"/>
        <w:gridCol w:w="3803"/>
        <w:gridCol w:w="3803"/>
      </w:tblGrid>
      <w:tr w:rsidR="00F8115A" w:rsidRPr="00DE420F" w14:paraId="79CDEBE1" w14:textId="77777777" w:rsidTr="00DE420F">
        <w:tblPrEx>
          <w:tblCellMar>
            <w:top w:w="0" w:type="dxa"/>
            <w:bottom w:w="0" w:type="dxa"/>
          </w:tblCellMar>
        </w:tblPrEx>
        <w:trPr>
          <w:cantSplit/>
          <w:trHeight w:val="493"/>
          <w:tblHeader/>
        </w:trPr>
        <w:tc>
          <w:tcPr>
            <w:tcW w:w="1811" w:type="dxa"/>
            <w:tcBorders>
              <w:top w:val="single" w:sz="1" w:space="0" w:color="B0BEC5"/>
              <w:left w:val="single" w:sz="1" w:space="0" w:color="B0BEC5"/>
              <w:bottom w:val="single" w:sz="1" w:space="0" w:color="B0BEC5"/>
              <w:right w:val="single" w:sz="1" w:space="0" w:color="B0BEC5"/>
            </w:tcBorders>
            <w:shd w:val="clear" w:color="auto" w:fill="E8ECF4"/>
            <w:tcMar>
              <w:top w:w="60" w:type="dxa"/>
              <w:left w:w="100" w:type="dxa"/>
              <w:bottom w:w="60" w:type="dxa"/>
              <w:right w:w="100" w:type="dxa"/>
            </w:tcMar>
            <w:vAlign w:val="center"/>
          </w:tcPr>
          <w:p w14:paraId="63AEF80A" w14:textId="77777777" w:rsidR="00F8115A" w:rsidRPr="00DE420F" w:rsidRDefault="00F8115A">
            <w:pPr>
              <w:spacing w:after="40" w:line="260" w:lineRule="auto"/>
              <w:rPr>
                <w:rFonts w:ascii="Times New Roman" w:hAnsi="Times New Roman" w:cs="Times New Roman"/>
              </w:rPr>
            </w:pPr>
          </w:p>
        </w:tc>
        <w:tc>
          <w:tcPr>
            <w:tcW w:w="3803" w:type="dxa"/>
            <w:tcBorders>
              <w:top w:val="single" w:sz="1" w:space="0" w:color="B0BEC5"/>
              <w:left w:val="single" w:sz="1" w:space="0" w:color="B0BEC5"/>
              <w:bottom w:val="single" w:sz="1" w:space="0" w:color="B0BEC5"/>
              <w:right w:val="single" w:sz="1" w:space="0" w:color="B0BEC5"/>
            </w:tcBorders>
            <w:shd w:val="clear" w:color="auto" w:fill="E8ECF4"/>
            <w:tcMar>
              <w:top w:w="60" w:type="dxa"/>
              <w:left w:w="100" w:type="dxa"/>
              <w:bottom w:w="60" w:type="dxa"/>
              <w:right w:w="100" w:type="dxa"/>
            </w:tcMar>
            <w:vAlign w:val="center"/>
          </w:tcPr>
          <w:p w14:paraId="4A6E7B10" w14:textId="77777777" w:rsidR="00F8115A" w:rsidRPr="00DE420F" w:rsidRDefault="00000000">
            <w:pPr>
              <w:spacing w:after="40" w:line="260" w:lineRule="auto"/>
              <w:rPr>
                <w:rFonts w:ascii="Times New Roman" w:hAnsi="Times New Roman" w:cs="Times New Roman"/>
              </w:rPr>
            </w:pPr>
            <w:r w:rsidRPr="00DE420F">
              <w:rPr>
                <w:rFonts w:ascii="Times New Roman" w:eastAsia="Calibri" w:hAnsi="Times New Roman" w:cs="Times New Roman"/>
                <w:b/>
                <w:bCs/>
                <w:color w:val="2C3E6B"/>
                <w:sz w:val="19"/>
                <w:szCs w:val="19"/>
              </w:rPr>
              <w:t>STING Intact</w:t>
            </w:r>
          </w:p>
        </w:tc>
        <w:tc>
          <w:tcPr>
            <w:tcW w:w="3803" w:type="dxa"/>
            <w:tcBorders>
              <w:top w:val="single" w:sz="1" w:space="0" w:color="B0BEC5"/>
              <w:left w:val="single" w:sz="1" w:space="0" w:color="B0BEC5"/>
              <w:bottom w:val="single" w:sz="1" w:space="0" w:color="B0BEC5"/>
              <w:right w:val="single" w:sz="1" w:space="0" w:color="B0BEC5"/>
            </w:tcBorders>
            <w:shd w:val="clear" w:color="auto" w:fill="E8ECF4"/>
            <w:tcMar>
              <w:top w:w="60" w:type="dxa"/>
              <w:left w:w="100" w:type="dxa"/>
              <w:bottom w:w="60" w:type="dxa"/>
              <w:right w:w="100" w:type="dxa"/>
            </w:tcMar>
            <w:vAlign w:val="center"/>
          </w:tcPr>
          <w:p w14:paraId="0B73F014" w14:textId="77777777" w:rsidR="00F8115A" w:rsidRPr="00DE420F" w:rsidRDefault="00000000">
            <w:pPr>
              <w:spacing w:after="40" w:line="260" w:lineRule="auto"/>
              <w:rPr>
                <w:rFonts w:ascii="Times New Roman" w:hAnsi="Times New Roman" w:cs="Times New Roman"/>
              </w:rPr>
            </w:pPr>
            <w:r w:rsidRPr="00DE420F">
              <w:rPr>
                <w:rFonts w:ascii="Times New Roman" w:eastAsia="Calibri" w:hAnsi="Times New Roman" w:cs="Times New Roman"/>
                <w:b/>
                <w:bCs/>
                <w:color w:val="2C3E6B"/>
                <w:sz w:val="19"/>
                <w:szCs w:val="19"/>
              </w:rPr>
              <w:t>STING Silenced</w:t>
            </w:r>
          </w:p>
        </w:tc>
      </w:tr>
      <w:tr w:rsidR="00F8115A" w:rsidRPr="00DE420F" w14:paraId="170E60B5" w14:textId="77777777" w:rsidTr="00DE420F">
        <w:tblPrEx>
          <w:tblCellMar>
            <w:top w:w="0" w:type="dxa"/>
            <w:bottom w:w="0" w:type="dxa"/>
          </w:tblCellMar>
        </w:tblPrEx>
        <w:trPr>
          <w:cantSplit/>
          <w:trHeight w:val="749"/>
        </w:trPr>
        <w:tc>
          <w:tcPr>
            <w:tcW w:w="1811" w:type="dxa"/>
            <w:tcBorders>
              <w:top w:val="single" w:sz="1" w:space="0" w:color="B0BEC5"/>
              <w:left w:val="single" w:sz="1" w:space="0" w:color="B0BEC5"/>
              <w:bottom w:val="single" w:sz="1" w:space="0" w:color="B0BEC5"/>
              <w:right w:val="single" w:sz="1" w:space="0" w:color="B0BEC5"/>
            </w:tcBorders>
            <w:shd w:val="clear" w:color="auto" w:fill="E8ECF4"/>
            <w:tcMar>
              <w:top w:w="60" w:type="dxa"/>
              <w:left w:w="100" w:type="dxa"/>
              <w:bottom w:w="60" w:type="dxa"/>
              <w:right w:w="100" w:type="dxa"/>
            </w:tcMar>
            <w:vAlign w:val="center"/>
          </w:tcPr>
          <w:p w14:paraId="6BDF14EA" w14:textId="77777777" w:rsidR="00F8115A" w:rsidRPr="00DE420F" w:rsidRDefault="00000000">
            <w:pPr>
              <w:spacing w:after="40" w:line="260" w:lineRule="auto"/>
              <w:rPr>
                <w:rFonts w:ascii="Times New Roman" w:hAnsi="Times New Roman" w:cs="Times New Roman"/>
              </w:rPr>
            </w:pPr>
            <w:r w:rsidRPr="00DE420F">
              <w:rPr>
                <w:rFonts w:ascii="Times New Roman" w:eastAsia="Calibri" w:hAnsi="Times New Roman" w:cs="Times New Roman"/>
                <w:b/>
                <w:bCs/>
                <w:sz w:val="19"/>
                <w:szCs w:val="19"/>
              </w:rPr>
              <w:t>High GJS</w:t>
            </w:r>
          </w:p>
        </w:tc>
        <w:tc>
          <w:tcPr>
            <w:tcW w:w="3803" w:type="dxa"/>
            <w:tcBorders>
              <w:top w:val="single" w:sz="1" w:space="0" w:color="B0BEC5"/>
              <w:left w:val="single" w:sz="1" w:space="0" w:color="B0BEC5"/>
              <w:bottom w:val="single" w:sz="1" w:space="0" w:color="B0BEC5"/>
              <w:right w:val="single" w:sz="1" w:space="0" w:color="B0BEC5"/>
            </w:tcBorders>
            <w:tcMar>
              <w:top w:w="60" w:type="dxa"/>
              <w:left w:w="100" w:type="dxa"/>
              <w:bottom w:w="60" w:type="dxa"/>
              <w:right w:w="100" w:type="dxa"/>
            </w:tcMar>
            <w:vAlign w:val="center"/>
          </w:tcPr>
          <w:p w14:paraId="683250B6" w14:textId="77777777" w:rsidR="00F8115A" w:rsidRPr="00DE420F" w:rsidRDefault="00000000">
            <w:pPr>
              <w:spacing w:after="40" w:line="260" w:lineRule="auto"/>
              <w:rPr>
                <w:rFonts w:ascii="Times New Roman" w:hAnsi="Times New Roman" w:cs="Times New Roman"/>
              </w:rPr>
            </w:pPr>
            <w:r w:rsidRPr="00DE420F">
              <w:rPr>
                <w:rFonts w:ascii="Times New Roman" w:eastAsia="Calibri" w:hAnsi="Times New Roman" w:cs="Times New Roman"/>
                <w:sz w:val="19"/>
                <w:szCs w:val="19"/>
              </w:rPr>
              <w:t>Primary target — gate-opener + eraser inhibitor + checkpoint</w:t>
            </w:r>
          </w:p>
        </w:tc>
        <w:tc>
          <w:tcPr>
            <w:tcW w:w="3803" w:type="dxa"/>
            <w:tcBorders>
              <w:top w:val="single" w:sz="1" w:space="0" w:color="B0BEC5"/>
              <w:left w:val="single" w:sz="1" w:space="0" w:color="B0BEC5"/>
              <w:bottom w:val="single" w:sz="1" w:space="0" w:color="B0BEC5"/>
              <w:right w:val="single" w:sz="1" w:space="0" w:color="B0BEC5"/>
            </w:tcBorders>
            <w:tcMar>
              <w:top w:w="60" w:type="dxa"/>
              <w:left w:w="100" w:type="dxa"/>
              <w:bottom w:w="60" w:type="dxa"/>
              <w:right w:w="100" w:type="dxa"/>
            </w:tcMar>
            <w:vAlign w:val="center"/>
          </w:tcPr>
          <w:p w14:paraId="6D4F521F" w14:textId="77777777" w:rsidR="00F8115A" w:rsidRPr="00DE420F" w:rsidRDefault="00000000">
            <w:pPr>
              <w:spacing w:after="40" w:line="260" w:lineRule="auto"/>
              <w:rPr>
                <w:rFonts w:ascii="Times New Roman" w:hAnsi="Times New Roman" w:cs="Times New Roman"/>
              </w:rPr>
            </w:pPr>
            <w:r w:rsidRPr="00DE420F">
              <w:rPr>
                <w:rFonts w:ascii="Times New Roman" w:eastAsia="Calibri" w:hAnsi="Times New Roman" w:cs="Times New Roman"/>
                <w:sz w:val="19"/>
                <w:szCs w:val="19"/>
              </w:rPr>
              <w:t>Requires DNMT inhibitor before gate-restoration</w:t>
            </w:r>
          </w:p>
        </w:tc>
      </w:tr>
      <w:tr w:rsidR="00F8115A" w:rsidRPr="00DE420F" w14:paraId="7A907428" w14:textId="77777777" w:rsidTr="00DE420F">
        <w:tblPrEx>
          <w:tblCellMar>
            <w:top w:w="0" w:type="dxa"/>
            <w:bottom w:w="0" w:type="dxa"/>
          </w:tblCellMar>
        </w:tblPrEx>
        <w:trPr>
          <w:cantSplit/>
          <w:trHeight w:val="749"/>
        </w:trPr>
        <w:tc>
          <w:tcPr>
            <w:tcW w:w="1811" w:type="dxa"/>
            <w:tcBorders>
              <w:top w:val="single" w:sz="1" w:space="0" w:color="B0BEC5"/>
              <w:left w:val="single" w:sz="1" w:space="0" w:color="B0BEC5"/>
              <w:bottom w:val="single" w:sz="1" w:space="0" w:color="B0BEC5"/>
              <w:right w:val="single" w:sz="1" w:space="0" w:color="B0BEC5"/>
            </w:tcBorders>
            <w:shd w:val="clear" w:color="auto" w:fill="E8ECF4"/>
            <w:tcMar>
              <w:top w:w="60" w:type="dxa"/>
              <w:left w:w="100" w:type="dxa"/>
              <w:bottom w:w="60" w:type="dxa"/>
              <w:right w:w="100" w:type="dxa"/>
            </w:tcMar>
            <w:vAlign w:val="center"/>
          </w:tcPr>
          <w:p w14:paraId="1DA0B362" w14:textId="77777777" w:rsidR="00F8115A" w:rsidRPr="00DE420F" w:rsidRDefault="00000000">
            <w:pPr>
              <w:spacing w:after="40" w:line="260" w:lineRule="auto"/>
              <w:rPr>
                <w:rFonts w:ascii="Times New Roman" w:hAnsi="Times New Roman" w:cs="Times New Roman"/>
              </w:rPr>
            </w:pPr>
            <w:r w:rsidRPr="00DE420F">
              <w:rPr>
                <w:rFonts w:ascii="Times New Roman" w:eastAsia="Calibri" w:hAnsi="Times New Roman" w:cs="Times New Roman"/>
                <w:b/>
                <w:bCs/>
                <w:sz w:val="19"/>
                <w:szCs w:val="19"/>
              </w:rPr>
              <w:t>Low GJS</w:t>
            </w:r>
          </w:p>
        </w:tc>
        <w:tc>
          <w:tcPr>
            <w:tcW w:w="3803" w:type="dxa"/>
            <w:tcBorders>
              <w:top w:val="single" w:sz="1" w:space="0" w:color="B0BEC5"/>
              <w:left w:val="single" w:sz="1" w:space="0" w:color="B0BEC5"/>
              <w:bottom w:val="single" w:sz="1" w:space="0" w:color="B0BEC5"/>
              <w:right w:val="single" w:sz="1" w:space="0" w:color="B0BEC5"/>
            </w:tcBorders>
            <w:shd w:val="clear" w:color="auto" w:fill="F5F7FA"/>
            <w:tcMar>
              <w:top w:w="60" w:type="dxa"/>
              <w:left w:w="100" w:type="dxa"/>
              <w:bottom w:w="60" w:type="dxa"/>
              <w:right w:w="100" w:type="dxa"/>
            </w:tcMar>
            <w:vAlign w:val="center"/>
          </w:tcPr>
          <w:p w14:paraId="390E6FD9" w14:textId="77777777" w:rsidR="00F8115A" w:rsidRPr="00DE420F" w:rsidRDefault="00000000">
            <w:pPr>
              <w:spacing w:after="40" w:line="260" w:lineRule="auto"/>
              <w:rPr>
                <w:rFonts w:ascii="Times New Roman" w:hAnsi="Times New Roman" w:cs="Times New Roman"/>
              </w:rPr>
            </w:pPr>
            <w:r w:rsidRPr="00DE420F">
              <w:rPr>
                <w:rFonts w:ascii="Times New Roman" w:eastAsia="Calibri" w:hAnsi="Times New Roman" w:cs="Times New Roman"/>
                <w:sz w:val="19"/>
                <w:szCs w:val="19"/>
              </w:rPr>
              <w:t>Gate open, pathway active — checkpoint alone may suffice</w:t>
            </w:r>
          </w:p>
        </w:tc>
        <w:tc>
          <w:tcPr>
            <w:tcW w:w="3803" w:type="dxa"/>
            <w:tcBorders>
              <w:top w:val="single" w:sz="1" w:space="0" w:color="B0BEC5"/>
              <w:left w:val="single" w:sz="1" w:space="0" w:color="B0BEC5"/>
              <w:bottom w:val="single" w:sz="1" w:space="0" w:color="B0BEC5"/>
              <w:right w:val="single" w:sz="1" w:space="0" w:color="B0BEC5"/>
            </w:tcBorders>
            <w:shd w:val="clear" w:color="auto" w:fill="F5F7FA"/>
            <w:tcMar>
              <w:top w:w="60" w:type="dxa"/>
              <w:left w:w="100" w:type="dxa"/>
              <w:bottom w:w="60" w:type="dxa"/>
              <w:right w:w="100" w:type="dxa"/>
            </w:tcMar>
            <w:vAlign w:val="center"/>
          </w:tcPr>
          <w:p w14:paraId="79E5A8FA" w14:textId="77777777" w:rsidR="00F8115A" w:rsidRPr="00DE420F" w:rsidRDefault="00000000">
            <w:pPr>
              <w:spacing w:after="40" w:line="260" w:lineRule="auto"/>
              <w:rPr>
                <w:rFonts w:ascii="Times New Roman" w:hAnsi="Times New Roman" w:cs="Times New Roman"/>
              </w:rPr>
            </w:pPr>
            <w:r w:rsidRPr="00DE420F">
              <w:rPr>
                <w:rFonts w:ascii="Times New Roman" w:eastAsia="Calibri" w:hAnsi="Times New Roman" w:cs="Times New Roman"/>
                <w:sz w:val="19"/>
                <w:szCs w:val="19"/>
              </w:rPr>
              <w:t>Chronic signaling, paradoxical immunosuppression</w:t>
            </w:r>
          </w:p>
        </w:tc>
      </w:tr>
    </w:tbl>
    <w:p w14:paraId="12C50D9B" w14:textId="77777777" w:rsidR="00F8115A" w:rsidRPr="00DE420F" w:rsidRDefault="00F8115A">
      <w:pPr>
        <w:spacing w:after="120"/>
        <w:rPr>
          <w:rFonts w:ascii="Times New Roman" w:hAnsi="Times New Roman" w:cs="Times New Roman"/>
        </w:rPr>
      </w:pPr>
    </w:p>
    <w:p w14:paraId="2CA7BC84" w14:textId="3B16ABCF" w:rsidR="00F8115A" w:rsidRPr="00DE420F" w:rsidRDefault="00000000" w:rsidP="00504322">
      <w:pPr>
        <w:pStyle w:val="Heading2"/>
        <w:jc w:val="center"/>
        <w:rPr>
          <w:rFonts w:ascii="Times New Roman" w:hAnsi="Times New Roman" w:cs="Times New Roman"/>
        </w:rPr>
      </w:pPr>
      <w:r w:rsidRPr="00DE420F">
        <w:rPr>
          <w:rFonts w:ascii="Times New Roman" w:hAnsi="Times New Roman" w:cs="Times New Roman"/>
        </w:rPr>
        <w:t xml:space="preserve">4.5 What the </w:t>
      </w:r>
      <w:proofErr w:type="spellStart"/>
      <w:r w:rsidRPr="00DE420F">
        <w:rPr>
          <w:rFonts w:ascii="Times New Roman" w:hAnsi="Times New Roman" w:cs="Times New Roman"/>
        </w:rPr>
        <w:t>tGJS</w:t>
      </w:r>
      <w:proofErr w:type="spellEnd"/>
      <w:r w:rsidRPr="00DE420F">
        <w:rPr>
          <w:rFonts w:ascii="Times New Roman" w:hAnsi="Times New Roman" w:cs="Times New Roman"/>
        </w:rPr>
        <w:t xml:space="preserve"> Does Not Capture</w:t>
      </w:r>
    </w:p>
    <w:p w14:paraId="39F7D930" w14:textId="77777777" w:rsidR="00F8115A" w:rsidRPr="00DE420F" w:rsidRDefault="00000000">
      <w:pPr>
        <w:spacing w:after="160" w:line="300" w:lineRule="auto"/>
        <w:jc w:val="both"/>
        <w:rPr>
          <w:rFonts w:ascii="Times New Roman" w:hAnsi="Times New Roman" w:cs="Times New Roman"/>
        </w:rPr>
      </w:pPr>
      <w:r w:rsidRPr="00DE420F">
        <w:rPr>
          <w:rFonts w:ascii="Times New Roman" w:hAnsi="Times New Roman" w:cs="Times New Roman"/>
        </w:rPr>
        <w:t xml:space="preserve">The transcriptomic proxy measures mRNA abundance of three genes; it cannot distinguish HK-II docked on VDAC1 versus in the cytosol, </w:t>
      </w:r>
      <w:proofErr w:type="spellStart"/>
      <w:r w:rsidRPr="00DE420F">
        <w:rPr>
          <w:rFonts w:ascii="Times New Roman" w:hAnsi="Times New Roman" w:cs="Times New Roman"/>
        </w:rPr>
        <w:t>Bcl-xL</w:t>
      </w:r>
      <w:proofErr w:type="spellEnd"/>
      <w:r w:rsidRPr="00DE420F">
        <w:rPr>
          <w:rFonts w:ascii="Times New Roman" w:hAnsi="Times New Roman" w:cs="Times New Roman"/>
        </w:rPr>
        <w:t xml:space="preserve"> bound to VDAC1 versus other targets, or TSPO-mediated cholesterol at the outer mitochondrial membrane versus elsewhere. Protein-level measurement — proximity ligation assay for HK-II–VDAC1 and </w:t>
      </w:r>
      <w:proofErr w:type="spellStart"/>
      <w:r w:rsidRPr="00DE420F">
        <w:rPr>
          <w:rFonts w:ascii="Times New Roman" w:hAnsi="Times New Roman" w:cs="Times New Roman"/>
        </w:rPr>
        <w:t>Bcl-xL</w:t>
      </w:r>
      <w:proofErr w:type="spellEnd"/>
      <w:r w:rsidRPr="00DE420F">
        <w:rPr>
          <w:rFonts w:ascii="Times New Roman" w:hAnsi="Times New Roman" w:cs="Times New Roman"/>
        </w:rPr>
        <w:t xml:space="preserve">–VDAC1 complexes, mitochondrial </w:t>
      </w:r>
      <w:proofErr w:type="spellStart"/>
      <w:r w:rsidRPr="00DE420F">
        <w:rPr>
          <w:rFonts w:ascii="Times New Roman" w:hAnsi="Times New Roman" w:cs="Times New Roman"/>
        </w:rPr>
        <w:t>lipidomics</w:t>
      </w:r>
      <w:proofErr w:type="spellEnd"/>
      <w:r w:rsidRPr="00DE420F">
        <w:rPr>
          <w:rFonts w:ascii="Times New Roman" w:hAnsi="Times New Roman" w:cs="Times New Roman"/>
        </w:rPr>
        <w:t xml:space="preserve"> for the Chol/CL ratio — is required to compute the true GJS:</w:t>
      </w:r>
    </w:p>
    <w:p w14:paraId="7453D9FB" w14:textId="77777777" w:rsidR="00F8115A" w:rsidRPr="00CF44FC" w:rsidRDefault="00000000">
      <w:pPr>
        <w:shd w:val="clear" w:color="auto" w:fill="F8F9FA"/>
        <w:spacing w:before="120" w:after="120" w:line="300" w:lineRule="auto"/>
        <w:ind w:left="720" w:right="720"/>
        <w:jc w:val="center"/>
        <w:rPr>
          <w:rFonts w:ascii="Times New Roman" w:hAnsi="Times New Roman" w:cs="Times New Roman"/>
          <w:sz w:val="28"/>
          <w:szCs w:val="28"/>
        </w:rPr>
      </w:pPr>
      <w:r w:rsidRPr="00CF44FC">
        <w:rPr>
          <w:rFonts w:ascii="Times New Roman" w:eastAsia="Consolas" w:hAnsi="Times New Roman" w:cs="Times New Roman"/>
          <w:b/>
          <w:bCs/>
          <w:color w:val="2C3E6B"/>
          <w:sz w:val="24"/>
          <w:szCs w:val="24"/>
        </w:rPr>
        <w:t xml:space="preserve">GJS = </w:t>
      </w:r>
      <w:proofErr w:type="spellStart"/>
      <w:r w:rsidRPr="00CF44FC">
        <w:rPr>
          <w:rFonts w:ascii="Times New Roman" w:eastAsia="Consolas" w:hAnsi="Times New Roman" w:cs="Times New Roman"/>
          <w:b/>
          <w:bCs/>
          <w:color w:val="2C3E6B"/>
          <w:sz w:val="24"/>
          <w:szCs w:val="24"/>
        </w:rPr>
        <w:t>f_HKII</w:t>
      </w:r>
      <w:proofErr w:type="spellEnd"/>
      <w:r w:rsidRPr="00CF44FC">
        <w:rPr>
          <w:rFonts w:ascii="Times New Roman" w:eastAsia="Consolas" w:hAnsi="Times New Roman" w:cs="Times New Roman"/>
          <w:b/>
          <w:bCs/>
          <w:color w:val="2C3E6B"/>
          <w:sz w:val="24"/>
          <w:szCs w:val="24"/>
        </w:rPr>
        <w:t xml:space="preserve"> × 0.40 + </w:t>
      </w:r>
      <w:proofErr w:type="spellStart"/>
      <w:r w:rsidRPr="00CF44FC">
        <w:rPr>
          <w:rFonts w:ascii="Times New Roman" w:eastAsia="Consolas" w:hAnsi="Times New Roman" w:cs="Times New Roman"/>
          <w:b/>
          <w:bCs/>
          <w:color w:val="2C3E6B"/>
          <w:sz w:val="24"/>
          <w:szCs w:val="24"/>
        </w:rPr>
        <w:t>f_BclxL</w:t>
      </w:r>
      <w:proofErr w:type="spellEnd"/>
      <w:r w:rsidRPr="00CF44FC">
        <w:rPr>
          <w:rFonts w:ascii="Times New Roman" w:eastAsia="Consolas" w:hAnsi="Times New Roman" w:cs="Times New Roman"/>
          <w:b/>
          <w:bCs/>
          <w:color w:val="2C3E6B"/>
          <w:sz w:val="24"/>
          <w:szCs w:val="24"/>
        </w:rPr>
        <w:t xml:space="preserve"> × 0.30 + [Chol]/[CL]_norm × 0.30</w:t>
      </w:r>
    </w:p>
    <w:p w14:paraId="4FDE6054" w14:textId="77777777" w:rsidR="00F8115A" w:rsidRDefault="00000000">
      <w:pPr>
        <w:spacing w:after="160" w:line="300" w:lineRule="auto"/>
        <w:jc w:val="both"/>
        <w:rPr>
          <w:rFonts w:ascii="Times New Roman" w:hAnsi="Times New Roman" w:cs="Times New Roman"/>
        </w:rPr>
      </w:pPr>
      <w:r w:rsidRPr="00DE420F">
        <w:rPr>
          <w:rFonts w:ascii="Times New Roman" w:hAnsi="Times New Roman" w:cs="Times New Roman"/>
        </w:rPr>
        <w:t xml:space="preserve">where </w:t>
      </w:r>
      <w:proofErr w:type="spellStart"/>
      <w:r w:rsidRPr="00DE420F">
        <w:rPr>
          <w:rFonts w:ascii="Times New Roman" w:hAnsi="Times New Roman" w:cs="Times New Roman"/>
        </w:rPr>
        <w:t>f_HKII</w:t>
      </w:r>
      <w:proofErr w:type="spellEnd"/>
      <w:r w:rsidRPr="00DE420F">
        <w:rPr>
          <w:rFonts w:ascii="Times New Roman" w:hAnsi="Times New Roman" w:cs="Times New Roman"/>
        </w:rPr>
        <w:t xml:space="preserve"> is the fraction of VDAC1 occupied by HK-II and </w:t>
      </w:r>
      <w:proofErr w:type="spellStart"/>
      <w:r w:rsidRPr="00DE420F">
        <w:rPr>
          <w:rFonts w:ascii="Times New Roman" w:hAnsi="Times New Roman" w:cs="Times New Roman"/>
        </w:rPr>
        <w:t>f_BclxL</w:t>
      </w:r>
      <w:proofErr w:type="spellEnd"/>
      <w:r w:rsidRPr="00DE420F">
        <w:rPr>
          <w:rFonts w:ascii="Times New Roman" w:hAnsi="Times New Roman" w:cs="Times New Roman"/>
        </w:rPr>
        <w:t xml:space="preserve"> the fraction bound by </w:t>
      </w:r>
      <w:proofErr w:type="spellStart"/>
      <w:r w:rsidRPr="00DE420F">
        <w:rPr>
          <w:rFonts w:ascii="Times New Roman" w:hAnsi="Times New Roman" w:cs="Times New Roman"/>
        </w:rPr>
        <w:t>Bcl-xL</w:t>
      </w:r>
      <w:proofErr w:type="spellEnd"/>
      <w:r w:rsidRPr="00DE420F">
        <w:rPr>
          <w:rFonts w:ascii="Times New Roman" w:hAnsi="Times New Roman" w:cs="Times New Roman"/>
        </w:rPr>
        <w:t xml:space="preserve"> (both 0–1). The </w:t>
      </w:r>
      <w:proofErr w:type="spellStart"/>
      <w:r w:rsidRPr="00DE420F">
        <w:rPr>
          <w:rFonts w:ascii="Times New Roman" w:hAnsi="Times New Roman" w:cs="Times New Roman"/>
        </w:rPr>
        <w:t>tGJS</w:t>
      </w:r>
      <w:proofErr w:type="spellEnd"/>
      <w:r w:rsidRPr="00DE420F">
        <w:rPr>
          <w:rFonts w:ascii="Times New Roman" w:hAnsi="Times New Roman" w:cs="Times New Roman"/>
        </w:rPr>
        <w:t xml:space="preserve"> is a screening tool to identify where this protein-level assay should be run first.</w:t>
      </w:r>
    </w:p>
    <w:p w14:paraId="6167CB34" w14:textId="77777777" w:rsidR="00CF44FC" w:rsidRPr="00DE420F" w:rsidRDefault="00CF44FC">
      <w:pPr>
        <w:spacing w:after="160" w:line="300" w:lineRule="auto"/>
        <w:jc w:val="both"/>
        <w:rPr>
          <w:rFonts w:ascii="Times New Roman" w:hAnsi="Times New Roman" w:cs="Times New Roman"/>
        </w:rPr>
      </w:pPr>
    </w:p>
    <w:p w14:paraId="212250CE" w14:textId="77777777" w:rsidR="00F8115A" w:rsidRDefault="00000000" w:rsidP="00504322">
      <w:pPr>
        <w:pStyle w:val="Heading2"/>
        <w:jc w:val="center"/>
        <w:rPr>
          <w:rFonts w:ascii="Times New Roman" w:hAnsi="Times New Roman" w:cs="Times New Roman"/>
        </w:rPr>
      </w:pPr>
      <w:r w:rsidRPr="00DE420F">
        <w:rPr>
          <w:rFonts w:ascii="Times New Roman" w:hAnsi="Times New Roman" w:cs="Times New Roman"/>
        </w:rPr>
        <w:lastRenderedPageBreak/>
        <w:t>4.6 Limitations</w:t>
      </w:r>
    </w:p>
    <w:p w14:paraId="3E79D4A2" w14:textId="77777777" w:rsidR="00DE420F" w:rsidRPr="00DE420F" w:rsidRDefault="00DE420F">
      <w:pPr>
        <w:pStyle w:val="Heading2"/>
        <w:rPr>
          <w:rFonts w:ascii="Times New Roman" w:hAnsi="Times New Roman" w:cs="Times New Roman"/>
        </w:rPr>
      </w:pPr>
    </w:p>
    <w:p w14:paraId="3C82C3F4" w14:textId="77777777" w:rsidR="00F8115A" w:rsidRPr="00DE420F" w:rsidRDefault="00000000">
      <w:pPr>
        <w:pStyle w:val="ListParagraph"/>
        <w:numPr>
          <w:ilvl w:val="0"/>
          <w:numId w:val="2"/>
        </w:numPr>
        <w:spacing w:after="100" w:line="300" w:lineRule="auto"/>
        <w:rPr>
          <w:rFonts w:ascii="Times New Roman" w:hAnsi="Times New Roman" w:cs="Times New Roman"/>
        </w:rPr>
      </w:pPr>
      <w:r w:rsidRPr="00DE420F">
        <w:rPr>
          <w:rFonts w:ascii="Times New Roman" w:hAnsi="Times New Roman" w:cs="Times New Roman"/>
          <w:b/>
          <w:bCs/>
        </w:rPr>
        <w:t xml:space="preserve">No experimental validation. </w:t>
      </w:r>
      <w:r w:rsidRPr="00DE420F">
        <w:rPr>
          <w:rFonts w:ascii="Times New Roman" w:hAnsi="Times New Roman" w:cs="Times New Roman"/>
        </w:rPr>
        <w:t>All findings are computational. The weights (0.4/0.3/0.3) are convergence-derived estimates, not empirically optimized coefficients.</w:t>
      </w:r>
    </w:p>
    <w:p w14:paraId="7FA44EAA" w14:textId="77777777" w:rsidR="00F8115A" w:rsidRPr="00DE420F" w:rsidRDefault="00000000">
      <w:pPr>
        <w:pStyle w:val="ListParagraph"/>
        <w:numPr>
          <w:ilvl w:val="0"/>
          <w:numId w:val="2"/>
        </w:numPr>
        <w:spacing w:after="100" w:line="300" w:lineRule="auto"/>
        <w:rPr>
          <w:rFonts w:ascii="Times New Roman" w:hAnsi="Times New Roman" w:cs="Times New Roman"/>
        </w:rPr>
      </w:pPr>
      <w:r w:rsidRPr="00DE420F">
        <w:rPr>
          <w:rFonts w:ascii="Times New Roman" w:hAnsi="Times New Roman" w:cs="Times New Roman"/>
          <w:b/>
          <w:bCs/>
        </w:rPr>
        <w:t xml:space="preserve">Bulk RNA-Seq. </w:t>
      </w:r>
      <w:r w:rsidRPr="00DE420F">
        <w:rPr>
          <w:rFonts w:ascii="Times New Roman" w:hAnsi="Times New Roman" w:cs="Times New Roman"/>
        </w:rPr>
        <w:t xml:space="preserve">Expression values are cellular averages across tumor, stromal, and immune cells. Single-cell attribution is required to determine which cell type drives the </w:t>
      </w:r>
      <w:proofErr w:type="spellStart"/>
      <w:r w:rsidRPr="00DE420F">
        <w:rPr>
          <w:rFonts w:ascii="Times New Roman" w:hAnsi="Times New Roman" w:cs="Times New Roman"/>
        </w:rPr>
        <w:t>tGJS</w:t>
      </w:r>
      <w:proofErr w:type="spellEnd"/>
      <w:r w:rsidRPr="00DE420F">
        <w:rPr>
          <w:rFonts w:ascii="Times New Roman" w:hAnsi="Times New Roman" w:cs="Times New Roman"/>
        </w:rPr>
        <w:t xml:space="preserve"> signal.</w:t>
      </w:r>
    </w:p>
    <w:p w14:paraId="5D6AC698" w14:textId="77777777" w:rsidR="00F8115A" w:rsidRPr="00DE420F" w:rsidRDefault="00000000">
      <w:pPr>
        <w:pStyle w:val="ListParagraph"/>
        <w:numPr>
          <w:ilvl w:val="0"/>
          <w:numId w:val="2"/>
        </w:numPr>
        <w:spacing w:after="100" w:line="300" w:lineRule="auto"/>
        <w:rPr>
          <w:rFonts w:ascii="Times New Roman" w:hAnsi="Times New Roman" w:cs="Times New Roman"/>
        </w:rPr>
      </w:pPr>
      <w:r w:rsidRPr="00DE420F">
        <w:rPr>
          <w:rFonts w:ascii="Times New Roman" w:hAnsi="Times New Roman" w:cs="Times New Roman"/>
          <w:b/>
          <w:bCs/>
        </w:rPr>
        <w:t xml:space="preserve">TCGA lacks treatment data. </w:t>
      </w:r>
      <w:r w:rsidRPr="00DE420F">
        <w:rPr>
          <w:rFonts w:ascii="Times New Roman" w:hAnsi="Times New Roman" w:cs="Times New Roman"/>
        </w:rPr>
        <w:t>The S2 correlations are with immune markers, not ICI outcomes. The hypothesis that high-</w:t>
      </w:r>
      <w:proofErr w:type="spellStart"/>
      <w:r w:rsidRPr="00DE420F">
        <w:rPr>
          <w:rFonts w:ascii="Times New Roman" w:hAnsi="Times New Roman" w:cs="Times New Roman"/>
        </w:rPr>
        <w:t>tGJS</w:t>
      </w:r>
      <w:proofErr w:type="spellEnd"/>
      <w:r w:rsidRPr="00DE420F">
        <w:rPr>
          <w:rFonts w:ascii="Times New Roman" w:hAnsi="Times New Roman" w:cs="Times New Roman"/>
        </w:rPr>
        <w:t xml:space="preserve"> MSS CRC tumors fail ICI is mechanistically motivated but not directly tested.</w:t>
      </w:r>
    </w:p>
    <w:p w14:paraId="64519234" w14:textId="77777777" w:rsidR="00F8115A" w:rsidRPr="00DE420F" w:rsidRDefault="00000000">
      <w:pPr>
        <w:pStyle w:val="ListParagraph"/>
        <w:numPr>
          <w:ilvl w:val="0"/>
          <w:numId w:val="2"/>
        </w:numPr>
        <w:spacing w:after="100" w:line="300" w:lineRule="auto"/>
        <w:rPr>
          <w:rFonts w:ascii="Times New Roman" w:hAnsi="Times New Roman" w:cs="Times New Roman"/>
        </w:rPr>
      </w:pPr>
      <w:r w:rsidRPr="00DE420F">
        <w:rPr>
          <w:rFonts w:ascii="Times New Roman" w:hAnsi="Times New Roman" w:cs="Times New Roman"/>
          <w:b/>
          <w:bCs/>
        </w:rPr>
        <w:t xml:space="preserve">IMvigor210 is a single cohort. </w:t>
      </w:r>
      <w:r w:rsidRPr="00DE420F">
        <w:rPr>
          <w:rFonts w:ascii="Times New Roman" w:hAnsi="Times New Roman" w:cs="Times New Roman"/>
        </w:rPr>
        <w:t>The S3 null applies to urothelial carcinoma treated with PD-L1 blockade. It does not predict the outcome in MSS CRC treated with combination gate-restoration regimens.</w:t>
      </w:r>
    </w:p>
    <w:p w14:paraId="2862BEB1" w14:textId="77777777" w:rsidR="00F8115A" w:rsidRPr="00DE420F" w:rsidRDefault="00000000">
      <w:pPr>
        <w:pStyle w:val="ListParagraph"/>
        <w:numPr>
          <w:ilvl w:val="0"/>
          <w:numId w:val="2"/>
        </w:numPr>
        <w:spacing w:after="100" w:line="300" w:lineRule="auto"/>
        <w:rPr>
          <w:rFonts w:ascii="Times New Roman" w:hAnsi="Times New Roman" w:cs="Times New Roman"/>
        </w:rPr>
      </w:pPr>
      <w:r w:rsidRPr="00DE420F">
        <w:rPr>
          <w:rFonts w:ascii="Times New Roman" w:hAnsi="Times New Roman" w:cs="Times New Roman"/>
          <w:b/>
          <w:bCs/>
        </w:rPr>
        <w:t xml:space="preserve">VBIT-4 specificity. </w:t>
      </w:r>
      <w:r w:rsidRPr="00DE420F">
        <w:rPr>
          <w:rFonts w:ascii="Times New Roman" w:hAnsi="Times New Roman" w:cs="Times New Roman"/>
        </w:rPr>
        <w:t xml:space="preserve">Ravishankar et al. (2025, </w:t>
      </w:r>
      <w:proofErr w:type="spellStart"/>
      <w:r w:rsidRPr="00DE420F">
        <w:rPr>
          <w:rFonts w:ascii="Times New Roman" w:hAnsi="Times New Roman" w:cs="Times New Roman"/>
        </w:rPr>
        <w:t>bioRxiv</w:t>
      </w:r>
      <w:proofErr w:type="spellEnd"/>
      <w:r w:rsidRPr="00DE420F">
        <w:rPr>
          <w:rFonts w:ascii="Times New Roman" w:hAnsi="Times New Roman" w:cs="Times New Roman"/>
        </w:rPr>
        <w:t xml:space="preserve">) showed VBIT-4 disrupts membranes independent of VDAC1 at ≥ 30 </w:t>
      </w:r>
      <w:proofErr w:type="spellStart"/>
      <w:r w:rsidRPr="00DE420F">
        <w:rPr>
          <w:rFonts w:ascii="Times New Roman" w:hAnsi="Times New Roman" w:cs="Times New Roman"/>
        </w:rPr>
        <w:t>μM</w:t>
      </w:r>
      <w:proofErr w:type="spellEnd"/>
      <w:r w:rsidRPr="00DE420F">
        <w:rPr>
          <w:rFonts w:ascii="Times New Roman" w:hAnsi="Times New Roman" w:cs="Times New Roman"/>
        </w:rPr>
        <w:t>. Claims requiring VBIT-4 need orthogonal genetic validation.</w:t>
      </w:r>
    </w:p>
    <w:p w14:paraId="6F3A520E" w14:textId="77777777" w:rsidR="00F8115A" w:rsidRDefault="00000000">
      <w:pPr>
        <w:pStyle w:val="ListParagraph"/>
        <w:numPr>
          <w:ilvl w:val="0"/>
          <w:numId w:val="2"/>
        </w:numPr>
        <w:spacing w:after="160" w:line="300" w:lineRule="auto"/>
        <w:rPr>
          <w:rFonts w:ascii="Times New Roman" w:hAnsi="Times New Roman" w:cs="Times New Roman"/>
        </w:rPr>
      </w:pPr>
      <w:r w:rsidRPr="00DE420F">
        <w:rPr>
          <w:rFonts w:ascii="Times New Roman" w:hAnsi="Times New Roman" w:cs="Times New Roman"/>
          <w:b/>
          <w:bCs/>
        </w:rPr>
        <w:t xml:space="preserve">TREX1 inhibitors are not clinically available. </w:t>
      </w:r>
      <w:r w:rsidRPr="00DE420F">
        <w:rPr>
          <w:rFonts w:ascii="Times New Roman" w:hAnsi="Times New Roman" w:cs="Times New Roman"/>
        </w:rPr>
        <w:t>This identifies a drug development gap.</w:t>
      </w:r>
    </w:p>
    <w:p w14:paraId="363FE45E" w14:textId="77777777" w:rsidR="00DE420F" w:rsidRPr="00DE420F" w:rsidRDefault="00DE420F" w:rsidP="00DE420F">
      <w:pPr>
        <w:spacing w:after="160" w:line="300" w:lineRule="auto"/>
        <w:ind w:left="360"/>
        <w:rPr>
          <w:rFonts w:ascii="Times New Roman" w:hAnsi="Times New Roman" w:cs="Times New Roman"/>
        </w:rPr>
      </w:pPr>
    </w:p>
    <w:p w14:paraId="2B6AE769" w14:textId="77777777" w:rsidR="00F8115A" w:rsidRDefault="00000000" w:rsidP="00504322">
      <w:pPr>
        <w:pStyle w:val="Heading2"/>
        <w:jc w:val="center"/>
        <w:rPr>
          <w:rFonts w:ascii="Times New Roman" w:hAnsi="Times New Roman" w:cs="Times New Roman"/>
        </w:rPr>
      </w:pPr>
      <w:r w:rsidRPr="00DE420F">
        <w:rPr>
          <w:rFonts w:ascii="Times New Roman" w:hAnsi="Times New Roman" w:cs="Times New Roman"/>
        </w:rPr>
        <w:t>4.7 Immediate Next Steps</w:t>
      </w:r>
    </w:p>
    <w:p w14:paraId="2530903E" w14:textId="77777777" w:rsidR="00DE420F" w:rsidRPr="00DE420F" w:rsidRDefault="00DE420F">
      <w:pPr>
        <w:pStyle w:val="Heading2"/>
        <w:rPr>
          <w:rFonts w:ascii="Times New Roman" w:hAnsi="Times New Roman" w:cs="Times New Roman"/>
        </w:rPr>
      </w:pPr>
    </w:p>
    <w:p w14:paraId="3F3C7871" w14:textId="77777777" w:rsidR="00F8115A" w:rsidRPr="00DE420F" w:rsidRDefault="00000000">
      <w:pPr>
        <w:pStyle w:val="ListParagraph"/>
        <w:numPr>
          <w:ilvl w:val="0"/>
          <w:numId w:val="3"/>
        </w:numPr>
        <w:spacing w:after="120" w:line="300" w:lineRule="auto"/>
        <w:rPr>
          <w:rFonts w:ascii="Times New Roman" w:hAnsi="Times New Roman" w:cs="Times New Roman"/>
        </w:rPr>
      </w:pPr>
      <w:r w:rsidRPr="00DE420F">
        <w:rPr>
          <w:rFonts w:ascii="Times New Roman" w:hAnsi="Times New Roman" w:cs="Times New Roman"/>
          <w:b/>
          <w:bCs/>
        </w:rPr>
        <w:t xml:space="preserve">In vitro (4–8 weeks): </w:t>
      </w:r>
      <w:r w:rsidRPr="00DE420F">
        <w:rPr>
          <w:rFonts w:ascii="Times New Roman" w:hAnsi="Times New Roman" w:cs="Times New Roman"/>
        </w:rPr>
        <w:t xml:space="preserve">Displace HK-II from VDAC1 in immune-cold cell lines (Panc-1, HCT116) and measure cytoplasmic </w:t>
      </w:r>
      <w:proofErr w:type="spellStart"/>
      <w:r w:rsidRPr="00DE420F">
        <w:rPr>
          <w:rFonts w:ascii="Times New Roman" w:hAnsi="Times New Roman" w:cs="Times New Roman"/>
        </w:rPr>
        <w:t>mtDNA</w:t>
      </w:r>
      <w:proofErr w:type="spellEnd"/>
      <w:r w:rsidRPr="00DE420F">
        <w:rPr>
          <w:rFonts w:ascii="Times New Roman" w:hAnsi="Times New Roman" w:cs="Times New Roman"/>
        </w:rPr>
        <w:t xml:space="preserve">, p-STING (Ser366), and IFN-β. Compute GJS across 15+ cell lines and correlate with basal </w:t>
      </w:r>
      <w:proofErr w:type="spellStart"/>
      <w:r w:rsidRPr="00DE420F">
        <w:rPr>
          <w:rFonts w:ascii="Times New Roman" w:hAnsi="Times New Roman" w:cs="Times New Roman"/>
        </w:rPr>
        <w:t>cGAS</w:t>
      </w:r>
      <w:proofErr w:type="spellEnd"/>
      <w:r w:rsidRPr="00DE420F">
        <w:rPr>
          <w:rFonts w:ascii="Times New Roman" w:hAnsi="Times New Roman" w:cs="Times New Roman"/>
        </w:rPr>
        <w:t>–STING activity (Spearman ρ ≤ −0.6 predicted).</w:t>
      </w:r>
    </w:p>
    <w:p w14:paraId="0DE563F7" w14:textId="77777777" w:rsidR="00F8115A" w:rsidRPr="00DE420F" w:rsidRDefault="00000000">
      <w:pPr>
        <w:pStyle w:val="ListParagraph"/>
        <w:numPr>
          <w:ilvl w:val="0"/>
          <w:numId w:val="3"/>
        </w:numPr>
        <w:spacing w:after="120" w:line="300" w:lineRule="auto"/>
        <w:rPr>
          <w:rFonts w:ascii="Times New Roman" w:hAnsi="Times New Roman" w:cs="Times New Roman"/>
        </w:rPr>
      </w:pPr>
      <w:r w:rsidRPr="00DE420F">
        <w:rPr>
          <w:rFonts w:ascii="Times New Roman" w:hAnsi="Times New Roman" w:cs="Times New Roman"/>
          <w:b/>
          <w:bCs/>
        </w:rPr>
        <w:t xml:space="preserve">Protein-level validation in COADREAD tissue (8–12 weeks): </w:t>
      </w:r>
      <w:r w:rsidRPr="00DE420F">
        <w:rPr>
          <w:rFonts w:ascii="Times New Roman" w:hAnsi="Times New Roman" w:cs="Times New Roman"/>
        </w:rPr>
        <w:t xml:space="preserve">Run proximity ligation assay for HK-II–VDAC1 complexes in MSS vs MSI-H colorectal cancer tissue sections. Correlate PLA signal with CD8A IHC and </w:t>
      </w:r>
      <w:proofErr w:type="spellStart"/>
      <w:r w:rsidRPr="00DE420F">
        <w:rPr>
          <w:rFonts w:ascii="Times New Roman" w:hAnsi="Times New Roman" w:cs="Times New Roman"/>
        </w:rPr>
        <w:t>tGJS</w:t>
      </w:r>
      <w:proofErr w:type="spellEnd"/>
      <w:r w:rsidRPr="00DE420F">
        <w:rPr>
          <w:rFonts w:ascii="Times New Roman" w:hAnsi="Times New Roman" w:cs="Times New Roman"/>
        </w:rPr>
        <w:t>.</w:t>
      </w:r>
    </w:p>
    <w:p w14:paraId="3438B733" w14:textId="77777777" w:rsidR="00F8115A" w:rsidRPr="00DE420F" w:rsidRDefault="00000000">
      <w:pPr>
        <w:pStyle w:val="ListParagraph"/>
        <w:numPr>
          <w:ilvl w:val="0"/>
          <w:numId w:val="3"/>
        </w:numPr>
        <w:spacing w:after="120" w:line="300" w:lineRule="auto"/>
        <w:rPr>
          <w:rFonts w:ascii="Times New Roman" w:hAnsi="Times New Roman" w:cs="Times New Roman"/>
        </w:rPr>
      </w:pPr>
      <w:r w:rsidRPr="00DE420F">
        <w:rPr>
          <w:rFonts w:ascii="Times New Roman" w:hAnsi="Times New Roman" w:cs="Times New Roman"/>
          <w:b/>
          <w:bCs/>
        </w:rPr>
        <w:t xml:space="preserve">In vivo (10 weeks): </w:t>
      </w:r>
      <w:r w:rsidRPr="00DE420F">
        <w:rPr>
          <w:rFonts w:ascii="Times New Roman" w:hAnsi="Times New Roman" w:cs="Times New Roman"/>
        </w:rPr>
        <w:t xml:space="preserve">Gate-restoration combination (methyl </w:t>
      </w:r>
      <w:proofErr w:type="spellStart"/>
      <w:r w:rsidRPr="00DE420F">
        <w:rPr>
          <w:rFonts w:ascii="Times New Roman" w:hAnsi="Times New Roman" w:cs="Times New Roman"/>
        </w:rPr>
        <w:t>jasmonate</w:t>
      </w:r>
      <w:proofErr w:type="spellEnd"/>
      <w:r w:rsidRPr="00DE420F">
        <w:rPr>
          <w:rFonts w:ascii="Times New Roman" w:hAnsi="Times New Roman" w:cs="Times New Roman"/>
        </w:rPr>
        <w:t xml:space="preserve"> + ABT-263) + anti-PD-1 in 4T1 (immune-cold) and MC38 (immune-hot) syngeneic tumor models. Prediction: synergy in 4T1, no added benefit in MC38.</w:t>
      </w:r>
    </w:p>
    <w:p w14:paraId="7ED8E967" w14:textId="77777777" w:rsidR="00F8115A" w:rsidRPr="00DE420F" w:rsidRDefault="00000000">
      <w:pPr>
        <w:pStyle w:val="ListParagraph"/>
        <w:numPr>
          <w:ilvl w:val="0"/>
          <w:numId w:val="3"/>
        </w:numPr>
        <w:spacing w:after="200" w:line="300" w:lineRule="auto"/>
        <w:rPr>
          <w:rFonts w:ascii="Times New Roman" w:hAnsi="Times New Roman" w:cs="Times New Roman"/>
        </w:rPr>
      </w:pPr>
      <w:r w:rsidRPr="00DE420F">
        <w:rPr>
          <w:rFonts w:ascii="Times New Roman" w:hAnsi="Times New Roman" w:cs="Times New Roman"/>
          <w:b/>
          <w:bCs/>
        </w:rPr>
        <w:t xml:space="preserve">GSE91061 melanoma validation: </w:t>
      </w:r>
      <w:r w:rsidRPr="00DE420F">
        <w:rPr>
          <w:rFonts w:ascii="Times New Roman" w:hAnsi="Times New Roman" w:cs="Times New Roman"/>
        </w:rPr>
        <w:t>The Riaz 2017 nivolumab cohort (n = 109) is the next planned validation to confirm the boundary conditions in a second high-TMB tumor type.</w:t>
      </w:r>
    </w:p>
    <w:p w14:paraId="627F185D" w14:textId="77777777" w:rsidR="00F8115A" w:rsidRPr="00DE420F" w:rsidRDefault="00000000">
      <w:pPr>
        <w:rPr>
          <w:rFonts w:ascii="Times New Roman" w:hAnsi="Times New Roman" w:cs="Times New Roman"/>
        </w:rPr>
      </w:pPr>
      <w:r w:rsidRPr="00DE420F">
        <w:rPr>
          <w:rFonts w:ascii="Times New Roman" w:hAnsi="Times New Roman" w:cs="Times New Roman"/>
        </w:rPr>
        <w:br w:type="page"/>
      </w:r>
    </w:p>
    <w:p w14:paraId="40D6A30B" w14:textId="77777777" w:rsidR="00F8115A" w:rsidRDefault="00000000" w:rsidP="00DE420F">
      <w:pPr>
        <w:pStyle w:val="Heading1"/>
        <w:jc w:val="center"/>
        <w:rPr>
          <w:rFonts w:ascii="Times New Roman" w:hAnsi="Times New Roman" w:cs="Times New Roman"/>
        </w:rPr>
      </w:pPr>
      <w:r w:rsidRPr="00DE420F">
        <w:rPr>
          <w:rFonts w:ascii="Times New Roman" w:hAnsi="Times New Roman" w:cs="Times New Roman"/>
        </w:rPr>
        <w:lastRenderedPageBreak/>
        <w:t>5. Data Availability</w:t>
      </w:r>
    </w:p>
    <w:p w14:paraId="317B9653" w14:textId="77777777" w:rsidR="00DE420F" w:rsidRPr="00DE420F" w:rsidRDefault="00DE420F" w:rsidP="00DE420F">
      <w:pPr>
        <w:pStyle w:val="Heading1"/>
        <w:jc w:val="center"/>
        <w:rPr>
          <w:rFonts w:ascii="Times New Roman" w:hAnsi="Times New Roman" w:cs="Times New Roman"/>
        </w:rPr>
      </w:pPr>
    </w:p>
    <w:p w14:paraId="777A41DF" w14:textId="74AF4B36" w:rsidR="00DE420F" w:rsidRPr="00DE420F" w:rsidRDefault="00000000" w:rsidP="00DE420F">
      <w:pPr>
        <w:pStyle w:val="ListParagraph"/>
        <w:numPr>
          <w:ilvl w:val="0"/>
          <w:numId w:val="3"/>
        </w:numPr>
        <w:spacing w:after="80" w:line="300" w:lineRule="auto"/>
        <w:rPr>
          <w:rFonts w:ascii="Times New Roman" w:hAnsi="Times New Roman" w:cs="Times New Roman"/>
        </w:rPr>
      </w:pPr>
      <w:r w:rsidRPr="00DE420F">
        <w:rPr>
          <w:rFonts w:ascii="Times New Roman" w:hAnsi="Times New Roman" w:cs="Times New Roman"/>
          <w:b/>
          <w:bCs/>
        </w:rPr>
        <w:t xml:space="preserve">Analysis scripts: </w:t>
      </w:r>
      <w:r w:rsidRPr="00DE420F">
        <w:rPr>
          <w:rFonts w:ascii="Times New Roman" w:eastAsia="Consolas" w:hAnsi="Times New Roman" w:cs="Times New Roman"/>
          <w:color w:val="546E7A"/>
          <w:sz w:val="20"/>
          <w:szCs w:val="20"/>
        </w:rPr>
        <w:t>analysis/</w:t>
      </w:r>
      <w:proofErr w:type="spellStart"/>
      <w:r w:rsidRPr="00DE420F">
        <w:rPr>
          <w:rFonts w:ascii="Times New Roman" w:eastAsia="Consolas" w:hAnsi="Times New Roman" w:cs="Times New Roman"/>
          <w:color w:val="546E7A"/>
          <w:sz w:val="20"/>
          <w:szCs w:val="20"/>
        </w:rPr>
        <w:t>tcga_gjs</w:t>
      </w:r>
      <w:proofErr w:type="spellEnd"/>
      <w:r w:rsidRPr="00DE420F">
        <w:rPr>
          <w:rFonts w:ascii="Times New Roman" w:eastAsia="Consolas" w:hAnsi="Times New Roman" w:cs="Times New Roman"/>
          <w:color w:val="546E7A"/>
          <w:sz w:val="20"/>
          <w:szCs w:val="20"/>
        </w:rPr>
        <w:t>/compute_tgjs.py, compute_tgjs_coadread_mss.py; analysis/imvigor210/compute_tgjs_imvigor210.R</w:t>
      </w:r>
    </w:p>
    <w:p w14:paraId="10FFEEBD" w14:textId="77777777" w:rsidR="00F8115A" w:rsidRPr="00DE420F" w:rsidRDefault="00000000">
      <w:pPr>
        <w:pStyle w:val="ListParagraph"/>
        <w:numPr>
          <w:ilvl w:val="0"/>
          <w:numId w:val="3"/>
        </w:numPr>
        <w:spacing w:after="80" w:line="300" w:lineRule="auto"/>
        <w:rPr>
          <w:rFonts w:ascii="Times New Roman" w:hAnsi="Times New Roman" w:cs="Times New Roman"/>
        </w:rPr>
      </w:pPr>
      <w:r w:rsidRPr="00DE420F">
        <w:rPr>
          <w:rFonts w:ascii="Times New Roman" w:hAnsi="Times New Roman" w:cs="Times New Roman"/>
          <w:b/>
          <w:bCs/>
        </w:rPr>
        <w:t xml:space="preserve">Repository: </w:t>
      </w:r>
      <w:r w:rsidRPr="00DE420F">
        <w:rPr>
          <w:rFonts w:ascii="Times New Roman" w:eastAsia="Consolas" w:hAnsi="Times New Roman" w:cs="Times New Roman"/>
          <w:color w:val="2C3E6B"/>
          <w:sz w:val="20"/>
          <w:szCs w:val="20"/>
        </w:rPr>
        <w:t>github.com/</w:t>
      </w:r>
      <w:proofErr w:type="spellStart"/>
      <w:r w:rsidRPr="00DE420F">
        <w:rPr>
          <w:rFonts w:ascii="Times New Roman" w:eastAsia="Consolas" w:hAnsi="Times New Roman" w:cs="Times New Roman"/>
          <w:color w:val="2C3E6B"/>
          <w:sz w:val="20"/>
          <w:szCs w:val="20"/>
        </w:rPr>
        <w:t>templetwo</w:t>
      </w:r>
      <w:proofErr w:type="spellEnd"/>
      <w:r w:rsidRPr="00DE420F">
        <w:rPr>
          <w:rFonts w:ascii="Times New Roman" w:eastAsia="Consolas" w:hAnsi="Times New Roman" w:cs="Times New Roman"/>
          <w:color w:val="2C3E6B"/>
          <w:sz w:val="20"/>
          <w:szCs w:val="20"/>
        </w:rPr>
        <w:t>/</w:t>
      </w:r>
      <w:proofErr w:type="spellStart"/>
      <w:r w:rsidRPr="00DE420F">
        <w:rPr>
          <w:rFonts w:ascii="Times New Roman" w:eastAsia="Consolas" w:hAnsi="Times New Roman" w:cs="Times New Roman"/>
          <w:color w:val="2C3E6B"/>
          <w:sz w:val="20"/>
          <w:szCs w:val="20"/>
        </w:rPr>
        <w:t>vdac</w:t>
      </w:r>
      <w:proofErr w:type="spellEnd"/>
      <w:r w:rsidRPr="00DE420F">
        <w:rPr>
          <w:rFonts w:ascii="Times New Roman" w:eastAsia="Consolas" w:hAnsi="Times New Roman" w:cs="Times New Roman"/>
          <w:color w:val="2C3E6B"/>
          <w:sz w:val="20"/>
          <w:szCs w:val="20"/>
        </w:rPr>
        <w:t>-pharmacology-atlas</w:t>
      </w:r>
    </w:p>
    <w:p w14:paraId="45767E29" w14:textId="77777777" w:rsidR="00F8115A" w:rsidRPr="00DE420F" w:rsidRDefault="00000000">
      <w:pPr>
        <w:pStyle w:val="ListParagraph"/>
        <w:numPr>
          <w:ilvl w:val="0"/>
          <w:numId w:val="3"/>
        </w:numPr>
        <w:spacing w:after="80" w:line="300" w:lineRule="auto"/>
        <w:rPr>
          <w:rFonts w:ascii="Times New Roman" w:hAnsi="Times New Roman" w:cs="Times New Roman"/>
        </w:rPr>
      </w:pPr>
      <w:r w:rsidRPr="00DE420F">
        <w:rPr>
          <w:rFonts w:ascii="Times New Roman" w:hAnsi="Times New Roman" w:cs="Times New Roman"/>
          <w:b/>
          <w:bCs/>
        </w:rPr>
        <w:t xml:space="preserve">Dataset archive: </w:t>
      </w:r>
      <w:r w:rsidRPr="00DE420F">
        <w:rPr>
          <w:rFonts w:ascii="Times New Roman" w:eastAsia="Consolas" w:hAnsi="Times New Roman" w:cs="Times New Roman"/>
          <w:color w:val="2C3E6B"/>
          <w:sz w:val="20"/>
          <w:szCs w:val="20"/>
        </w:rPr>
        <w:t>huggingface.co/datasets/</w:t>
      </w:r>
      <w:proofErr w:type="spellStart"/>
      <w:r w:rsidRPr="00DE420F">
        <w:rPr>
          <w:rFonts w:ascii="Times New Roman" w:eastAsia="Consolas" w:hAnsi="Times New Roman" w:cs="Times New Roman"/>
          <w:color w:val="2C3E6B"/>
          <w:sz w:val="20"/>
          <w:szCs w:val="20"/>
        </w:rPr>
        <w:t>TheTempleofTwo</w:t>
      </w:r>
      <w:proofErr w:type="spellEnd"/>
      <w:r w:rsidRPr="00DE420F">
        <w:rPr>
          <w:rFonts w:ascii="Times New Roman" w:eastAsia="Consolas" w:hAnsi="Times New Roman" w:cs="Times New Roman"/>
          <w:color w:val="2C3E6B"/>
          <w:sz w:val="20"/>
          <w:szCs w:val="20"/>
        </w:rPr>
        <w:t>/</w:t>
      </w:r>
      <w:proofErr w:type="spellStart"/>
      <w:r w:rsidRPr="00DE420F">
        <w:rPr>
          <w:rFonts w:ascii="Times New Roman" w:eastAsia="Consolas" w:hAnsi="Times New Roman" w:cs="Times New Roman"/>
          <w:color w:val="2C3E6B"/>
          <w:sz w:val="20"/>
          <w:szCs w:val="20"/>
        </w:rPr>
        <w:t>vdac</w:t>
      </w:r>
      <w:proofErr w:type="spellEnd"/>
      <w:r w:rsidRPr="00DE420F">
        <w:rPr>
          <w:rFonts w:ascii="Times New Roman" w:eastAsia="Consolas" w:hAnsi="Times New Roman" w:cs="Times New Roman"/>
          <w:color w:val="2C3E6B"/>
          <w:sz w:val="20"/>
          <w:szCs w:val="20"/>
        </w:rPr>
        <w:t>-pharmacology-atlas</w:t>
      </w:r>
    </w:p>
    <w:p w14:paraId="6DD2B8E4" w14:textId="77777777" w:rsidR="00F8115A" w:rsidRPr="00DE420F" w:rsidRDefault="00000000">
      <w:pPr>
        <w:pStyle w:val="ListParagraph"/>
        <w:numPr>
          <w:ilvl w:val="0"/>
          <w:numId w:val="3"/>
        </w:numPr>
        <w:spacing w:after="80" w:line="300" w:lineRule="auto"/>
        <w:rPr>
          <w:rFonts w:ascii="Times New Roman" w:hAnsi="Times New Roman" w:cs="Times New Roman"/>
        </w:rPr>
      </w:pPr>
      <w:r w:rsidRPr="00DE420F">
        <w:rPr>
          <w:rFonts w:ascii="Times New Roman" w:hAnsi="Times New Roman" w:cs="Times New Roman"/>
          <w:b/>
          <w:bCs/>
        </w:rPr>
        <w:t xml:space="preserve">OSF preregistration: </w:t>
      </w:r>
      <w:r w:rsidRPr="00DE420F">
        <w:rPr>
          <w:rFonts w:ascii="Times New Roman" w:eastAsia="Consolas" w:hAnsi="Times New Roman" w:cs="Times New Roman"/>
          <w:color w:val="2C3E6B"/>
          <w:sz w:val="20"/>
          <w:szCs w:val="20"/>
        </w:rPr>
        <w:t>osf.io/c9rqb/</w:t>
      </w:r>
    </w:p>
    <w:p w14:paraId="480C0667" w14:textId="77777777" w:rsidR="00F8115A" w:rsidRPr="00DE420F" w:rsidRDefault="00000000">
      <w:pPr>
        <w:pStyle w:val="ListParagraph"/>
        <w:numPr>
          <w:ilvl w:val="0"/>
          <w:numId w:val="3"/>
        </w:numPr>
        <w:spacing w:after="200" w:line="300" w:lineRule="auto"/>
        <w:rPr>
          <w:rFonts w:ascii="Times New Roman" w:hAnsi="Times New Roman" w:cs="Times New Roman"/>
        </w:rPr>
      </w:pPr>
      <w:r w:rsidRPr="00DE420F">
        <w:rPr>
          <w:rFonts w:ascii="Times New Roman" w:hAnsi="Times New Roman" w:cs="Times New Roman"/>
          <w:b/>
          <w:bCs/>
        </w:rPr>
        <w:t xml:space="preserve">IRIS Gate Evo pipeline: </w:t>
      </w:r>
      <w:r w:rsidRPr="00DE420F">
        <w:rPr>
          <w:rFonts w:ascii="Times New Roman" w:eastAsia="Consolas" w:hAnsi="Times New Roman" w:cs="Times New Roman"/>
          <w:color w:val="2C3E6B"/>
          <w:sz w:val="20"/>
          <w:szCs w:val="20"/>
        </w:rPr>
        <w:t>github.com/</w:t>
      </w:r>
      <w:proofErr w:type="spellStart"/>
      <w:r w:rsidRPr="00DE420F">
        <w:rPr>
          <w:rFonts w:ascii="Times New Roman" w:eastAsia="Consolas" w:hAnsi="Times New Roman" w:cs="Times New Roman"/>
          <w:color w:val="2C3E6B"/>
          <w:sz w:val="20"/>
          <w:szCs w:val="20"/>
        </w:rPr>
        <w:t>templetwo</w:t>
      </w:r>
      <w:proofErr w:type="spellEnd"/>
      <w:r w:rsidRPr="00DE420F">
        <w:rPr>
          <w:rFonts w:ascii="Times New Roman" w:eastAsia="Consolas" w:hAnsi="Times New Roman" w:cs="Times New Roman"/>
          <w:color w:val="2C3E6B"/>
          <w:sz w:val="20"/>
          <w:szCs w:val="20"/>
        </w:rPr>
        <w:t>/iris-gate-evo</w:t>
      </w:r>
    </w:p>
    <w:p w14:paraId="0826765E" w14:textId="77777777" w:rsidR="00DE420F" w:rsidRPr="00DE420F" w:rsidRDefault="00DE420F" w:rsidP="00DE420F">
      <w:pPr>
        <w:spacing w:after="200" w:line="300" w:lineRule="auto"/>
        <w:rPr>
          <w:rFonts w:ascii="Times New Roman" w:hAnsi="Times New Roman" w:cs="Times New Roman"/>
        </w:rPr>
      </w:pPr>
    </w:p>
    <w:p w14:paraId="105E75C3" w14:textId="77777777" w:rsidR="00F8115A" w:rsidRDefault="00000000" w:rsidP="00DE420F">
      <w:pPr>
        <w:pStyle w:val="Heading1"/>
        <w:jc w:val="center"/>
        <w:rPr>
          <w:rFonts w:ascii="Times New Roman" w:hAnsi="Times New Roman" w:cs="Times New Roman"/>
        </w:rPr>
      </w:pPr>
      <w:r w:rsidRPr="00DE420F">
        <w:rPr>
          <w:rFonts w:ascii="Times New Roman" w:hAnsi="Times New Roman" w:cs="Times New Roman"/>
        </w:rPr>
        <w:t>6. Author Contributions</w:t>
      </w:r>
    </w:p>
    <w:p w14:paraId="34613F92" w14:textId="77777777" w:rsidR="00DE420F" w:rsidRPr="00DE420F" w:rsidRDefault="00DE420F" w:rsidP="00DE420F">
      <w:pPr>
        <w:pStyle w:val="Heading1"/>
        <w:jc w:val="center"/>
        <w:rPr>
          <w:rFonts w:ascii="Times New Roman" w:hAnsi="Times New Roman" w:cs="Times New Roman"/>
        </w:rPr>
      </w:pPr>
    </w:p>
    <w:p w14:paraId="12D8733D" w14:textId="77777777" w:rsidR="00F8115A" w:rsidRDefault="00000000">
      <w:pPr>
        <w:spacing w:after="160" w:line="300" w:lineRule="auto"/>
        <w:jc w:val="both"/>
        <w:rPr>
          <w:rFonts w:ascii="Times New Roman" w:hAnsi="Times New Roman" w:cs="Times New Roman"/>
        </w:rPr>
      </w:pPr>
      <w:r w:rsidRPr="00DE420F">
        <w:rPr>
          <w:rFonts w:ascii="Times New Roman" w:hAnsi="Times New Roman" w:cs="Times New Roman"/>
        </w:rPr>
        <w:t>A.J.V. conceived the research questions, designed the analytical framework, executed all computational analyses, interpreted all results, and wrote the manuscript. Computational analyses were executed with Claude Code (Anthropic). Manuscript drafting was assisted by Claude (Anthropic). The IRIS multi-model convergence protocol was developed and run by A.J.V. using five independent AI systems (Claude Opus, Gemini Pro, Grok, Mistral, DeepSeek); convergence metrics are system-computed. All scientific decisions, interpretations, and conclusions are solely the responsibility of A.J.V.</w:t>
      </w:r>
    </w:p>
    <w:p w14:paraId="4D3B034F" w14:textId="77777777" w:rsidR="00DE420F" w:rsidRPr="00DE420F" w:rsidRDefault="00DE420F">
      <w:pPr>
        <w:spacing w:after="160" w:line="300" w:lineRule="auto"/>
        <w:jc w:val="both"/>
        <w:rPr>
          <w:rFonts w:ascii="Times New Roman" w:hAnsi="Times New Roman" w:cs="Times New Roman"/>
        </w:rPr>
      </w:pPr>
    </w:p>
    <w:p w14:paraId="14C9A3E2" w14:textId="77777777" w:rsidR="00F8115A" w:rsidRDefault="00000000" w:rsidP="00DE420F">
      <w:pPr>
        <w:pStyle w:val="Heading1"/>
        <w:jc w:val="center"/>
        <w:rPr>
          <w:rFonts w:ascii="Times New Roman" w:hAnsi="Times New Roman" w:cs="Times New Roman"/>
        </w:rPr>
      </w:pPr>
      <w:r w:rsidRPr="00DE420F">
        <w:rPr>
          <w:rFonts w:ascii="Times New Roman" w:hAnsi="Times New Roman" w:cs="Times New Roman"/>
        </w:rPr>
        <w:t>7. Competing Interests</w:t>
      </w:r>
    </w:p>
    <w:p w14:paraId="101BDB6B" w14:textId="77777777" w:rsidR="00DE420F" w:rsidRPr="00DE420F" w:rsidRDefault="00DE420F" w:rsidP="00DE420F">
      <w:pPr>
        <w:pStyle w:val="Heading1"/>
        <w:jc w:val="center"/>
        <w:rPr>
          <w:rFonts w:ascii="Times New Roman" w:hAnsi="Times New Roman" w:cs="Times New Roman"/>
        </w:rPr>
      </w:pPr>
    </w:p>
    <w:p w14:paraId="16A0DBD6" w14:textId="77777777" w:rsidR="00F8115A" w:rsidRDefault="00000000" w:rsidP="00DE420F">
      <w:pPr>
        <w:spacing w:after="160" w:line="300" w:lineRule="auto"/>
        <w:jc w:val="center"/>
        <w:rPr>
          <w:rFonts w:ascii="Times New Roman" w:hAnsi="Times New Roman" w:cs="Times New Roman"/>
        </w:rPr>
      </w:pPr>
      <w:r w:rsidRPr="00DE420F">
        <w:rPr>
          <w:rFonts w:ascii="Times New Roman" w:hAnsi="Times New Roman" w:cs="Times New Roman"/>
        </w:rPr>
        <w:t>The author declares no competing interests. This work received no external funding.</w:t>
      </w:r>
    </w:p>
    <w:p w14:paraId="53B171D5" w14:textId="77777777" w:rsidR="00DE420F" w:rsidRPr="00DE420F" w:rsidRDefault="00DE420F" w:rsidP="00DE420F">
      <w:pPr>
        <w:spacing w:after="160" w:line="300" w:lineRule="auto"/>
        <w:jc w:val="center"/>
        <w:rPr>
          <w:rFonts w:ascii="Times New Roman" w:hAnsi="Times New Roman" w:cs="Times New Roman"/>
        </w:rPr>
      </w:pPr>
    </w:p>
    <w:p w14:paraId="341E6634" w14:textId="77777777" w:rsidR="00F8115A" w:rsidRDefault="00000000" w:rsidP="00DE420F">
      <w:pPr>
        <w:pStyle w:val="Heading1"/>
        <w:jc w:val="center"/>
        <w:rPr>
          <w:rFonts w:ascii="Times New Roman" w:hAnsi="Times New Roman" w:cs="Times New Roman"/>
        </w:rPr>
      </w:pPr>
      <w:r w:rsidRPr="00DE420F">
        <w:rPr>
          <w:rFonts w:ascii="Times New Roman" w:hAnsi="Times New Roman" w:cs="Times New Roman"/>
        </w:rPr>
        <w:t>8. License</w:t>
      </w:r>
    </w:p>
    <w:p w14:paraId="5531194B" w14:textId="77777777" w:rsidR="00DE420F" w:rsidRPr="00DE420F" w:rsidRDefault="00DE420F" w:rsidP="00DE420F">
      <w:pPr>
        <w:pStyle w:val="Heading1"/>
        <w:jc w:val="center"/>
        <w:rPr>
          <w:rFonts w:ascii="Times New Roman" w:hAnsi="Times New Roman" w:cs="Times New Roman"/>
        </w:rPr>
      </w:pPr>
    </w:p>
    <w:p w14:paraId="0D439AFB" w14:textId="77777777" w:rsidR="00F8115A" w:rsidRPr="00DE420F" w:rsidRDefault="00000000" w:rsidP="00DE420F">
      <w:pPr>
        <w:spacing w:after="160" w:line="300" w:lineRule="auto"/>
        <w:jc w:val="center"/>
        <w:rPr>
          <w:rFonts w:ascii="Times New Roman" w:hAnsi="Times New Roman" w:cs="Times New Roman"/>
        </w:rPr>
      </w:pPr>
      <w:r w:rsidRPr="00DE420F">
        <w:rPr>
          <w:rFonts w:ascii="Times New Roman" w:hAnsi="Times New Roman" w:cs="Times New Roman"/>
        </w:rPr>
        <w:t>This manuscript and all associated data are released under CC BY 4.0.</w:t>
      </w:r>
    </w:p>
    <w:p w14:paraId="759D4A99" w14:textId="77777777" w:rsidR="00F8115A" w:rsidRPr="00DE420F" w:rsidRDefault="00000000" w:rsidP="00DE420F">
      <w:pPr>
        <w:jc w:val="center"/>
        <w:rPr>
          <w:rFonts w:ascii="Times New Roman" w:hAnsi="Times New Roman" w:cs="Times New Roman"/>
        </w:rPr>
      </w:pPr>
      <w:r w:rsidRPr="00DE420F">
        <w:rPr>
          <w:rFonts w:ascii="Times New Roman" w:hAnsi="Times New Roman" w:cs="Times New Roman"/>
        </w:rPr>
        <w:br w:type="page"/>
      </w:r>
    </w:p>
    <w:p w14:paraId="2E43D15C" w14:textId="77777777" w:rsidR="00F8115A" w:rsidRPr="00DE420F" w:rsidRDefault="00000000" w:rsidP="00DE420F">
      <w:pPr>
        <w:pStyle w:val="Heading1"/>
        <w:jc w:val="center"/>
        <w:rPr>
          <w:rFonts w:ascii="Times New Roman" w:hAnsi="Times New Roman" w:cs="Times New Roman"/>
        </w:rPr>
      </w:pPr>
      <w:r w:rsidRPr="00DE420F">
        <w:rPr>
          <w:rFonts w:ascii="Times New Roman" w:hAnsi="Times New Roman" w:cs="Times New Roman"/>
        </w:rPr>
        <w:lastRenderedPageBreak/>
        <w:t>References</w:t>
      </w:r>
    </w:p>
    <w:p w14:paraId="7AC380F9" w14:textId="77777777" w:rsidR="00F8115A" w:rsidRPr="00CF44FC" w:rsidRDefault="00000000">
      <w:pPr>
        <w:spacing w:after="100" w:line="280" w:lineRule="auto"/>
        <w:ind w:left="360" w:hanging="360"/>
        <w:rPr>
          <w:rFonts w:ascii="Times New Roman" w:hAnsi="Times New Roman" w:cs="Times New Roman"/>
          <w:sz w:val="24"/>
          <w:szCs w:val="24"/>
        </w:rPr>
      </w:pPr>
      <w:proofErr w:type="spellStart"/>
      <w:r w:rsidRPr="00CF44FC">
        <w:rPr>
          <w:rFonts w:ascii="Times New Roman" w:hAnsi="Times New Roman" w:cs="Times New Roman"/>
          <w:sz w:val="21"/>
          <w:szCs w:val="21"/>
        </w:rPr>
        <w:t>Betaneli</w:t>
      </w:r>
      <w:proofErr w:type="spellEnd"/>
      <w:r w:rsidRPr="00CF44FC">
        <w:rPr>
          <w:rFonts w:ascii="Times New Roman" w:hAnsi="Times New Roman" w:cs="Times New Roman"/>
          <w:sz w:val="21"/>
          <w:szCs w:val="21"/>
        </w:rPr>
        <w:t xml:space="preserve"> V, Petrov EP, Schwille P. (2012) The role of lipids in VDAC oligomerization. </w:t>
      </w:r>
      <w:proofErr w:type="spellStart"/>
      <w:r w:rsidRPr="00CF44FC">
        <w:rPr>
          <w:rFonts w:ascii="Times New Roman" w:hAnsi="Times New Roman" w:cs="Times New Roman"/>
          <w:sz w:val="21"/>
          <w:szCs w:val="21"/>
        </w:rPr>
        <w:t>Biophys</w:t>
      </w:r>
      <w:proofErr w:type="spellEnd"/>
      <w:r w:rsidRPr="00CF44FC">
        <w:rPr>
          <w:rFonts w:ascii="Times New Roman" w:hAnsi="Times New Roman" w:cs="Times New Roman"/>
          <w:sz w:val="21"/>
          <w:szCs w:val="21"/>
        </w:rPr>
        <w:t xml:space="preserve"> J 102:523.</w:t>
      </w:r>
    </w:p>
    <w:p w14:paraId="3937C665" w14:textId="343046BE" w:rsidR="00F8115A" w:rsidRPr="00CF44FC" w:rsidRDefault="00000000">
      <w:pPr>
        <w:spacing w:after="100" w:line="280" w:lineRule="auto"/>
        <w:ind w:left="360" w:hanging="360"/>
        <w:rPr>
          <w:rFonts w:ascii="Times New Roman" w:hAnsi="Times New Roman" w:cs="Times New Roman"/>
          <w:sz w:val="24"/>
          <w:szCs w:val="24"/>
        </w:rPr>
      </w:pPr>
      <w:r w:rsidRPr="00CF44FC">
        <w:rPr>
          <w:rFonts w:ascii="Times New Roman" w:hAnsi="Times New Roman" w:cs="Times New Roman"/>
          <w:sz w:val="21"/>
          <w:szCs w:val="21"/>
        </w:rPr>
        <w:t>Bieker JT, Timme S, et al. (2025) A membrane-buried glutamate mediates VDAC–hexokinase binding. Commun Biol 8:212.</w:t>
      </w:r>
    </w:p>
    <w:p w14:paraId="2BC2E6C9" w14:textId="77777777" w:rsidR="00F8115A" w:rsidRPr="00CF44FC" w:rsidRDefault="00000000">
      <w:pPr>
        <w:spacing w:after="100" w:line="280" w:lineRule="auto"/>
        <w:ind w:left="360" w:hanging="360"/>
        <w:rPr>
          <w:rFonts w:ascii="Times New Roman" w:hAnsi="Times New Roman" w:cs="Times New Roman"/>
          <w:sz w:val="24"/>
          <w:szCs w:val="24"/>
        </w:rPr>
      </w:pPr>
      <w:r w:rsidRPr="00CF44FC">
        <w:rPr>
          <w:rFonts w:ascii="Times New Roman" w:hAnsi="Times New Roman" w:cs="Times New Roman"/>
          <w:sz w:val="21"/>
          <w:szCs w:val="21"/>
        </w:rPr>
        <w:t>Carozza JA, et al. (2023) ENPP1 as an innate immune checkpoint. PNAS.</w:t>
      </w:r>
    </w:p>
    <w:p w14:paraId="6F1C7B8B" w14:textId="77777777" w:rsidR="00F8115A" w:rsidRPr="00CF44FC" w:rsidRDefault="00000000">
      <w:pPr>
        <w:spacing w:after="100" w:line="280" w:lineRule="auto"/>
        <w:ind w:left="360" w:hanging="360"/>
        <w:rPr>
          <w:rFonts w:ascii="Times New Roman" w:hAnsi="Times New Roman" w:cs="Times New Roman"/>
          <w:sz w:val="24"/>
          <w:szCs w:val="24"/>
        </w:rPr>
      </w:pPr>
      <w:r w:rsidRPr="00CF44FC">
        <w:rPr>
          <w:rFonts w:ascii="Times New Roman" w:hAnsi="Times New Roman" w:cs="Times New Roman"/>
          <w:sz w:val="21"/>
          <w:szCs w:val="21"/>
        </w:rPr>
        <w:t>Daniilidis M, Gunsel U, et al. (2025) Structural basis of apoptosis induction by VDAC1. Nat Commun 16:9481.</w:t>
      </w:r>
    </w:p>
    <w:p w14:paraId="32BC6B20" w14:textId="77777777" w:rsidR="00F8115A" w:rsidRPr="00CF44FC" w:rsidRDefault="00000000">
      <w:pPr>
        <w:spacing w:after="100" w:line="280" w:lineRule="auto"/>
        <w:ind w:left="360" w:hanging="360"/>
        <w:rPr>
          <w:rFonts w:ascii="Times New Roman" w:hAnsi="Times New Roman" w:cs="Times New Roman"/>
          <w:sz w:val="24"/>
          <w:szCs w:val="24"/>
        </w:rPr>
      </w:pPr>
      <w:proofErr w:type="spellStart"/>
      <w:r w:rsidRPr="00CF44FC">
        <w:rPr>
          <w:rFonts w:ascii="Times New Roman" w:hAnsi="Times New Roman" w:cs="Times New Roman"/>
          <w:sz w:val="21"/>
          <w:szCs w:val="21"/>
        </w:rPr>
        <w:t>Fadzeyeva</w:t>
      </w:r>
      <w:proofErr w:type="spellEnd"/>
      <w:r w:rsidRPr="00CF44FC">
        <w:rPr>
          <w:rFonts w:ascii="Times New Roman" w:hAnsi="Times New Roman" w:cs="Times New Roman"/>
          <w:sz w:val="21"/>
          <w:szCs w:val="21"/>
        </w:rPr>
        <w:t xml:space="preserve"> E, et al. (2026) CBD-induced VDAC1 oligomerization-dependent effects. Pharmaceuticals 19:95.</w:t>
      </w:r>
    </w:p>
    <w:p w14:paraId="01666632" w14:textId="77777777" w:rsidR="00F8115A" w:rsidRPr="00CF44FC" w:rsidRDefault="00000000">
      <w:pPr>
        <w:spacing w:after="100" w:line="280" w:lineRule="auto"/>
        <w:ind w:left="360" w:hanging="360"/>
        <w:rPr>
          <w:rFonts w:ascii="Times New Roman" w:hAnsi="Times New Roman" w:cs="Times New Roman"/>
          <w:sz w:val="24"/>
          <w:szCs w:val="24"/>
        </w:rPr>
      </w:pPr>
      <w:proofErr w:type="spellStart"/>
      <w:r w:rsidRPr="00CF44FC">
        <w:rPr>
          <w:rFonts w:ascii="Times New Roman" w:hAnsi="Times New Roman" w:cs="Times New Roman"/>
          <w:sz w:val="21"/>
          <w:szCs w:val="21"/>
        </w:rPr>
        <w:t>Gehrcken</w:t>
      </w:r>
      <w:proofErr w:type="spellEnd"/>
      <w:r w:rsidRPr="00CF44FC">
        <w:rPr>
          <w:rFonts w:ascii="Times New Roman" w:hAnsi="Times New Roman" w:cs="Times New Roman"/>
          <w:sz w:val="21"/>
          <w:szCs w:val="21"/>
        </w:rPr>
        <w:t xml:space="preserve"> L, et al. (2025) </w:t>
      </w:r>
      <w:proofErr w:type="spellStart"/>
      <w:r w:rsidRPr="00CF44FC">
        <w:rPr>
          <w:rFonts w:ascii="Times New Roman" w:hAnsi="Times New Roman" w:cs="Times New Roman"/>
          <w:sz w:val="21"/>
          <w:szCs w:val="21"/>
        </w:rPr>
        <w:t>cGAS</w:t>
      </w:r>
      <w:proofErr w:type="spellEnd"/>
      <w:r w:rsidRPr="00CF44FC">
        <w:rPr>
          <w:rFonts w:ascii="Times New Roman" w:hAnsi="Times New Roman" w:cs="Times New Roman"/>
          <w:sz w:val="21"/>
          <w:szCs w:val="21"/>
        </w:rPr>
        <w:t>–STING in anti-tumor immunity. Adv Sci 12:2500296.</w:t>
      </w:r>
    </w:p>
    <w:p w14:paraId="506B4F26" w14:textId="77777777" w:rsidR="00F8115A" w:rsidRPr="00CF44FC" w:rsidRDefault="00000000">
      <w:pPr>
        <w:spacing w:after="100" w:line="280" w:lineRule="auto"/>
        <w:ind w:left="360" w:hanging="360"/>
        <w:rPr>
          <w:rFonts w:ascii="Times New Roman" w:hAnsi="Times New Roman" w:cs="Times New Roman"/>
          <w:sz w:val="24"/>
          <w:szCs w:val="24"/>
        </w:rPr>
      </w:pPr>
      <w:r w:rsidRPr="00CF44FC">
        <w:rPr>
          <w:rFonts w:ascii="Times New Roman" w:hAnsi="Times New Roman" w:cs="Times New Roman"/>
          <w:sz w:val="21"/>
          <w:szCs w:val="21"/>
        </w:rPr>
        <w:t>Goicoechea L, et al. (2023) Mitochondrial cholesterol: metabolism and impact on redox biology. Redox Biol 61:102643.</w:t>
      </w:r>
    </w:p>
    <w:p w14:paraId="3FC84D7B" w14:textId="77777777" w:rsidR="00F8115A" w:rsidRPr="00CF44FC" w:rsidRDefault="00000000">
      <w:pPr>
        <w:spacing w:after="100" w:line="280" w:lineRule="auto"/>
        <w:ind w:left="360" w:hanging="360"/>
        <w:rPr>
          <w:rFonts w:ascii="Times New Roman" w:hAnsi="Times New Roman" w:cs="Times New Roman"/>
          <w:sz w:val="24"/>
          <w:szCs w:val="24"/>
        </w:rPr>
      </w:pPr>
      <w:r w:rsidRPr="00CF44FC">
        <w:rPr>
          <w:rFonts w:ascii="Times New Roman" w:hAnsi="Times New Roman" w:cs="Times New Roman"/>
          <w:sz w:val="21"/>
          <w:szCs w:val="21"/>
        </w:rPr>
        <w:t>Ikeda H, et al. (2025) Mitochondrial transfer from cancer cells to TILs. Nature.</w:t>
      </w:r>
    </w:p>
    <w:p w14:paraId="0251437A" w14:textId="77777777" w:rsidR="00F8115A" w:rsidRPr="00CF44FC" w:rsidRDefault="00000000">
      <w:pPr>
        <w:spacing w:after="100" w:line="280" w:lineRule="auto"/>
        <w:ind w:left="360" w:hanging="360"/>
        <w:rPr>
          <w:rFonts w:ascii="Times New Roman" w:hAnsi="Times New Roman" w:cs="Times New Roman"/>
          <w:sz w:val="24"/>
          <w:szCs w:val="24"/>
        </w:rPr>
      </w:pPr>
      <w:r w:rsidRPr="00CF44FC">
        <w:rPr>
          <w:rFonts w:ascii="Times New Roman" w:hAnsi="Times New Roman" w:cs="Times New Roman"/>
          <w:sz w:val="21"/>
          <w:szCs w:val="21"/>
        </w:rPr>
        <w:t>Jahn H, Bartos L, Dearden GD, et al. (2023) VDAC1 dimers as phospholipid scramblases. Nat Commun 14:8115.</w:t>
      </w:r>
    </w:p>
    <w:p w14:paraId="02963FFE" w14:textId="77777777" w:rsidR="00F8115A" w:rsidRPr="00CF44FC" w:rsidRDefault="00000000">
      <w:pPr>
        <w:spacing w:after="100" w:line="280" w:lineRule="auto"/>
        <w:ind w:left="360" w:hanging="360"/>
        <w:rPr>
          <w:rFonts w:ascii="Times New Roman" w:hAnsi="Times New Roman" w:cs="Times New Roman"/>
          <w:sz w:val="24"/>
          <w:szCs w:val="24"/>
        </w:rPr>
      </w:pPr>
      <w:r w:rsidRPr="00CF44FC">
        <w:rPr>
          <w:rFonts w:ascii="Times New Roman" w:hAnsi="Times New Roman" w:cs="Times New Roman"/>
          <w:sz w:val="21"/>
          <w:szCs w:val="21"/>
        </w:rPr>
        <w:t xml:space="preserve">Kim J, et al. (2019) VDAC oligomers form mitochondrial pores to release </w:t>
      </w:r>
      <w:proofErr w:type="spellStart"/>
      <w:r w:rsidRPr="00CF44FC">
        <w:rPr>
          <w:rFonts w:ascii="Times New Roman" w:hAnsi="Times New Roman" w:cs="Times New Roman"/>
          <w:sz w:val="21"/>
          <w:szCs w:val="21"/>
        </w:rPr>
        <w:t>mtDNA</w:t>
      </w:r>
      <w:proofErr w:type="spellEnd"/>
      <w:r w:rsidRPr="00CF44FC">
        <w:rPr>
          <w:rFonts w:ascii="Times New Roman" w:hAnsi="Times New Roman" w:cs="Times New Roman"/>
          <w:sz w:val="21"/>
          <w:szCs w:val="21"/>
        </w:rPr>
        <w:t>. Science 366:1531.</w:t>
      </w:r>
    </w:p>
    <w:p w14:paraId="5921AE3E" w14:textId="77777777" w:rsidR="00F8115A" w:rsidRPr="00CF44FC" w:rsidRDefault="00000000">
      <w:pPr>
        <w:spacing w:after="100" w:line="280" w:lineRule="auto"/>
        <w:ind w:left="360" w:hanging="360"/>
        <w:rPr>
          <w:rFonts w:ascii="Times New Roman" w:hAnsi="Times New Roman" w:cs="Times New Roman"/>
          <w:sz w:val="24"/>
          <w:szCs w:val="24"/>
        </w:rPr>
      </w:pPr>
      <w:r w:rsidRPr="00CF44FC">
        <w:rPr>
          <w:rFonts w:ascii="Times New Roman" w:hAnsi="Times New Roman" w:cs="Times New Roman"/>
          <w:sz w:val="21"/>
          <w:szCs w:val="21"/>
        </w:rPr>
        <w:t>Lafargue K, et al. (2025) Lipid regulation of VDAC1 assemblies. Commun Biol 8:936.</w:t>
      </w:r>
    </w:p>
    <w:p w14:paraId="7C266F7C" w14:textId="77777777" w:rsidR="00F8115A" w:rsidRPr="00CF44FC" w:rsidRDefault="00000000">
      <w:pPr>
        <w:spacing w:after="100" w:line="280" w:lineRule="auto"/>
        <w:ind w:left="360" w:hanging="360"/>
        <w:rPr>
          <w:rFonts w:ascii="Times New Roman" w:hAnsi="Times New Roman" w:cs="Times New Roman"/>
          <w:sz w:val="24"/>
          <w:szCs w:val="24"/>
        </w:rPr>
      </w:pPr>
      <w:r w:rsidRPr="00CF44FC">
        <w:rPr>
          <w:rFonts w:ascii="Times New Roman" w:hAnsi="Times New Roman" w:cs="Times New Roman"/>
          <w:sz w:val="21"/>
          <w:szCs w:val="21"/>
        </w:rPr>
        <w:t xml:space="preserve">Lai J, et al. (2025) VDAC-mediated </w:t>
      </w:r>
      <w:proofErr w:type="spellStart"/>
      <w:r w:rsidRPr="00CF44FC">
        <w:rPr>
          <w:rFonts w:ascii="Times New Roman" w:hAnsi="Times New Roman" w:cs="Times New Roman"/>
          <w:sz w:val="21"/>
          <w:szCs w:val="21"/>
        </w:rPr>
        <w:t>mtDNA</w:t>
      </w:r>
      <w:proofErr w:type="spellEnd"/>
      <w:r w:rsidRPr="00CF44FC">
        <w:rPr>
          <w:rFonts w:ascii="Times New Roman" w:hAnsi="Times New Roman" w:cs="Times New Roman"/>
          <w:sz w:val="21"/>
          <w:szCs w:val="21"/>
        </w:rPr>
        <w:t xml:space="preserve"> release from senescent tumor cells. Immunity 58:811.</w:t>
      </w:r>
    </w:p>
    <w:p w14:paraId="698FE0FB" w14:textId="77777777" w:rsidR="00F8115A" w:rsidRPr="00CF44FC" w:rsidRDefault="00000000">
      <w:pPr>
        <w:spacing w:after="100" w:line="280" w:lineRule="auto"/>
        <w:ind w:left="360" w:hanging="360"/>
        <w:rPr>
          <w:rFonts w:ascii="Times New Roman" w:hAnsi="Times New Roman" w:cs="Times New Roman"/>
          <w:sz w:val="24"/>
          <w:szCs w:val="24"/>
        </w:rPr>
      </w:pPr>
      <w:proofErr w:type="spellStart"/>
      <w:r w:rsidRPr="00CF44FC">
        <w:rPr>
          <w:rFonts w:ascii="Times New Roman" w:hAnsi="Times New Roman" w:cs="Times New Roman"/>
          <w:sz w:val="21"/>
          <w:szCs w:val="21"/>
        </w:rPr>
        <w:t>Mangalhara</w:t>
      </w:r>
      <w:proofErr w:type="spellEnd"/>
      <w:r w:rsidRPr="00CF44FC">
        <w:rPr>
          <w:rFonts w:ascii="Times New Roman" w:hAnsi="Times New Roman" w:cs="Times New Roman"/>
          <w:sz w:val="21"/>
          <w:szCs w:val="21"/>
        </w:rPr>
        <w:t xml:space="preserve"> KC, et al. (2023) Complex II loss activates MHC-I. Science 381:1316.</w:t>
      </w:r>
    </w:p>
    <w:p w14:paraId="4FB6DD77" w14:textId="77777777" w:rsidR="00F8115A" w:rsidRPr="00CF44FC" w:rsidRDefault="00000000">
      <w:pPr>
        <w:spacing w:after="100" w:line="280" w:lineRule="auto"/>
        <w:ind w:left="360" w:hanging="360"/>
        <w:rPr>
          <w:rFonts w:ascii="Times New Roman" w:hAnsi="Times New Roman" w:cs="Times New Roman"/>
          <w:sz w:val="24"/>
          <w:szCs w:val="24"/>
        </w:rPr>
      </w:pPr>
      <w:proofErr w:type="spellStart"/>
      <w:r w:rsidRPr="00CF44FC">
        <w:rPr>
          <w:rFonts w:ascii="Times New Roman" w:hAnsi="Times New Roman" w:cs="Times New Roman"/>
          <w:sz w:val="21"/>
          <w:szCs w:val="21"/>
        </w:rPr>
        <w:t>Mariathasan</w:t>
      </w:r>
      <w:proofErr w:type="spellEnd"/>
      <w:r w:rsidRPr="00CF44FC">
        <w:rPr>
          <w:rFonts w:ascii="Times New Roman" w:hAnsi="Times New Roman" w:cs="Times New Roman"/>
          <w:sz w:val="21"/>
          <w:szCs w:val="21"/>
        </w:rPr>
        <w:t xml:space="preserve"> S, et al. (2018) TGFβ attenuates </w:t>
      </w:r>
      <w:proofErr w:type="spellStart"/>
      <w:r w:rsidRPr="00CF44FC">
        <w:rPr>
          <w:rFonts w:ascii="Times New Roman" w:hAnsi="Times New Roman" w:cs="Times New Roman"/>
          <w:sz w:val="21"/>
          <w:szCs w:val="21"/>
        </w:rPr>
        <w:t>tumour</w:t>
      </w:r>
      <w:proofErr w:type="spellEnd"/>
      <w:r w:rsidRPr="00CF44FC">
        <w:rPr>
          <w:rFonts w:ascii="Times New Roman" w:hAnsi="Times New Roman" w:cs="Times New Roman"/>
          <w:sz w:val="21"/>
          <w:szCs w:val="21"/>
        </w:rPr>
        <w:t xml:space="preserve"> response to PD-L1 blockade by contributing to exclusion of T cells. Nature 554:544.</w:t>
      </w:r>
    </w:p>
    <w:p w14:paraId="355B07BB" w14:textId="77777777" w:rsidR="00F8115A" w:rsidRPr="00CF44FC" w:rsidRDefault="00000000">
      <w:pPr>
        <w:spacing w:after="100" w:line="280" w:lineRule="auto"/>
        <w:ind w:left="360" w:hanging="360"/>
        <w:rPr>
          <w:rFonts w:ascii="Times New Roman" w:hAnsi="Times New Roman" w:cs="Times New Roman"/>
          <w:sz w:val="24"/>
          <w:szCs w:val="24"/>
        </w:rPr>
      </w:pPr>
      <w:r w:rsidRPr="00CF44FC">
        <w:rPr>
          <w:rFonts w:ascii="Times New Roman" w:hAnsi="Times New Roman" w:cs="Times New Roman"/>
          <w:sz w:val="21"/>
          <w:szCs w:val="21"/>
        </w:rPr>
        <w:t xml:space="preserve">Monaco G, et al. (2015) The BH4 domain of </w:t>
      </w:r>
      <w:proofErr w:type="spellStart"/>
      <w:r w:rsidRPr="00CF44FC">
        <w:rPr>
          <w:rFonts w:ascii="Times New Roman" w:hAnsi="Times New Roman" w:cs="Times New Roman"/>
          <w:sz w:val="21"/>
          <w:szCs w:val="21"/>
        </w:rPr>
        <w:t>Bcl-xL</w:t>
      </w:r>
      <w:proofErr w:type="spellEnd"/>
      <w:r w:rsidRPr="00CF44FC">
        <w:rPr>
          <w:rFonts w:ascii="Times New Roman" w:hAnsi="Times New Roman" w:cs="Times New Roman"/>
          <w:sz w:val="21"/>
          <w:szCs w:val="21"/>
        </w:rPr>
        <w:t xml:space="preserve"> targets VDAC1 for Ca²⁺ control. J Biol Chem 290:9150.</w:t>
      </w:r>
    </w:p>
    <w:p w14:paraId="00446130" w14:textId="77777777" w:rsidR="00F8115A" w:rsidRPr="00CF44FC" w:rsidRDefault="00000000">
      <w:pPr>
        <w:spacing w:after="100" w:line="280" w:lineRule="auto"/>
        <w:ind w:left="360" w:hanging="360"/>
        <w:rPr>
          <w:rFonts w:ascii="Times New Roman" w:hAnsi="Times New Roman" w:cs="Times New Roman"/>
          <w:sz w:val="24"/>
          <w:szCs w:val="24"/>
        </w:rPr>
      </w:pPr>
      <w:r w:rsidRPr="00CF44FC">
        <w:rPr>
          <w:rFonts w:ascii="Times New Roman" w:hAnsi="Times New Roman" w:cs="Times New Roman"/>
          <w:sz w:val="21"/>
          <w:szCs w:val="21"/>
        </w:rPr>
        <w:t>Montero J, et al. (2008) Mitochondrial cholesterol contributes to chemotherapy resistance in HCC. Cancer Res 68:5246.</w:t>
      </w:r>
    </w:p>
    <w:p w14:paraId="5A511027" w14:textId="77777777" w:rsidR="00F8115A" w:rsidRPr="00CF44FC" w:rsidRDefault="00000000">
      <w:pPr>
        <w:spacing w:after="100" w:line="280" w:lineRule="auto"/>
        <w:ind w:left="360" w:hanging="360"/>
        <w:rPr>
          <w:rFonts w:ascii="Times New Roman" w:hAnsi="Times New Roman" w:cs="Times New Roman"/>
          <w:sz w:val="24"/>
          <w:szCs w:val="24"/>
        </w:rPr>
      </w:pPr>
      <w:r w:rsidRPr="00CF44FC">
        <w:rPr>
          <w:rFonts w:ascii="Times New Roman" w:hAnsi="Times New Roman" w:cs="Times New Roman"/>
          <w:sz w:val="21"/>
          <w:szCs w:val="21"/>
        </w:rPr>
        <w:t>Prashar A, et al. (2024) VDAC1-dependent inner membrane herniation vesicles. Nature 632:1110.</w:t>
      </w:r>
    </w:p>
    <w:p w14:paraId="72E59E54" w14:textId="77777777" w:rsidR="00F8115A" w:rsidRPr="00CF44FC" w:rsidRDefault="00000000">
      <w:pPr>
        <w:spacing w:after="100" w:line="280" w:lineRule="auto"/>
        <w:ind w:left="360" w:hanging="360"/>
        <w:rPr>
          <w:rFonts w:ascii="Times New Roman" w:hAnsi="Times New Roman" w:cs="Times New Roman"/>
          <w:sz w:val="24"/>
          <w:szCs w:val="24"/>
        </w:rPr>
      </w:pPr>
      <w:r w:rsidRPr="00CF44FC">
        <w:rPr>
          <w:rFonts w:ascii="Times New Roman" w:hAnsi="Times New Roman" w:cs="Times New Roman"/>
          <w:sz w:val="21"/>
          <w:szCs w:val="21"/>
        </w:rPr>
        <w:t xml:space="preserve">Ravishankar H, et al. (2025) VBIT-4 specificity challenge. </w:t>
      </w:r>
      <w:proofErr w:type="spellStart"/>
      <w:r w:rsidRPr="00CF44FC">
        <w:rPr>
          <w:rFonts w:ascii="Times New Roman" w:hAnsi="Times New Roman" w:cs="Times New Roman"/>
          <w:sz w:val="21"/>
          <w:szCs w:val="21"/>
        </w:rPr>
        <w:t>bioRxiv</w:t>
      </w:r>
      <w:proofErr w:type="spellEnd"/>
      <w:r w:rsidRPr="00CF44FC">
        <w:rPr>
          <w:rFonts w:ascii="Times New Roman" w:hAnsi="Times New Roman" w:cs="Times New Roman"/>
          <w:sz w:val="21"/>
          <w:szCs w:val="21"/>
        </w:rPr>
        <w:t>.</w:t>
      </w:r>
    </w:p>
    <w:p w14:paraId="6DF7F5E6" w14:textId="77777777" w:rsidR="00F8115A" w:rsidRPr="00CF44FC" w:rsidRDefault="00000000">
      <w:pPr>
        <w:spacing w:after="100" w:line="280" w:lineRule="auto"/>
        <w:ind w:left="360" w:hanging="360"/>
        <w:rPr>
          <w:rFonts w:ascii="Times New Roman" w:hAnsi="Times New Roman" w:cs="Times New Roman"/>
          <w:sz w:val="24"/>
          <w:szCs w:val="24"/>
        </w:rPr>
      </w:pPr>
      <w:r w:rsidRPr="00CF44FC">
        <w:rPr>
          <w:rFonts w:ascii="Times New Roman" w:hAnsi="Times New Roman" w:cs="Times New Roman"/>
          <w:sz w:val="21"/>
          <w:szCs w:val="21"/>
        </w:rPr>
        <w:t>Ren H, et al. (2025) VSTM2L enhances HK2–VDAC1 interaction. Nat Commun 16:1534.</w:t>
      </w:r>
    </w:p>
    <w:p w14:paraId="5CA15C48" w14:textId="77777777" w:rsidR="00F8115A" w:rsidRPr="00CF44FC" w:rsidRDefault="00000000">
      <w:pPr>
        <w:spacing w:after="100" w:line="280" w:lineRule="auto"/>
        <w:ind w:left="360" w:hanging="360"/>
        <w:rPr>
          <w:rFonts w:ascii="Times New Roman" w:hAnsi="Times New Roman" w:cs="Times New Roman"/>
          <w:sz w:val="24"/>
          <w:szCs w:val="24"/>
        </w:rPr>
      </w:pPr>
      <w:proofErr w:type="spellStart"/>
      <w:r w:rsidRPr="00CF44FC">
        <w:rPr>
          <w:rFonts w:ascii="Times New Roman" w:hAnsi="Times New Roman" w:cs="Times New Roman"/>
          <w:sz w:val="21"/>
          <w:szCs w:val="21"/>
        </w:rPr>
        <w:t>Rimmerman</w:t>
      </w:r>
      <w:proofErr w:type="spellEnd"/>
      <w:r w:rsidRPr="00CF44FC">
        <w:rPr>
          <w:rFonts w:ascii="Times New Roman" w:hAnsi="Times New Roman" w:cs="Times New Roman"/>
          <w:sz w:val="21"/>
          <w:szCs w:val="21"/>
        </w:rPr>
        <w:t xml:space="preserve"> N, et al. (2013) Direct modulation of the OMM channel VDAC1 by CBD. Cell Death Dis </w:t>
      </w:r>
      <w:proofErr w:type="gramStart"/>
      <w:r w:rsidRPr="00CF44FC">
        <w:rPr>
          <w:rFonts w:ascii="Times New Roman" w:hAnsi="Times New Roman" w:cs="Times New Roman"/>
          <w:sz w:val="21"/>
          <w:szCs w:val="21"/>
        </w:rPr>
        <w:t>4:e</w:t>
      </w:r>
      <w:proofErr w:type="gramEnd"/>
      <w:r w:rsidRPr="00CF44FC">
        <w:rPr>
          <w:rFonts w:ascii="Times New Roman" w:hAnsi="Times New Roman" w:cs="Times New Roman"/>
          <w:sz w:val="21"/>
          <w:szCs w:val="21"/>
        </w:rPr>
        <w:t>949.</w:t>
      </w:r>
    </w:p>
    <w:p w14:paraId="355E2D5E" w14:textId="77777777" w:rsidR="00F8115A" w:rsidRPr="00CF44FC" w:rsidRDefault="00000000">
      <w:pPr>
        <w:spacing w:after="100" w:line="280" w:lineRule="auto"/>
        <w:ind w:left="360" w:hanging="360"/>
        <w:rPr>
          <w:rFonts w:ascii="Times New Roman" w:hAnsi="Times New Roman" w:cs="Times New Roman"/>
          <w:sz w:val="24"/>
          <w:szCs w:val="24"/>
        </w:rPr>
      </w:pPr>
      <w:r w:rsidRPr="00CF44FC">
        <w:rPr>
          <w:rFonts w:ascii="Times New Roman" w:hAnsi="Times New Roman" w:cs="Times New Roman"/>
          <w:sz w:val="21"/>
          <w:szCs w:val="21"/>
        </w:rPr>
        <w:t xml:space="preserve">Samson N, </w:t>
      </w:r>
      <w:proofErr w:type="spellStart"/>
      <w:r w:rsidRPr="00CF44FC">
        <w:rPr>
          <w:rFonts w:ascii="Times New Roman" w:hAnsi="Times New Roman" w:cs="Times New Roman"/>
          <w:sz w:val="21"/>
          <w:szCs w:val="21"/>
        </w:rPr>
        <w:t>Ablasser</w:t>
      </w:r>
      <w:proofErr w:type="spellEnd"/>
      <w:r w:rsidRPr="00CF44FC">
        <w:rPr>
          <w:rFonts w:ascii="Times New Roman" w:hAnsi="Times New Roman" w:cs="Times New Roman"/>
          <w:sz w:val="21"/>
          <w:szCs w:val="21"/>
        </w:rPr>
        <w:t xml:space="preserve"> A. (2022) The </w:t>
      </w:r>
      <w:proofErr w:type="spellStart"/>
      <w:r w:rsidRPr="00CF44FC">
        <w:rPr>
          <w:rFonts w:ascii="Times New Roman" w:hAnsi="Times New Roman" w:cs="Times New Roman"/>
          <w:sz w:val="21"/>
          <w:szCs w:val="21"/>
        </w:rPr>
        <w:t>cGAS</w:t>
      </w:r>
      <w:proofErr w:type="spellEnd"/>
      <w:r w:rsidRPr="00CF44FC">
        <w:rPr>
          <w:rFonts w:ascii="Times New Roman" w:hAnsi="Times New Roman" w:cs="Times New Roman"/>
          <w:sz w:val="21"/>
          <w:szCs w:val="21"/>
        </w:rPr>
        <w:t>–STING pathway and cancer. Nat Cancer 3:1452.</w:t>
      </w:r>
    </w:p>
    <w:p w14:paraId="78FF489C" w14:textId="77777777" w:rsidR="00F8115A" w:rsidRPr="00CF44FC" w:rsidRDefault="00000000">
      <w:pPr>
        <w:spacing w:after="100" w:line="280" w:lineRule="auto"/>
        <w:ind w:left="360" w:hanging="360"/>
        <w:rPr>
          <w:rFonts w:ascii="Times New Roman" w:hAnsi="Times New Roman" w:cs="Times New Roman"/>
          <w:sz w:val="24"/>
          <w:szCs w:val="24"/>
        </w:rPr>
      </w:pPr>
      <w:r w:rsidRPr="00CF44FC">
        <w:rPr>
          <w:rFonts w:ascii="Times New Roman" w:hAnsi="Times New Roman" w:cs="Times New Roman"/>
          <w:sz w:val="21"/>
          <w:szCs w:val="21"/>
        </w:rPr>
        <w:t>Shoshan-</w:t>
      </w:r>
      <w:proofErr w:type="spellStart"/>
      <w:r w:rsidRPr="00CF44FC">
        <w:rPr>
          <w:rFonts w:ascii="Times New Roman" w:hAnsi="Times New Roman" w:cs="Times New Roman"/>
          <w:sz w:val="21"/>
          <w:szCs w:val="21"/>
        </w:rPr>
        <w:t>Barmatz</w:t>
      </w:r>
      <w:proofErr w:type="spellEnd"/>
      <w:r w:rsidRPr="00CF44FC">
        <w:rPr>
          <w:rFonts w:ascii="Times New Roman" w:hAnsi="Times New Roman" w:cs="Times New Roman"/>
          <w:sz w:val="21"/>
          <w:szCs w:val="21"/>
        </w:rPr>
        <w:t xml:space="preserve"> V, et al. (2025) p53 directly binds VDAC1. Biomolecules 16:141.</w:t>
      </w:r>
    </w:p>
    <w:p w14:paraId="7491843A" w14:textId="77777777" w:rsidR="00F8115A" w:rsidRPr="00CF44FC" w:rsidRDefault="00000000">
      <w:pPr>
        <w:spacing w:after="100" w:line="280" w:lineRule="auto"/>
        <w:ind w:left="360" w:hanging="360"/>
        <w:rPr>
          <w:rFonts w:ascii="Times New Roman" w:hAnsi="Times New Roman" w:cs="Times New Roman"/>
          <w:sz w:val="24"/>
          <w:szCs w:val="24"/>
        </w:rPr>
      </w:pPr>
      <w:r w:rsidRPr="00CF44FC">
        <w:rPr>
          <w:rFonts w:ascii="Times New Roman" w:hAnsi="Times New Roman" w:cs="Times New Roman"/>
          <w:sz w:val="21"/>
          <w:szCs w:val="21"/>
        </w:rPr>
        <w:t xml:space="preserve">Wan X, et al. (2026) VDAC1 oligomerization regulates </w:t>
      </w:r>
      <w:proofErr w:type="spellStart"/>
      <w:r w:rsidRPr="00CF44FC">
        <w:rPr>
          <w:rFonts w:ascii="Times New Roman" w:hAnsi="Times New Roman" w:cs="Times New Roman"/>
          <w:sz w:val="21"/>
          <w:szCs w:val="21"/>
        </w:rPr>
        <w:t>PANoptosis</w:t>
      </w:r>
      <w:proofErr w:type="spellEnd"/>
      <w:r w:rsidRPr="00CF44FC">
        <w:rPr>
          <w:rFonts w:ascii="Times New Roman" w:hAnsi="Times New Roman" w:cs="Times New Roman"/>
          <w:sz w:val="21"/>
          <w:szCs w:val="21"/>
        </w:rPr>
        <w:t>. Neural Regen Res 21(4).</w:t>
      </w:r>
    </w:p>
    <w:p w14:paraId="0D8A9325" w14:textId="77777777" w:rsidR="00F8115A" w:rsidRPr="00CF44FC" w:rsidRDefault="00000000">
      <w:pPr>
        <w:spacing w:after="100" w:line="280" w:lineRule="auto"/>
        <w:ind w:left="360" w:hanging="360"/>
        <w:rPr>
          <w:rFonts w:ascii="Times New Roman" w:hAnsi="Times New Roman" w:cs="Times New Roman"/>
          <w:sz w:val="24"/>
          <w:szCs w:val="24"/>
        </w:rPr>
      </w:pPr>
      <w:r w:rsidRPr="00CF44FC">
        <w:rPr>
          <w:rFonts w:ascii="Times New Roman" w:hAnsi="Times New Roman" w:cs="Times New Roman"/>
          <w:sz w:val="21"/>
          <w:szCs w:val="21"/>
        </w:rPr>
        <w:t xml:space="preserve">Wolf AJ, et al. (2023) HK2 dissociation from VDAC1 triggers NLRP3. Sci Immunol </w:t>
      </w:r>
      <w:proofErr w:type="gramStart"/>
      <w:r w:rsidRPr="00CF44FC">
        <w:rPr>
          <w:rFonts w:ascii="Times New Roman" w:hAnsi="Times New Roman" w:cs="Times New Roman"/>
          <w:sz w:val="21"/>
          <w:szCs w:val="21"/>
        </w:rPr>
        <w:t>8:eade</w:t>
      </w:r>
      <w:proofErr w:type="gramEnd"/>
      <w:r w:rsidRPr="00CF44FC">
        <w:rPr>
          <w:rFonts w:ascii="Times New Roman" w:hAnsi="Times New Roman" w:cs="Times New Roman"/>
          <w:sz w:val="21"/>
          <w:szCs w:val="21"/>
        </w:rPr>
        <w:t>7652.</w:t>
      </w:r>
    </w:p>
    <w:p w14:paraId="183B9F7A" w14:textId="77777777" w:rsidR="00F8115A" w:rsidRPr="00CF44FC" w:rsidRDefault="00000000">
      <w:pPr>
        <w:spacing w:after="100" w:line="280" w:lineRule="auto"/>
        <w:ind w:left="360" w:hanging="360"/>
        <w:rPr>
          <w:rFonts w:ascii="Times New Roman" w:hAnsi="Times New Roman" w:cs="Times New Roman"/>
          <w:sz w:val="24"/>
          <w:szCs w:val="24"/>
        </w:rPr>
      </w:pPr>
      <w:r w:rsidRPr="00CF44FC">
        <w:rPr>
          <w:rFonts w:ascii="Times New Roman" w:hAnsi="Times New Roman" w:cs="Times New Roman"/>
          <w:sz w:val="21"/>
          <w:szCs w:val="21"/>
        </w:rPr>
        <w:t>Woo SR, et al. (2014) STING-dependent cytosolic DNA sensing mediates innate immune recognition of tumors. Immunity 41:830.</w:t>
      </w:r>
    </w:p>
    <w:p w14:paraId="4261C52A" w14:textId="77777777" w:rsidR="00F8115A" w:rsidRPr="00CF44FC" w:rsidRDefault="00000000">
      <w:pPr>
        <w:spacing w:after="100" w:line="280" w:lineRule="auto"/>
        <w:ind w:left="360" w:hanging="360"/>
        <w:rPr>
          <w:rFonts w:ascii="Times New Roman" w:hAnsi="Times New Roman" w:cs="Times New Roman"/>
          <w:sz w:val="24"/>
          <w:szCs w:val="24"/>
        </w:rPr>
      </w:pPr>
      <w:r w:rsidRPr="00CF44FC">
        <w:rPr>
          <w:rFonts w:ascii="Times New Roman" w:hAnsi="Times New Roman" w:cs="Times New Roman"/>
          <w:sz w:val="21"/>
          <w:szCs w:val="21"/>
        </w:rPr>
        <w:t xml:space="preserve">Xian H, et al. (2022) Oxidized </w:t>
      </w:r>
      <w:proofErr w:type="spellStart"/>
      <w:r w:rsidRPr="00CF44FC">
        <w:rPr>
          <w:rFonts w:ascii="Times New Roman" w:hAnsi="Times New Roman" w:cs="Times New Roman"/>
          <w:sz w:val="21"/>
          <w:szCs w:val="21"/>
        </w:rPr>
        <w:t>mtDNA</w:t>
      </w:r>
      <w:proofErr w:type="spellEnd"/>
      <w:r w:rsidRPr="00CF44FC">
        <w:rPr>
          <w:rFonts w:ascii="Times New Roman" w:hAnsi="Times New Roman" w:cs="Times New Roman"/>
          <w:sz w:val="21"/>
          <w:szCs w:val="21"/>
        </w:rPr>
        <w:t xml:space="preserve"> exit via </w:t>
      </w:r>
      <w:proofErr w:type="spellStart"/>
      <w:r w:rsidRPr="00CF44FC">
        <w:rPr>
          <w:rFonts w:ascii="Times New Roman" w:hAnsi="Times New Roman" w:cs="Times New Roman"/>
          <w:sz w:val="21"/>
          <w:szCs w:val="21"/>
        </w:rPr>
        <w:t>mPTP</w:t>
      </w:r>
      <w:proofErr w:type="spellEnd"/>
      <w:r w:rsidRPr="00CF44FC">
        <w:rPr>
          <w:rFonts w:ascii="Times New Roman" w:hAnsi="Times New Roman" w:cs="Times New Roman"/>
          <w:sz w:val="21"/>
          <w:szCs w:val="21"/>
        </w:rPr>
        <w:t xml:space="preserve"> and VDAC channels. Immunity 55:1370.</w:t>
      </w:r>
    </w:p>
    <w:sectPr w:rsidR="00F8115A" w:rsidRPr="00CF44FC">
      <w:headerReference w:type="default" r:id="rId8"/>
      <w:footerReference w:type="default" r:id="rId9"/>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A57844" w14:textId="77777777" w:rsidR="00263D3C" w:rsidRDefault="00263D3C">
      <w:r>
        <w:separator/>
      </w:r>
    </w:p>
  </w:endnote>
  <w:endnote w:type="continuationSeparator" w:id="0">
    <w:p w14:paraId="1C18875B" w14:textId="77777777" w:rsidR="00263D3C" w:rsidRDefault="00263D3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Calibri">
    <w:panose1 w:val="020F0502020204030204"/>
    <w:charset w:val="00"/>
    <w:family w:val="swiss"/>
    <w:pitch w:val="variable"/>
    <w:sig w:usb0="E0002AFF" w:usb1="C000247B" w:usb2="00000009" w:usb3="00000000" w:csb0="000001FF" w:csb1="00000000"/>
  </w:font>
  <w:font w:name="Consolas">
    <w:panose1 w:val="020B0609020204030204"/>
    <w:charset w:val="00"/>
    <w:family w:val="modern"/>
    <w:pitch w:val="fixed"/>
    <w:sig w:usb0="E10002FF" w:usb1="4000FCFF" w:usb2="00000009"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4848C5" w14:textId="77777777" w:rsidR="00F8115A" w:rsidRDefault="00000000">
    <w:pPr>
      <w:pBdr>
        <w:top w:val="single" w:sz="2" w:space="4" w:color="CFD8DC"/>
      </w:pBdr>
      <w:jc w:val="center"/>
    </w:pPr>
    <w:r>
      <w:rPr>
        <w:rFonts w:ascii="Calibri" w:eastAsia="Calibri" w:hAnsi="Calibri" w:cs="Calibri"/>
        <w:color w:val="90A4AE"/>
        <w:sz w:val="16"/>
        <w:szCs w:val="16"/>
      </w:rPr>
      <w:t xml:space="preserve">Page </w:t>
    </w:r>
    <w:r>
      <w:rPr>
        <w:rFonts w:ascii="Calibri" w:eastAsia="Calibri" w:hAnsi="Calibri" w:cs="Calibri"/>
        <w:color w:val="90A4AE"/>
        <w:sz w:val="16"/>
        <w:szCs w:val="16"/>
      </w:rPr>
      <w:fldChar w:fldCharType="begin"/>
    </w:r>
    <w:r>
      <w:rPr>
        <w:rFonts w:ascii="Calibri" w:eastAsia="Calibri" w:hAnsi="Calibri" w:cs="Calibri"/>
        <w:color w:val="90A4AE"/>
        <w:sz w:val="16"/>
        <w:szCs w:val="16"/>
      </w:rPr>
      <w:instrText>PAGE</w:instrText>
    </w:r>
    <w:r>
      <w:rPr>
        <w:rFonts w:ascii="Calibri" w:eastAsia="Calibri" w:hAnsi="Calibri" w:cs="Calibri"/>
        <w:color w:val="90A4AE"/>
        <w:sz w:val="16"/>
        <w:szCs w:val="16"/>
      </w:rPr>
      <w:fldChar w:fldCharType="separate"/>
    </w:r>
    <w:r w:rsidR="00DE420F">
      <w:rPr>
        <w:rFonts w:ascii="Calibri" w:eastAsia="Calibri" w:hAnsi="Calibri" w:cs="Calibri"/>
        <w:noProof/>
        <w:color w:val="90A4AE"/>
        <w:sz w:val="16"/>
        <w:szCs w:val="16"/>
      </w:rPr>
      <w:t>1</w:t>
    </w:r>
    <w:r>
      <w:rPr>
        <w:rFonts w:ascii="Calibri" w:eastAsia="Calibri" w:hAnsi="Calibri" w:cs="Calibri"/>
        <w:color w:val="90A4AE"/>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38F128" w14:textId="77777777" w:rsidR="00263D3C" w:rsidRDefault="00263D3C">
      <w:r>
        <w:separator/>
      </w:r>
    </w:p>
  </w:footnote>
  <w:footnote w:type="continuationSeparator" w:id="0">
    <w:p w14:paraId="6B2FB8F9" w14:textId="77777777" w:rsidR="00263D3C" w:rsidRDefault="00263D3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2BE09" w14:textId="77777777" w:rsidR="00F8115A" w:rsidRDefault="00000000">
    <w:pPr>
      <w:pBdr>
        <w:bottom w:val="single" w:sz="2" w:space="4" w:color="CFD8DC"/>
      </w:pBdr>
      <w:tabs>
        <w:tab w:val="right" w:pos="9026"/>
      </w:tabs>
    </w:pPr>
    <w:r>
      <w:rPr>
        <w:rFonts w:ascii="Calibri" w:eastAsia="Calibri" w:hAnsi="Calibri" w:cs="Calibri"/>
        <w:i/>
        <w:iCs/>
        <w:color w:val="78909C"/>
        <w:sz w:val="16"/>
        <w:szCs w:val="16"/>
      </w:rPr>
      <w:t>Vasquez 2026</w:t>
    </w:r>
    <w:r>
      <w:rPr>
        <w:rFonts w:ascii="Calibri" w:eastAsia="Calibri" w:hAnsi="Calibri" w:cs="Calibri"/>
        <w:i/>
        <w:iCs/>
        <w:color w:val="78909C"/>
        <w:sz w:val="16"/>
        <w:szCs w:val="16"/>
      </w:rPr>
      <w:tab/>
      <w:t>VDAC1 Gate-Jamming in MSS Colorectal Cancer</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B3D3E"/>
    <w:multiLevelType w:val="hybridMultilevel"/>
    <w:tmpl w:val="6A4C7248"/>
    <w:lvl w:ilvl="0" w:tplc="AA7006FC">
      <w:start w:val="1"/>
      <w:numFmt w:val="decimal"/>
      <w:lvlText w:val="%1."/>
      <w:lvlJc w:val="left"/>
      <w:pPr>
        <w:ind w:left="720" w:hanging="360"/>
      </w:pPr>
    </w:lvl>
    <w:lvl w:ilvl="1" w:tplc="2FE00942">
      <w:numFmt w:val="decimal"/>
      <w:lvlText w:val=""/>
      <w:lvlJc w:val="left"/>
    </w:lvl>
    <w:lvl w:ilvl="2" w:tplc="A8E8377A">
      <w:numFmt w:val="decimal"/>
      <w:lvlText w:val=""/>
      <w:lvlJc w:val="left"/>
    </w:lvl>
    <w:lvl w:ilvl="3" w:tplc="972A9C00">
      <w:numFmt w:val="decimal"/>
      <w:lvlText w:val=""/>
      <w:lvlJc w:val="left"/>
    </w:lvl>
    <w:lvl w:ilvl="4" w:tplc="17300C3E">
      <w:numFmt w:val="decimal"/>
      <w:lvlText w:val=""/>
      <w:lvlJc w:val="left"/>
    </w:lvl>
    <w:lvl w:ilvl="5" w:tplc="24DE9DEE">
      <w:numFmt w:val="decimal"/>
      <w:lvlText w:val=""/>
      <w:lvlJc w:val="left"/>
    </w:lvl>
    <w:lvl w:ilvl="6" w:tplc="2C202496">
      <w:numFmt w:val="decimal"/>
      <w:lvlText w:val=""/>
      <w:lvlJc w:val="left"/>
    </w:lvl>
    <w:lvl w:ilvl="7" w:tplc="0860B98A">
      <w:numFmt w:val="decimal"/>
      <w:lvlText w:val=""/>
      <w:lvlJc w:val="left"/>
    </w:lvl>
    <w:lvl w:ilvl="8" w:tplc="646AC9DA">
      <w:numFmt w:val="decimal"/>
      <w:lvlText w:val=""/>
      <w:lvlJc w:val="left"/>
    </w:lvl>
  </w:abstractNum>
  <w:abstractNum w:abstractNumId="1" w15:restartNumberingAfterBreak="0">
    <w:nsid w:val="17FD071D"/>
    <w:multiLevelType w:val="hybridMultilevel"/>
    <w:tmpl w:val="08B8DD34"/>
    <w:lvl w:ilvl="0" w:tplc="C46E6A04">
      <w:start w:val="1"/>
      <w:numFmt w:val="bullet"/>
      <w:lvlText w:val="•"/>
      <w:lvlJc w:val="left"/>
      <w:pPr>
        <w:ind w:left="720" w:hanging="360"/>
      </w:pPr>
    </w:lvl>
    <w:lvl w:ilvl="1" w:tplc="7F4AAB4A">
      <w:numFmt w:val="decimal"/>
      <w:lvlText w:val=""/>
      <w:lvlJc w:val="left"/>
    </w:lvl>
    <w:lvl w:ilvl="2" w:tplc="C6486540">
      <w:numFmt w:val="decimal"/>
      <w:lvlText w:val=""/>
      <w:lvlJc w:val="left"/>
    </w:lvl>
    <w:lvl w:ilvl="3" w:tplc="A5424C82">
      <w:numFmt w:val="decimal"/>
      <w:lvlText w:val=""/>
      <w:lvlJc w:val="left"/>
    </w:lvl>
    <w:lvl w:ilvl="4" w:tplc="9E9668FE">
      <w:numFmt w:val="decimal"/>
      <w:lvlText w:val=""/>
      <w:lvlJc w:val="left"/>
    </w:lvl>
    <w:lvl w:ilvl="5" w:tplc="4C48BAC2">
      <w:numFmt w:val="decimal"/>
      <w:lvlText w:val=""/>
      <w:lvlJc w:val="left"/>
    </w:lvl>
    <w:lvl w:ilvl="6" w:tplc="286E663C">
      <w:numFmt w:val="decimal"/>
      <w:lvlText w:val=""/>
      <w:lvlJc w:val="left"/>
    </w:lvl>
    <w:lvl w:ilvl="7" w:tplc="77A807B2">
      <w:numFmt w:val="decimal"/>
      <w:lvlText w:val=""/>
      <w:lvlJc w:val="left"/>
    </w:lvl>
    <w:lvl w:ilvl="8" w:tplc="70C849DE">
      <w:numFmt w:val="decimal"/>
      <w:lvlText w:val=""/>
      <w:lvlJc w:val="left"/>
    </w:lvl>
  </w:abstractNum>
  <w:abstractNum w:abstractNumId="2" w15:restartNumberingAfterBreak="0">
    <w:nsid w:val="320473FF"/>
    <w:multiLevelType w:val="hybridMultilevel"/>
    <w:tmpl w:val="48DEBC3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64E020BB"/>
    <w:multiLevelType w:val="hybridMultilevel"/>
    <w:tmpl w:val="CF8A9E5E"/>
    <w:lvl w:ilvl="0" w:tplc="0BA896BA">
      <w:start w:val="1"/>
      <w:numFmt w:val="bullet"/>
      <w:lvlText w:val="●"/>
      <w:lvlJc w:val="left"/>
      <w:pPr>
        <w:ind w:left="720" w:hanging="360"/>
      </w:pPr>
    </w:lvl>
    <w:lvl w:ilvl="1" w:tplc="D7E4CCB0">
      <w:start w:val="1"/>
      <w:numFmt w:val="bullet"/>
      <w:lvlText w:val="○"/>
      <w:lvlJc w:val="left"/>
      <w:pPr>
        <w:ind w:left="1440" w:hanging="360"/>
      </w:pPr>
    </w:lvl>
    <w:lvl w:ilvl="2" w:tplc="F77617D6">
      <w:start w:val="1"/>
      <w:numFmt w:val="bullet"/>
      <w:lvlText w:val="■"/>
      <w:lvlJc w:val="left"/>
      <w:pPr>
        <w:ind w:left="2160" w:hanging="360"/>
      </w:pPr>
    </w:lvl>
    <w:lvl w:ilvl="3" w:tplc="ED662732">
      <w:start w:val="1"/>
      <w:numFmt w:val="bullet"/>
      <w:lvlText w:val="●"/>
      <w:lvlJc w:val="left"/>
      <w:pPr>
        <w:ind w:left="2880" w:hanging="360"/>
      </w:pPr>
    </w:lvl>
    <w:lvl w:ilvl="4" w:tplc="F0465ECE">
      <w:start w:val="1"/>
      <w:numFmt w:val="bullet"/>
      <w:lvlText w:val="○"/>
      <w:lvlJc w:val="left"/>
      <w:pPr>
        <w:ind w:left="3600" w:hanging="360"/>
      </w:pPr>
    </w:lvl>
    <w:lvl w:ilvl="5" w:tplc="8F2AA362">
      <w:start w:val="1"/>
      <w:numFmt w:val="bullet"/>
      <w:lvlText w:val="■"/>
      <w:lvlJc w:val="left"/>
      <w:pPr>
        <w:ind w:left="4320" w:hanging="360"/>
      </w:pPr>
    </w:lvl>
    <w:lvl w:ilvl="6" w:tplc="710C61E6">
      <w:start w:val="1"/>
      <w:numFmt w:val="bullet"/>
      <w:lvlText w:val="●"/>
      <w:lvlJc w:val="left"/>
      <w:pPr>
        <w:ind w:left="5040" w:hanging="360"/>
      </w:pPr>
    </w:lvl>
    <w:lvl w:ilvl="7" w:tplc="43DE0D78">
      <w:start w:val="1"/>
      <w:numFmt w:val="bullet"/>
      <w:lvlText w:val="●"/>
      <w:lvlJc w:val="left"/>
      <w:pPr>
        <w:ind w:left="5760" w:hanging="360"/>
      </w:pPr>
    </w:lvl>
    <w:lvl w:ilvl="8" w:tplc="F4947B7E">
      <w:start w:val="1"/>
      <w:numFmt w:val="bullet"/>
      <w:lvlText w:val="●"/>
      <w:lvlJc w:val="left"/>
      <w:pPr>
        <w:ind w:left="6480" w:hanging="360"/>
      </w:pPr>
    </w:lvl>
  </w:abstractNum>
  <w:num w:numId="1" w16cid:durableId="1119377549">
    <w:abstractNumId w:val="3"/>
    <w:lvlOverride w:ilvl="0">
      <w:startOverride w:val="1"/>
    </w:lvlOverride>
  </w:num>
  <w:num w:numId="2" w16cid:durableId="25647107">
    <w:abstractNumId w:val="0"/>
    <w:lvlOverride w:ilvl="0">
      <w:startOverride w:val="1"/>
    </w:lvlOverride>
  </w:num>
  <w:num w:numId="3" w16cid:durableId="1304041520">
    <w:abstractNumId w:val="1"/>
    <w:lvlOverride w:ilvl="0">
      <w:startOverride w:val="1"/>
    </w:lvlOverride>
  </w:num>
  <w:num w:numId="4" w16cid:durableId="63707771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7"/>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8115A"/>
    <w:rsid w:val="000F5B62"/>
    <w:rsid w:val="00263D3C"/>
    <w:rsid w:val="00490679"/>
    <w:rsid w:val="00504322"/>
    <w:rsid w:val="00CF44FC"/>
    <w:rsid w:val="00DE420F"/>
    <w:rsid w:val="00F8115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F969F2"/>
  <w15:docId w15:val="{9372CD28-5DD3-5549-94F5-D0F88BD7AB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Palatino Linotype" w:eastAsia="Palatino Linotype" w:hAnsi="Palatino Linotype" w:cs="Palatino Linotype"/>
        <w:color w:val="1A1A2E"/>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60"/>
      <w:outlineLvl w:val="0"/>
    </w:pPr>
    <w:rPr>
      <w:rFonts w:ascii="Calibri" w:eastAsia="Calibri" w:hAnsi="Calibri" w:cs="Calibri"/>
      <w:b/>
      <w:bCs/>
      <w:color w:val="2C3E6B"/>
      <w:sz w:val="28"/>
      <w:szCs w:val="28"/>
    </w:rPr>
  </w:style>
  <w:style w:type="paragraph" w:styleId="Heading2">
    <w:name w:val="heading 2"/>
    <w:uiPriority w:val="9"/>
    <w:unhideWhenUsed/>
    <w:qFormat/>
    <w:pPr>
      <w:spacing w:before="280" w:after="120"/>
      <w:outlineLvl w:val="1"/>
    </w:pPr>
    <w:rPr>
      <w:rFonts w:ascii="Calibri" w:eastAsia="Calibri" w:hAnsi="Calibri" w:cs="Calibri"/>
      <w:b/>
      <w:bCs/>
      <w:color w:val="2C3E6B"/>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4FC7CCE-BEE9-E34B-8E17-EE0387F420F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TotalTime>
  <Pages>10</Pages>
  <Words>3238</Words>
  <Characters>18459</Characters>
  <Application>Microsoft Office Word</Application>
  <DocSecurity>0</DocSecurity>
  <Lines>153</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21654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Anthony Vasquez</cp:lastModifiedBy>
  <cp:revision>4</cp:revision>
  <dcterms:created xsi:type="dcterms:W3CDTF">2026-02-21T02:55:00Z</dcterms:created>
  <dcterms:modified xsi:type="dcterms:W3CDTF">2026-02-21T03:34:00Z</dcterms:modified>
</cp:coreProperties>
</file>